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Heading 1"/>
        <w:spacing w:before="170"/>
        <w:ind w:left="0" w:firstLine="0"/>
      </w:pPr>
      <w:r>
        <w:rPr>
          <w:rtl w:val="0"/>
          <w:lang w:val="en-US"/>
        </w:rPr>
        <w:t xml:space="preserve">Working together in the </w:t>
      </w:r>
      <w:r>
        <w:rPr>
          <w:rtl w:val="0"/>
          <w:lang w:val="en-US"/>
        </w:rPr>
        <w:t>Surgery</w:t>
      </w:r>
      <w:r>
        <w:rPr>
          <w:rtl w:val="0"/>
          <w:lang w:val="en-US"/>
        </w:rPr>
        <w:t>: success through</w:t>
      </w:r>
    </w:p>
    <w:p>
      <w:pPr>
        <w:pStyle w:val="Heading 1"/>
        <w:spacing w:before="170"/>
        <w:ind w:left="0" w:firstLine="0"/>
      </w:pPr>
      <w:r>
        <w:rPr>
          <w:rtl w:val="0"/>
          <w:lang w:val="en-US"/>
        </w:rPr>
        <w:t xml:space="preserve">multi-disciplinary teamwork </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Adnan Malik, University Hospital Coventry and Warwickshire, England</w:t>
      </w:r>
    </w:p>
    <w:p>
      <w:pPr>
        <w:pStyle w:val="Normal.0"/>
        <w:sectPr>
          <w:headerReference w:type="default" r:id="rId4"/>
          <w:footerReference w:type="default" r:id="rId5"/>
          <w:pgSz w:w="11920" w:h="16840" w:orient="portrait"/>
          <w:pgMar w:top="1740" w:right="600" w:bottom="840" w:left="620" w:header="541" w:footer="642"/>
          <w:bidi w:val="0"/>
        </w:sectPr>
      </w:pPr>
    </w:p>
    <w:p>
      <w:pPr>
        <w:pStyle w:val="Heading 3"/>
        <w:spacing w:before="147"/>
        <w:jc w:val="both"/>
        <w:rPr>
          <w:rStyle w:val="None"/>
          <w:color w:val="bf5a14"/>
          <w:u w:color="bf5a14"/>
        </w:rPr>
      </w:pPr>
      <w:r>
        <w:rPr>
          <w:rStyle w:val="None"/>
          <w:color w:val="bf5a14"/>
          <w:u w:color="bf5a14"/>
          <w:rtl w:val="0"/>
          <w:lang w:val="en-US"/>
        </w:rPr>
        <w:t>Abstract (</w:t>
      </w:r>
      <w:r>
        <w:rPr>
          <w:rStyle w:val="None"/>
          <w:color w:val="bf5a14"/>
          <w:u w:color="bf5a14"/>
          <w:rtl w:val="0"/>
          <w:lang w:val="en-US"/>
        </w:rPr>
        <w:t>273</w:t>
      </w:r>
      <w:r>
        <w:rPr>
          <w:rStyle w:val="None"/>
          <w:color w:val="bf5a14"/>
          <w:u w:color="bf5a14"/>
          <w:rtl w:val="0"/>
          <w:lang w:val="en-US"/>
        </w:rPr>
        <w:t xml:space="preserve"> word)</w:t>
      </w:r>
    </w:p>
    <w:p>
      <w:pPr>
        <w:pStyle w:val="Heading 3"/>
        <w:spacing w:before="147"/>
        <w:jc w:val="both"/>
        <w:rPr>
          <w:b w:val="0"/>
          <w:bCs w:val="0"/>
        </w:rPr>
      </w:pPr>
      <w:r>
        <w:rPr>
          <w:b w:val="0"/>
          <w:bCs w:val="0"/>
          <w:rtl w:val="0"/>
          <w:lang w:val="en-US"/>
        </w:rPr>
        <w:t>Effective teams not only protect patients from risks and improve outcomes</w:t>
      </w:r>
      <w:r>
        <w:rPr>
          <w:b w:val="0"/>
          <w:bCs w:val="0"/>
          <w:rtl w:val="0"/>
          <w:lang w:val="en-US"/>
        </w:rPr>
        <w:t>—</w:t>
      </w:r>
      <w:r>
        <w:rPr>
          <w:b w:val="0"/>
          <w:bCs w:val="0"/>
          <w:rtl w:val="0"/>
          <w:lang w:val="en-US"/>
        </w:rPr>
        <w:t>they also create a more positive, engaging, and resilient workplace. Hospitals in which staff report higher levels of teamwork have lower rates of workplace injuries and illness, as well as lower levels of staff intent to leave the organization (Lyubovnikova et al, 2015).</w:t>
      </w:r>
    </w:p>
    <w:p>
      <w:pPr>
        <w:pStyle w:val="Heading 3"/>
        <w:spacing w:before="147"/>
        <w:jc w:val="both"/>
        <w:rPr>
          <w:b w:val="0"/>
          <w:bCs w:val="0"/>
        </w:rPr>
      </w:pPr>
      <w:r>
        <w:rPr>
          <w:b w:val="0"/>
          <w:bCs w:val="0"/>
          <w:rtl w:val="0"/>
          <w:lang w:val="en-US"/>
        </w:rPr>
        <w:t>The introduction of multidisciplinary rounds significantly improves quality measures for congestive heart failure and pneumonia (O</w:t>
      </w:r>
      <w:r>
        <w:rPr>
          <w:b w:val="0"/>
          <w:bCs w:val="0"/>
          <w:rtl w:val="0"/>
          <w:lang w:val="en-US"/>
        </w:rPr>
        <w:t>’</w:t>
      </w:r>
      <w:r>
        <w:rPr>
          <w:b w:val="0"/>
          <w:bCs w:val="0"/>
          <w:rtl w:val="0"/>
          <w:lang w:val="en-US"/>
        </w:rPr>
        <w:t>Mahony et al, 2007), decreases length of stay for trauma patients (Dutton et al. 2003). During the pandemic we regularly conducted rounds with all ward staff members and found them effective.</w:t>
      </w:r>
      <w:r>
        <w:rPr>
          <w:b w:val="0"/>
          <w:bCs w:val="0"/>
          <w:rtl w:val="0"/>
          <w:lang w:val="en-US"/>
        </w:rPr>
        <w:t xml:space="preserve"> </w:t>
      </w:r>
    </w:p>
    <w:p>
      <w:pPr>
        <w:pStyle w:val="Heading 3"/>
        <w:spacing w:before="147"/>
        <w:jc w:val="both"/>
        <w:rPr>
          <w:b w:val="0"/>
          <w:bCs w:val="0"/>
        </w:rPr>
      </w:pPr>
      <w:r>
        <w:rPr>
          <w:b w:val="0"/>
          <w:bCs w:val="0"/>
          <w:rtl w:val="0"/>
          <w:lang w:val="en-US"/>
        </w:rPr>
        <w:t>A simple but effective way for effective teamwork is by having breaks together and to eat together. It makes a huge difference to our ability to work together effectively. (NHS People). In the pandemic we had socially distanced breaks together on the ward.</w:t>
      </w:r>
    </w:p>
    <w:p>
      <w:pPr>
        <w:pStyle w:val="Heading 3"/>
        <w:spacing w:before="147"/>
        <w:jc w:val="both"/>
        <w:rPr>
          <w:b w:val="0"/>
          <w:bCs w:val="0"/>
        </w:rPr>
      </w:pPr>
      <w:r>
        <w:rPr>
          <w:b w:val="0"/>
          <w:bCs w:val="0"/>
          <w:rtl w:val="0"/>
          <w:lang w:val="en-US"/>
        </w:rPr>
        <w:t>Teamwork quality is also inversely related to the level of burnout experienced by staff (Bowers et al, 2011). Units with poor teamwork tend to have staff with higher levels of fatigue.</w:t>
      </w:r>
    </w:p>
    <w:p>
      <w:pPr>
        <w:pStyle w:val="Heading 3"/>
        <w:spacing w:before="147"/>
        <w:jc w:val="both"/>
        <w:rPr>
          <w:b w:val="0"/>
          <w:bCs w:val="0"/>
        </w:rPr>
      </w:pPr>
    </w:p>
    <w:p>
      <w:pPr>
        <w:pStyle w:val="Heading 3"/>
        <w:spacing w:before="147"/>
        <w:jc w:val="both"/>
        <w:rPr>
          <w:b w:val="0"/>
          <w:bCs w:val="0"/>
        </w:rPr>
      </w:pPr>
      <w:r>
        <w:rPr>
          <w:b w:val="0"/>
          <w:bCs w:val="0"/>
          <w:rtl w:val="0"/>
          <w:lang w:val="en-US"/>
        </w:rPr>
        <w:t>Observational studies in surgical services indicate that approximately 30% of team interactions include a communication failure of some type (Lingard et al, 2004) and that patients receiving care with poor teamwork are almost five times as likely to experience complications or death (</w:t>
      </w:r>
      <w:r>
        <w:rPr>
          <w:b w:val="0"/>
          <w:bCs w:val="0"/>
          <w:rtl w:val="0"/>
          <w:lang w:val="en-US"/>
        </w:rPr>
        <w:t> </w:t>
      </w:r>
      <w:r>
        <w:rPr>
          <w:b w:val="0"/>
          <w:bCs w:val="0"/>
          <w:rtl w:val="0"/>
          <w:lang w:val="en-US"/>
        </w:rPr>
        <w:t>Mazzocco et al, 2009).</w:t>
      </w:r>
    </w:p>
    <w:p>
      <w:pPr>
        <w:pStyle w:val="Heading 3"/>
        <w:spacing w:before="147"/>
        <w:jc w:val="both"/>
        <w:rPr>
          <w:b w:val="0"/>
          <w:bCs w:val="0"/>
        </w:rPr>
      </w:pPr>
      <w:r>
        <w:rPr>
          <w:b w:val="0"/>
          <w:bCs w:val="0"/>
          <w:rtl w:val="0"/>
          <w:lang w:val="en-US"/>
        </w:rPr>
        <w:t xml:space="preserve">Conclusion: </w:t>
      </w:r>
      <w:r>
        <w:rPr>
          <w:b w:val="0"/>
          <w:bCs w:val="0"/>
          <w:rtl w:val="0"/>
          <w:lang w:val="en-US"/>
        </w:rPr>
        <w:t>Effective teamwork is a well validated approach for achieving success in healthcare. The pandemic highlighted and reinforced the benefit of teamwork in the NHS. The health care system touches all of our lives, and the quality of the teamwork within that system impacts the experiences we have and the outcomes we see</w:t>
      </w:r>
    </w:p>
    <w:p>
      <w:pPr>
        <w:pStyle w:val="Heading 3"/>
        <w:spacing w:before="147"/>
        <w:jc w:val="both"/>
        <w:rPr>
          <w:rStyle w:val="None"/>
          <w:b w:val="0"/>
          <w:bCs w:val="0"/>
          <w:color w:val="bf5a14"/>
          <w:u w:color="bf5a14"/>
        </w:rPr>
      </w:pPr>
    </w:p>
    <w:p>
      <w:pPr>
        <w:pStyle w:val="Normal.0"/>
        <w:spacing w:line="204" w:lineRule="exact"/>
        <w:rPr>
          <w:rStyle w:val="None"/>
          <w:rFonts w:ascii="Arial" w:cs="Arial" w:hAnsi="Arial" w:eastAsia="Arial"/>
          <w:b w:val="1"/>
          <w:bCs w:val="1"/>
          <w:sz w:val="20"/>
          <w:szCs w:val="20"/>
        </w:rPr>
      </w:pPr>
      <w:r>
        <w:rPr>
          <w:rStyle w:val="None"/>
          <w:rFonts w:ascii="Arial" w:cs="Arial" w:hAnsi="Arial" w:eastAsia="Arial"/>
          <w:b w:val="1"/>
          <w:bCs w:val="1"/>
          <w:color w:val="bf5a14"/>
          <w:sz w:val="20"/>
          <w:szCs w:val="20"/>
          <w:u w:color="bf5a14"/>
        </w:rPr>
        <w:br w:type="textWrapping"/>
      </w:r>
      <w:r>
        <w:rPr>
          <w:rStyle w:val="None"/>
          <w:rFonts w:ascii="Arial" w:hAnsi="Arial"/>
          <w:b w:val="1"/>
          <w:bCs w:val="1"/>
          <w:color w:val="bf5a14"/>
          <w:sz w:val="20"/>
          <w:szCs w:val="20"/>
          <w:u w:color="bf5a14"/>
          <w:rtl w:val="0"/>
          <w:lang w:val="en-US"/>
        </w:rPr>
        <w:t>Recent Publications (minimum 5)</w:t>
      </w:r>
    </w:p>
    <w:p>
      <w:pPr>
        <w:pStyle w:val="Normal.0"/>
        <w:tabs>
          <w:tab w:val="left" w:pos="384"/>
        </w:tabs>
        <w:ind w:right="117"/>
        <w:rPr>
          <w:rStyle w:val="None"/>
          <w:rFonts w:ascii="Calibri" w:cs="Calibri" w:hAnsi="Calibri" w:eastAsia="Calibri"/>
          <w:b w:val="0"/>
          <w:bCs w:val="0"/>
          <w:sz w:val="18"/>
          <w:szCs w:val="18"/>
          <w:lang w:val="en-US"/>
        </w:rPr>
      </w:pPr>
      <w:r>
        <w:rPr>
          <w:rFonts w:ascii="Calibri" w:cs="Calibri" w:hAnsi="Calibri" w:eastAsia="Calibri"/>
          <w:b w:val="1"/>
          <w:bCs w:val="1"/>
          <w:sz w:val="18"/>
          <w:szCs w:val="18"/>
          <w:rtl w:val="0"/>
          <w:lang w:val="en-US"/>
        </w:rPr>
        <w:t xml:space="preserve">Malik A et al. </w:t>
      </w:r>
      <w:r>
        <w:rPr>
          <w:rStyle w:val="None"/>
          <w:rFonts w:ascii="Calibri" w:cs="Calibri" w:hAnsi="Calibri" w:eastAsia="Calibri"/>
          <w:b w:val="0"/>
          <w:bCs w:val="0"/>
          <w:sz w:val="18"/>
          <w:szCs w:val="18"/>
          <w:rtl w:val="0"/>
          <w:lang w:val="en-US"/>
        </w:rPr>
        <w:t>Single-centre experience of emergency hernia surgery during COVID-19 pandemic</w:t>
      </w:r>
      <w:r>
        <w:rPr>
          <w:rStyle w:val="None"/>
          <w:rFonts w:ascii="Calibri" w:cs="Calibri" w:hAnsi="Calibri" w:eastAsia="Calibri"/>
          <w:b w:val="0"/>
          <w:bCs w:val="0"/>
          <w:sz w:val="18"/>
          <w:szCs w:val="18"/>
          <w:rtl w:val="0"/>
          <w:lang w:val="en-US"/>
        </w:rPr>
        <w:t xml:space="preserve">. </w:t>
      </w:r>
      <w:r>
        <w:rPr>
          <w:rStyle w:val="None"/>
          <w:rFonts w:ascii="Calibri" w:cs="Calibri" w:hAnsi="Calibri" w:eastAsia="Calibri"/>
          <w:b w:val="0"/>
          <w:bCs w:val="0"/>
          <w:sz w:val="18"/>
          <w:szCs w:val="18"/>
          <w:rtl w:val="0"/>
          <w:lang w:val="en-US"/>
        </w:rPr>
        <w:t>Med Glas (Zenica)</w:t>
      </w:r>
      <w:r>
        <w:rPr>
          <w:rStyle w:val="None"/>
          <w:rFonts w:ascii="Calibri" w:cs="Calibri" w:hAnsi="Calibri" w:eastAsia="Calibri"/>
          <w:b w:val="0"/>
          <w:bCs w:val="0"/>
          <w:sz w:val="18"/>
          <w:szCs w:val="18"/>
          <w:rtl w:val="0"/>
          <w:lang w:val="en-US"/>
        </w:rPr>
        <w:t xml:space="preserve"> </w:t>
      </w:r>
      <w:r>
        <w:rPr>
          <w:rStyle w:val="None"/>
          <w:rFonts w:ascii="Calibri" w:cs="Calibri" w:hAnsi="Calibri" w:eastAsia="Calibri"/>
          <w:b w:val="0"/>
          <w:bCs w:val="0"/>
          <w:sz w:val="18"/>
          <w:szCs w:val="18"/>
          <w:rtl w:val="0"/>
          <w:lang w:val="en-US"/>
        </w:rPr>
        <w:t>2021 Aug 1;18(2):463-467</w:t>
      </w:r>
    </w:p>
    <w:p>
      <w:pPr>
        <w:pStyle w:val="Normal.0"/>
        <w:tabs>
          <w:tab w:val="left" w:pos="384"/>
        </w:tabs>
        <w:ind w:right="117"/>
        <w:rPr>
          <w:rStyle w:val="None"/>
          <w:rFonts w:ascii="Arial" w:cs="Arial" w:hAnsi="Arial" w:eastAsia="Arial"/>
          <w:b w:val="1"/>
          <w:bCs w:val="1"/>
          <w:sz w:val="20"/>
          <w:szCs w:val="20"/>
          <w:lang w:val="en-US"/>
        </w:rPr>
      </w:pPr>
    </w:p>
    <w:p>
      <w:pPr>
        <w:pStyle w:val="Normal.0"/>
        <w:tabs>
          <w:tab w:val="left" w:pos="384"/>
        </w:tabs>
        <w:ind w:right="117"/>
        <w:rPr>
          <w:rStyle w:val="None"/>
          <w:rFonts w:ascii="Calibri" w:cs="Calibri" w:hAnsi="Calibri" w:eastAsia="Calibri"/>
          <w:b w:val="0"/>
          <w:bCs w:val="0"/>
          <w:sz w:val="18"/>
          <w:szCs w:val="18"/>
          <w:lang w:val="en-US"/>
        </w:rPr>
      </w:pPr>
      <w:r>
        <w:rPr>
          <w:rFonts w:ascii="Calibri" w:cs="Calibri" w:hAnsi="Calibri" w:eastAsia="Calibri"/>
          <w:b w:val="1"/>
          <w:bCs w:val="1"/>
          <w:sz w:val="18"/>
          <w:szCs w:val="18"/>
          <w:rtl w:val="0"/>
          <w:lang w:val="en-US"/>
        </w:rPr>
        <w:t xml:space="preserve">Malik A et al. </w:t>
      </w:r>
      <w:r>
        <w:rPr>
          <w:rStyle w:val="None"/>
          <w:rFonts w:ascii="Calibri" w:cs="Calibri" w:hAnsi="Calibri" w:eastAsia="Calibri"/>
          <w:b w:val="0"/>
          <w:bCs w:val="0"/>
          <w:sz w:val="18"/>
          <w:szCs w:val="18"/>
          <w:rtl w:val="0"/>
          <w:lang w:val="en-US"/>
        </w:rPr>
        <w:t>A man with suprapubic and scrotal ecchymosis.</w:t>
      </w:r>
      <w:r>
        <w:rPr>
          <w:rStyle w:val="None"/>
          <w:rFonts w:ascii="Calibri" w:cs="Calibri" w:hAnsi="Calibri" w:eastAsia="Calibri"/>
          <w:b w:val="0"/>
          <w:bCs w:val="0"/>
          <w:sz w:val="18"/>
          <w:szCs w:val="18"/>
          <w:rtl w:val="0"/>
          <w:lang w:val="en-US"/>
        </w:rPr>
        <w:t xml:space="preserve"> </w:t>
      </w:r>
      <w:r>
        <w:rPr>
          <w:rStyle w:val="None"/>
          <w:rFonts w:ascii="Calibri" w:cs="Calibri" w:hAnsi="Calibri" w:eastAsia="Calibri"/>
          <w:b w:val="0"/>
          <w:bCs w:val="0"/>
          <w:sz w:val="18"/>
          <w:szCs w:val="18"/>
          <w:rtl w:val="0"/>
          <w:lang w:val="en-US"/>
        </w:rPr>
        <w:t>J Am Coll Emerg Physicians Open. 2021 May 1;2(3):e12431.</w:t>
      </w:r>
    </w:p>
    <w:p>
      <w:pPr>
        <w:pStyle w:val="Normal.0"/>
        <w:tabs>
          <w:tab w:val="left" w:pos="384"/>
        </w:tabs>
        <w:ind w:right="117"/>
        <w:rPr>
          <w:rFonts w:ascii="Calibri" w:cs="Calibri" w:hAnsi="Calibri" w:eastAsia="Calibri"/>
          <w:sz w:val="18"/>
          <w:szCs w:val="18"/>
          <w:lang w:val="en-US"/>
        </w:rPr>
      </w:pPr>
    </w:p>
    <w:p>
      <w:pPr>
        <w:pStyle w:val="Normal.0"/>
        <w:tabs>
          <w:tab w:val="left" w:pos="384"/>
        </w:tabs>
        <w:ind w:right="117"/>
        <w:rPr>
          <w:rStyle w:val="None"/>
          <w:rFonts w:ascii="Calibri" w:cs="Calibri" w:hAnsi="Calibri" w:eastAsia="Calibri"/>
          <w:b w:val="0"/>
          <w:bCs w:val="0"/>
          <w:sz w:val="18"/>
          <w:szCs w:val="18"/>
          <w:lang w:val="en-US"/>
        </w:rPr>
      </w:pPr>
      <w:r>
        <w:rPr>
          <w:rFonts w:ascii="Calibri" w:cs="Calibri" w:hAnsi="Calibri" w:eastAsia="Calibri"/>
          <w:b w:val="1"/>
          <w:bCs w:val="1"/>
          <w:sz w:val="18"/>
          <w:szCs w:val="18"/>
          <w:rtl w:val="0"/>
          <w:lang w:val="en-US"/>
        </w:rPr>
        <w:t xml:space="preserve">Seretis C, Malik A et al. </w:t>
      </w:r>
      <w:r>
        <w:rPr>
          <w:rStyle w:val="None"/>
          <w:rFonts w:ascii="Calibri" w:cs="Calibri" w:hAnsi="Calibri" w:eastAsia="Calibri"/>
          <w:b w:val="0"/>
          <w:bCs w:val="0"/>
          <w:sz w:val="18"/>
          <w:szCs w:val="18"/>
          <w:rtl w:val="0"/>
          <w:lang w:val="en-US"/>
        </w:rPr>
        <w:t>Perioperative Intraperitoneal Chemotherapy for Peritoneal Surface Malignancies</w:t>
      </w:r>
      <w:r>
        <w:rPr>
          <w:rStyle w:val="None"/>
          <w:rFonts w:ascii="Calibri" w:cs="Calibri" w:hAnsi="Calibri" w:eastAsia="Calibri"/>
          <w:b w:val="0"/>
          <w:bCs w:val="0"/>
          <w:sz w:val="18"/>
          <w:szCs w:val="18"/>
          <w:rtl w:val="0"/>
          <w:lang w:val="en-US"/>
        </w:rPr>
        <w:t xml:space="preserve">. </w:t>
      </w:r>
      <w:r>
        <w:rPr>
          <w:rStyle w:val="None"/>
          <w:rFonts w:ascii="Calibri" w:cs="Calibri" w:hAnsi="Calibri" w:eastAsia="Calibri"/>
          <w:b w:val="0"/>
          <w:bCs w:val="0"/>
          <w:sz w:val="18"/>
          <w:szCs w:val="18"/>
          <w:rtl w:val="0"/>
          <w:lang w:val="en-US"/>
        </w:rPr>
        <w:t>J Clin Med Res</w:t>
      </w:r>
      <w:r>
        <w:rPr>
          <w:rStyle w:val="None"/>
          <w:rFonts w:ascii="Calibri" w:cs="Calibri" w:hAnsi="Calibri" w:eastAsia="Calibri"/>
          <w:b w:val="0"/>
          <w:bCs w:val="0"/>
          <w:sz w:val="18"/>
          <w:szCs w:val="18"/>
          <w:rtl w:val="0"/>
          <w:lang w:val="en-US"/>
        </w:rPr>
        <w:t xml:space="preserve"> </w:t>
      </w:r>
      <w:r>
        <w:rPr>
          <w:rStyle w:val="None"/>
          <w:rFonts w:ascii="Calibri" w:cs="Calibri" w:hAnsi="Calibri" w:eastAsia="Calibri"/>
          <w:b w:val="0"/>
          <w:bCs w:val="0"/>
          <w:sz w:val="18"/>
          <w:szCs w:val="18"/>
          <w:rtl w:val="0"/>
          <w:lang w:val="en-US"/>
        </w:rPr>
        <w:t>2020 Dec;12(12):773-779</w:t>
      </w:r>
    </w:p>
    <w:p>
      <w:pPr>
        <w:pStyle w:val="Normal.0"/>
        <w:tabs>
          <w:tab w:val="left" w:pos="384"/>
        </w:tabs>
        <w:ind w:right="117"/>
        <w:rPr>
          <w:rStyle w:val="None"/>
          <w:rFonts w:ascii="Calibri" w:cs="Calibri" w:hAnsi="Calibri" w:eastAsia="Calibri"/>
          <w:b w:val="1"/>
          <w:bCs w:val="1"/>
          <w:sz w:val="18"/>
          <w:szCs w:val="18"/>
          <w:lang w:val="en-US"/>
        </w:rPr>
      </w:pPr>
    </w:p>
    <w:p>
      <w:pPr>
        <w:pStyle w:val="Normal.0"/>
        <w:tabs>
          <w:tab w:val="left" w:pos="384"/>
        </w:tabs>
        <w:ind w:right="117"/>
        <w:rPr>
          <w:rFonts w:ascii="Calibri" w:cs="Calibri" w:hAnsi="Calibri" w:eastAsia="Calibri"/>
          <w:sz w:val="18"/>
          <w:szCs w:val="18"/>
          <w:lang w:val="en-US"/>
        </w:rPr>
      </w:pPr>
      <w:r>
        <w:rPr>
          <w:rStyle w:val="None"/>
          <w:rFonts w:ascii="Calibri" w:cs="Calibri" w:hAnsi="Calibri" w:eastAsia="Calibri"/>
          <w:b w:val="1"/>
          <w:bCs w:val="1"/>
          <w:sz w:val="18"/>
          <w:szCs w:val="18"/>
          <w:rtl w:val="0"/>
          <w:lang w:val="en-US"/>
        </w:rPr>
        <w:t>Malik A et al.</w:t>
      </w:r>
      <w:r>
        <w:rPr>
          <w:rStyle w:val="None"/>
          <w:rFonts w:ascii="Calibri" w:cs="Calibri" w:hAnsi="Calibri" w:eastAsia="Calibri"/>
          <w:sz w:val="18"/>
          <w:szCs w:val="18"/>
          <w:rtl w:val="0"/>
          <w:lang w:val="en-US"/>
        </w:rPr>
        <w:t xml:space="preserve"> </w:t>
      </w:r>
      <w:r>
        <w:rPr>
          <w:rStyle w:val="None"/>
          <w:rFonts w:ascii="Calibri" w:cs="Calibri" w:hAnsi="Calibri" w:eastAsia="Calibri"/>
          <w:sz w:val="18"/>
          <w:szCs w:val="18"/>
          <w:rtl w:val="0"/>
          <w:lang w:val="en-US"/>
        </w:rPr>
        <w:t>An elderly woman with intermittent and progressive abdominal pain.</w:t>
      </w:r>
      <w:r>
        <w:rPr>
          <w:rStyle w:val="None"/>
          <w:rFonts w:ascii="Calibri" w:cs="Calibri" w:hAnsi="Calibri" w:eastAsia="Calibri"/>
          <w:sz w:val="18"/>
          <w:szCs w:val="18"/>
          <w:rtl w:val="0"/>
          <w:lang w:val="en-US"/>
        </w:rPr>
        <w:t xml:space="preserve"> </w:t>
      </w:r>
      <w:r>
        <w:rPr>
          <w:rStyle w:val="None"/>
          <w:rFonts w:ascii="Calibri" w:cs="Calibri" w:hAnsi="Calibri" w:eastAsia="Calibri"/>
          <w:sz w:val="18"/>
          <w:szCs w:val="18"/>
          <w:rtl w:val="0"/>
          <w:lang w:val="en-US"/>
        </w:rPr>
        <w:t>J Am Coll Emerg Physicians Open. 2021 Jul 31;2(4):e12504.</w:t>
      </w:r>
    </w:p>
    <w:p>
      <w:pPr>
        <w:pStyle w:val="Normal.0"/>
        <w:tabs>
          <w:tab w:val="left" w:pos="384"/>
        </w:tabs>
        <w:ind w:right="117"/>
        <w:rPr>
          <w:rStyle w:val="None"/>
          <w:rFonts w:ascii="Calibri" w:cs="Calibri" w:hAnsi="Calibri" w:eastAsia="Calibri"/>
          <w:b w:val="0"/>
          <w:bCs w:val="0"/>
          <w:sz w:val="18"/>
          <w:szCs w:val="18"/>
          <w:lang w:val="en-US"/>
        </w:rPr>
      </w:pPr>
    </w:p>
    <w:p>
      <w:pPr>
        <w:pStyle w:val="Normal.0"/>
        <w:tabs>
          <w:tab w:val="left" w:pos="384"/>
        </w:tabs>
        <w:ind w:right="117"/>
        <w:rPr>
          <w:rStyle w:val="None"/>
          <w:rFonts w:ascii="Calibri" w:cs="Calibri" w:hAnsi="Calibri" w:eastAsia="Calibri"/>
          <w:b w:val="0"/>
          <w:bCs w:val="0"/>
          <w:sz w:val="18"/>
          <w:szCs w:val="18"/>
          <w:lang w:val="en-US"/>
        </w:rPr>
      </w:pPr>
      <w:r>
        <w:rPr>
          <w:rFonts w:ascii="Calibri" w:cs="Calibri" w:hAnsi="Calibri" w:eastAsia="Calibri"/>
          <w:b w:val="1"/>
          <w:bCs w:val="1"/>
          <w:sz w:val="18"/>
          <w:szCs w:val="18"/>
          <w:rtl w:val="0"/>
          <w:lang w:val="en-US"/>
        </w:rPr>
        <w:t>Seretis C, Malik A et al.</w:t>
      </w:r>
      <w:r>
        <w:rPr>
          <w:rStyle w:val="None"/>
          <w:rFonts w:ascii="Calibri" w:cs="Calibri" w:hAnsi="Calibri" w:eastAsia="Calibri"/>
          <w:b w:val="0"/>
          <w:bCs w:val="0"/>
          <w:sz w:val="18"/>
          <w:szCs w:val="18"/>
          <w:rtl w:val="0"/>
          <w:lang w:val="en-US"/>
        </w:rPr>
        <w:t xml:space="preserve"> </w:t>
      </w:r>
      <w:r>
        <w:rPr>
          <w:rStyle w:val="None"/>
          <w:rFonts w:ascii="Calibri" w:cs="Calibri" w:hAnsi="Calibri" w:eastAsia="Calibri"/>
          <w:b w:val="0"/>
          <w:bCs w:val="0"/>
          <w:sz w:val="18"/>
          <w:szCs w:val="18"/>
          <w:rtl w:val="0"/>
          <w:lang w:val="en-US"/>
        </w:rPr>
        <w:t>Percutaneous Retroperitoneoscopic Drainage of Complex Extraperitoneal Abscesses Using Flexible Endoscopy: Chirurgia (Bucur)</w:t>
      </w:r>
      <w:r>
        <w:rPr>
          <w:rStyle w:val="None"/>
          <w:rFonts w:ascii="Calibri" w:cs="Calibri" w:hAnsi="Calibri" w:eastAsia="Calibri"/>
          <w:b w:val="0"/>
          <w:bCs w:val="0"/>
          <w:sz w:val="18"/>
          <w:szCs w:val="18"/>
          <w:rtl w:val="0"/>
          <w:lang w:val="en-US"/>
        </w:rPr>
        <w:t xml:space="preserve"> </w:t>
      </w:r>
      <w:r>
        <w:rPr>
          <w:rStyle w:val="None"/>
          <w:rFonts w:ascii="Calibri" w:cs="Calibri" w:hAnsi="Calibri" w:eastAsia="Calibri"/>
          <w:b w:val="0"/>
          <w:bCs w:val="0"/>
          <w:sz w:val="18"/>
          <w:szCs w:val="18"/>
          <w:rtl w:val="0"/>
          <w:lang w:val="en-US"/>
        </w:rPr>
        <w:t>Nov-Dec 2020;115(6):792-797.</w:t>
      </w:r>
    </w:p>
    <w:p>
      <w:pPr>
        <w:pStyle w:val="Normal.0"/>
        <w:spacing w:line="200" w:lineRule="exact"/>
        <w:jc w:val="both"/>
        <w:sectPr>
          <w:type w:val="continuous"/>
          <w:pgSz w:w="11920" w:h="16840" w:orient="portrait"/>
          <w:pgMar w:top="1740" w:right="600" w:bottom="840" w:left="620" w:header="541" w:footer="642"/>
          <w:cols w:num="2" w:equalWidth="0">
            <w:col w:w="5229" w:space="138"/>
            <w:col w:w="5353" w:space="0"/>
          </w:cols>
          <w:bidi w:val="0"/>
        </w:sectPr>
      </w:pPr>
      <w:r>
        <w:rPr>
          <w:rStyle w:val="None"/>
          <w:rFonts w:ascii="Calibri" w:cs="Calibri" w:hAnsi="Calibri" w:eastAsia="Calibri"/>
          <w:rtl w:val="0"/>
          <w:lang w:val="en-US"/>
        </w:rPr>
        <w:t xml:space="preserve">   </w:t>
      </w:r>
    </w:p>
    <w:p>
      <w:pPr>
        <w:pStyle w:val="Body Text"/>
        <w:rPr>
          <w:rFonts w:ascii="Calibri" w:cs="Calibri" w:hAnsi="Calibri" w:eastAsia="Calibri"/>
          <w:sz w:val="20"/>
          <w:szCs w:val="20"/>
        </w:rPr>
      </w:pPr>
    </w:p>
    <w:p>
      <w:pPr>
        <w:pStyle w:val="Body Text"/>
        <w:spacing w:line="40" w:lineRule="exact"/>
        <w:ind w:left="2202" w:firstLine="0"/>
        <w:rPr>
          <w:rStyle w:val="None"/>
          <w:rFonts w:ascii="Calibri" w:cs="Calibri" w:hAnsi="Calibri" w:eastAsia="Calibri"/>
          <w:sz w:val="4"/>
          <w:szCs w:val="4"/>
        </w:rPr>
      </w:pPr>
      <w:r>
        <mc:AlternateContent>
          <mc:Choice Requires="wps">
            <w:drawing>
              <wp:inline distT="0" distB="0" distL="0" distR="0">
                <wp:extent cx="3950335" cy="0"/>
                <wp:effectExtent l="0" t="0" r="0" b="0"/>
                <wp:docPr id="1073741830" name="officeArt object"/>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r>
        <mc:AlternateContent>
          <mc:Choice Requires="wps">
            <w:drawing>
              <wp:inline distT="0" distB="0" distL="0" distR="0">
                <wp:extent cx="3975735" cy="25400"/>
                <wp:effectExtent l="0" t="0" r="0" b="0"/>
                <wp:docPr id="1073741831" name="officeArt object"/>
                <wp:cNvGraphicFramePr/>
                <a:graphic xmlns:a="http://schemas.openxmlformats.org/drawingml/2006/main">
                  <a:graphicData uri="http://schemas.microsoft.com/office/word/2010/wordprocessingShape">
                    <wps:wsp>
                      <wps:cNvSpPr/>
                      <wps:spPr>
                        <a:xfrm>
                          <a:off x="0" y="0"/>
                          <a:ext cx="3975735" cy="25400"/>
                        </a:xfrm>
                        <a:prstGeom prst="rect">
                          <a:avLst/>
                        </a:prstGeom>
                        <a:noFill/>
                        <a:ln w="12700" cap="flat">
                          <a:noFill/>
                          <a:miter lim="400000"/>
                        </a:ln>
                        <a:effectLst/>
                      </wps:spPr>
                      <wps:bodyPr/>
                    </wps:wsp>
                  </a:graphicData>
                </a:graphic>
              </wp:inline>
            </w:drawing>
          </mc:Choice>
          <mc:Fallback>
            <w:pict>
              <v:rect id="_x0000_s1027" style="visibility:visible;width:313.0pt;height:2.0pt;">
                <v:fill on="f"/>
                <v:stroke on="f" weight="1.0pt" dashstyle="solid" endcap="flat" miterlimit="400.0%" joinstyle="miter" linestyle="single" startarrow="none" startarrowwidth="medium" startarrowlength="medium" endarrow="none" endarrowwidth="medium" endarrowlength="medium"/>
              </v:rect>
            </w:pict>
          </mc:Fallback>
        </mc:AlternateContent>
      </w:r>
    </w:p>
    <w:p>
      <w:pPr>
        <w:pStyle w:val="Normal.0"/>
        <w:spacing w:before="92"/>
        <w:ind w:right="4234"/>
        <w:rPr>
          <w:rStyle w:val="None"/>
          <w:rFonts w:ascii="Arial" w:cs="Arial" w:hAnsi="Arial" w:eastAsia="Arial"/>
          <w:sz w:val="14"/>
          <w:szCs w:val="14"/>
        </w:rPr>
      </w:pPr>
      <w:r>
        <w:rPr>
          <w:rtl w:val="0"/>
          <w:lang w:val="en-US"/>
        </w:rPr>
        <w:t xml:space="preserve">    </w:t>
      </w:r>
    </w:p>
    <w:p>
      <w:pPr>
        <w:pStyle w:val="Normal.0"/>
        <w:spacing w:before="41" w:line="154" w:lineRule="exact"/>
        <w:ind w:left="213" w:right="231" w:firstLine="0"/>
        <w:jc w:val="both"/>
        <w:rPr>
          <w:rStyle w:val="None"/>
          <w:rFonts w:ascii="Arial" w:cs="Arial" w:hAnsi="Arial" w:eastAsia="Arial"/>
          <w:sz w:val="14"/>
          <w:szCs w:val="14"/>
        </w:rPr>
      </w:pPr>
      <w:r>
        <w:rPr>
          <w:rStyle w:val="None"/>
          <w:rFonts w:ascii="Arial" w:hAnsi="Arial"/>
          <w:sz w:val="14"/>
          <w:szCs w:val="14"/>
          <w:rtl w:val="0"/>
          <w:lang w:val="en-US"/>
        </w:rPr>
        <w:t>Adnan Malik is a surgical trainee at University Hospitals Coventry and Warwickshire NHS Trust. He is a member of the Royal College of Surgeons of England and has also completed a bachelor of medical science from the University of Nottingham in which his dissertation was on enhanced recovery of surgery. He has a keen interest in surgical academia and has published widely on a range of topics</w:t>
      </w:r>
    </w:p>
    <w:p>
      <w:pPr>
        <w:pStyle w:val="Normal.0"/>
        <w:spacing w:before="62"/>
        <w:ind w:left="4217" w:right="4235" w:firstLine="0"/>
        <w:jc w:val="center"/>
        <w:rPr>
          <w:rStyle w:val="None"/>
          <w:rFonts w:ascii="Arial" w:cs="Arial" w:hAnsi="Arial" w:eastAsia="Arial"/>
          <w:sz w:val="14"/>
          <w:szCs w:val="14"/>
        </w:rPr>
      </w:pPr>
      <w:r>
        <w:rPr>
          <w:rStyle w:val="None"/>
          <w:rFonts w:ascii="Arial" w:hAnsi="Arial"/>
          <w:sz w:val="14"/>
          <w:szCs w:val="14"/>
          <w:rtl w:val="0"/>
          <w:lang w:val="en-US"/>
        </w:rPr>
        <w:t xml:space="preserve">Email: </w:t>
      </w:r>
      <w:r>
        <w:rPr>
          <w:rStyle w:val="None"/>
          <w:rFonts w:ascii="Arial" w:hAnsi="Arial"/>
          <w:sz w:val="14"/>
          <w:szCs w:val="14"/>
          <w:rtl w:val="0"/>
          <w:lang w:val="en-US"/>
        </w:rPr>
        <w:t>adnan.malik93@doctors.net.uk</w:t>
      </w:r>
    </w:p>
    <w:p>
      <w:pPr>
        <w:pStyle w:val="Body Text"/>
        <w:spacing w:before="2"/>
        <w:rPr>
          <w:rStyle w:val="None"/>
          <w:rFonts w:ascii="Arial" w:cs="Arial" w:hAnsi="Arial" w:eastAsia="Arial"/>
          <w:sz w:val="19"/>
          <w:szCs w:val="19"/>
        </w:rPr>
      </w:pPr>
      <w: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2" name="officeArt object"/>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8"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Style w:val="None"/>
          <w:rFonts w:ascii="Arial" w:cs="Arial" w:hAnsi="Arial" w:eastAsia="Arial"/>
          <w:sz w:val="20"/>
          <w:szCs w:val="20"/>
        </w:rPr>
      </w:pPr>
    </w:p>
    <w:p>
      <w:pPr>
        <w:pStyle w:val="Body Text"/>
        <w:rPr>
          <w:rStyle w:val="None"/>
          <w:rFonts w:ascii="Arial" w:cs="Arial" w:hAnsi="Arial" w:eastAsia="Arial"/>
          <w:sz w:val="20"/>
          <w:szCs w:val="20"/>
        </w:rPr>
      </w:pPr>
    </w:p>
    <w:p>
      <w:pPr>
        <w:pStyle w:val="Body Text"/>
        <w:spacing w:before="7"/>
        <w:rPr>
          <w:rStyle w:val="None"/>
          <w:rFonts w:ascii="Arial" w:cs="Arial" w:hAnsi="Arial" w:eastAsia="Arial"/>
          <w:sz w:val="29"/>
          <w:szCs w:val="29"/>
        </w:rPr>
      </w:pPr>
    </w:p>
    <w:p>
      <w:pPr>
        <w:pStyle w:val="Normal.0"/>
      </w:pPr>
      <w:r>
        <w:rPr>
          <w:rStyle w:val="None"/>
          <w:rFonts w:ascii="Minion Pro" w:cs="Minion Pro" w:hAnsi="Minion Pro" w:eastAsia="Minion Pro"/>
          <w:b w:val="1"/>
          <w:bCs w:val="1"/>
          <w:sz w:val="20"/>
          <w:szCs w:val="20"/>
        </w:rPr>
        <w:br w:type="page"/>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25" name="officeArt object"/>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Normal.0"/>
                            <w:spacing w:before="2" w:line="249" w:lineRule="auto"/>
                            <w:ind w:left="156" w:right="18" w:hanging="137"/>
                          </w:pPr>
                          <w:r>
                            <w:rPr>
                              <w:rFonts w:ascii="Arial" w:hAnsi="Arial"/>
                              <w:color w:val="ffffff"/>
                              <w:sz w:val="14"/>
                              <w:szCs w:val="14"/>
                              <w:u w:color="ffffff"/>
                              <w:rtl w:val="0"/>
                              <w:lang w:val="en-US"/>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9"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before="2" w:line="249" w:lineRule="auto"/>
                      <w:ind w:left="156" w:right="18" w:hanging="137"/>
                    </w:pPr>
                    <w:r>
                      <w:rPr>
                        <w:rFonts w:ascii="Arial" w:hAnsi="Arial"/>
                        <w:color w:val="ffffff"/>
                        <w:sz w:val="14"/>
                        <w:szCs w:val="14"/>
                        <w:u w:color="ffffff"/>
                        <w:rtl w:val="0"/>
                        <w:lang w:val="en-US"/>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613410</wp:posOffset>
              </wp:positionV>
              <wp:extent cx="6606541" cy="509270"/>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Normal.0"/>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48.3pt;width:520.2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Normal.0"/>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en-US"/>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Normal.0"/>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Normal.0"/>
                            <w:spacing w:before="8"/>
                            <w:ind w:left="20" w:firstLine="0"/>
                          </w:pPr>
                          <w:r>
                            <w:rPr>
                              <w:rStyle w:val="None"/>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31"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Normal.0"/>
                      <w:spacing w:before="8"/>
                      <w:ind w:left="20" w:firstLine="0"/>
                    </w:pPr>
                    <w:r>
                      <w:rPr>
                        <w:rStyle w:val="None"/>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10147934</wp:posOffset>
              </wp:positionV>
              <wp:extent cx="1167131" cy="316866"/>
              <wp:effectExtent l="0" t="0" r="0" b="0"/>
              <wp:wrapNone/>
              <wp:docPr id="1073741828" name="officeArt object"/>
              <wp:cNvGraphicFramePr/>
              <a:graphic xmlns:a="http://schemas.openxmlformats.org/drawingml/2006/main">
                <a:graphicData uri="http://schemas.microsoft.com/office/word/2010/wordprocessingShape">
                  <wps:wsp>
                    <wps:cNvSpPr txBox="1"/>
                    <wps:spPr>
                      <a:xfrm>
                        <a:off x="0" y="0"/>
                        <a:ext cx="1167131" cy="316866"/>
                      </a:xfrm>
                      <a:prstGeom prst="rect">
                        <a:avLst/>
                      </a:prstGeom>
                      <a:noFill/>
                      <a:ln w="12700" cap="flat">
                        <a:noFill/>
                        <a:miter lim="400000"/>
                      </a:ln>
                      <a:effectLst/>
                    </wps:spPr>
                    <wps:txbx>
                      <w:txbxContent>
                        <w:p>
                          <w:pPr>
                            <w:pStyle w:val="Normal.0"/>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lang w:val="en-US"/>
                            </w:rPr>
                            <w:t>Fibromyalgia 2016</w:t>
                          </w:r>
                        </w:p>
                        <w:p>
                          <w:pPr>
                            <w:pStyle w:val="Normal.0"/>
                            <w:spacing w:before="29"/>
                            <w:jc w:val="center"/>
                          </w:pPr>
                          <w:r>
                            <w:rPr>
                              <w:rStyle w:val="None"/>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32" type="#_x0000_t202" style="visibility:visible;position:absolute;margin-left:252.1pt;margin-top:799.0pt;width:91.9pt;height:25.0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lang w:val="en-US"/>
                      </w:rPr>
                      <w:t>Fibromyalgia 2016</w:t>
                    </w:r>
                  </w:p>
                  <w:p>
                    <w:pPr>
                      <w:pStyle w:val="Normal.0"/>
                      <w:spacing w:before="29"/>
                      <w:jc w:val="center"/>
                    </w:pPr>
                    <w:r>
                      <w:rPr>
                        <w:rStyle w:val="None"/>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1073741829" name="officeArt object"/>
              <wp:cNvGraphicFramePr/>
              <a:graphic xmlns:a="http://schemas.openxmlformats.org/drawingml/2006/main">
                <a:graphicData uri="http://schemas.microsoft.com/office/word/2010/wordprocessingShape">
                  <wps:wsp>
                    <wps:cNvSpPr txBox="1"/>
                    <wps:spPr>
                      <a:xfrm>
                        <a:off x="0" y="0"/>
                        <a:ext cx="1160780" cy="330835"/>
                      </a:xfrm>
                      <a:prstGeom prst="rect">
                        <a:avLst/>
                      </a:prstGeom>
                      <a:noFill/>
                      <a:ln w="12700" cap="flat">
                        <a:noFill/>
                        <a:miter lim="400000"/>
                      </a:ln>
                      <a:effectLst/>
                    </wps:spPr>
                    <wps:txbx>
                      <w:txbxContent>
                        <w:p>
                          <w:pPr>
                            <w:pStyle w:val="Normal.0"/>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Normal.0"/>
                            <w:spacing w:before="116"/>
                            <w:ind w:right="18"/>
                            <w:jc w:val="right"/>
                          </w:pPr>
                          <w:r>
                            <w:rPr>
                              <w:rStyle w:val="None"/>
                              <w:rFonts w:ascii="Minion Pro" w:cs="Minion Pro" w:hAnsi="Minion Pro" w:eastAsia="Minion Pro"/>
                              <w:color w:val="ffffff"/>
                              <w:sz w:val="16"/>
                              <w:szCs w:val="16"/>
                              <w:u w:color="ffffff"/>
                              <w:rtl w:val="0"/>
                              <w:lang w:val="en-US"/>
                            </w:rPr>
                            <w:t>Page 40</w:t>
                          </w:r>
                        </w:p>
                      </w:txbxContent>
                    </wps:txbx>
                    <wps:bodyPr wrap="square" lIns="0" tIns="0" rIns="0" bIns="0" numCol="1" anchor="t">
                      <a:noAutofit/>
                    </wps:bodyPr>
                  </wps:wsp>
                </a:graphicData>
              </a:graphic>
            </wp:anchor>
          </w:drawing>
        </mc:Choice>
        <mc:Fallback>
          <w:pict>
            <v:shape id="_x0000_s1033" type="#_x0000_t202" style="visibility:visible;position:absolute;margin-left:468.9pt;margin-top:798.8pt;width:91.4pt;height:26.0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Normal.0"/>
                      <w:spacing w:before="116"/>
                      <w:ind w:right="18"/>
                      <w:jc w:val="right"/>
                    </w:pPr>
                    <w:r>
                      <w:rPr>
                        <w:rStyle w:val="None"/>
                        <w:rFonts w:ascii="Minion Pro" w:cs="Minion Pro" w:hAnsi="Minion Pro" w:eastAsia="Minion Pro"/>
                        <w:color w:val="ffffff"/>
                        <w:sz w:val="16"/>
                        <w:szCs w:val="16"/>
                        <w:u w:color="ffffff"/>
                        <w:rtl w:val="0"/>
                        <w:lang w:val="en-US"/>
                      </w:rPr>
                      <w:t>Page 40</w:t>
                    </w:r>
                  </w:p>
                </w:txbxContent>
              </v:textbox>
              <w10:wrap type="none" side="bothSides" anchorx="page" anchory="page"/>
            </v:shape>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Normal.0">
    <w:name w:val="Normal"/>
    <w:next w:val="Normal.0"/>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None">
    <w:name w:val="None"/>
  </w:style>
  <w:style w:type="character" w:styleId="Hyperlink.0">
    <w:name w:val="Hyperlink.0"/>
    <w:basedOn w:val="None"/>
    <w:next w:val="Hyperlink.0"/>
    <w:rPr>
      <w:rFonts w:ascii="Arial" w:cs="Arial" w:hAnsi="Arial" w:eastAsia="Arial"/>
      <w:color w:val="ffffff"/>
      <w:sz w:val="14"/>
      <w:szCs w:val="14"/>
      <w:u w:color="ffffff"/>
    </w:rPr>
  </w:style>
  <w:style w:type="paragraph" w:styleId="Heading 1">
    <w:name w:val="Heading 1"/>
    <w:next w:val="Heading 1"/>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