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39A92" w14:textId="61474F94" w:rsidR="00201A3C" w:rsidRDefault="00201A3C" w:rsidP="00201A3C">
      <w:pPr>
        <w:pStyle w:val="NormalWeb"/>
        <w:shd w:val="clear" w:color="auto" w:fill="FFFFFF"/>
        <w:textAlignment w:val="baseline"/>
        <w:rPr>
          <w:b/>
          <w:bCs/>
        </w:rPr>
      </w:pPr>
      <w:r w:rsidRPr="005740DF">
        <w:rPr>
          <w:b/>
          <w:bCs/>
        </w:rPr>
        <w:t xml:space="preserve">A Review of the </w:t>
      </w:r>
      <w:r w:rsidRPr="005740DF">
        <w:rPr>
          <w:b/>
          <w:bCs/>
        </w:rPr>
        <w:t xml:space="preserve">Effects of COVID-19 on Negative Appendicectomy Rate </w:t>
      </w:r>
      <w:r w:rsidRPr="005740DF">
        <w:rPr>
          <w:b/>
          <w:bCs/>
        </w:rPr>
        <w:t xml:space="preserve">in NHS GGC </w:t>
      </w:r>
      <w:r w:rsidRPr="005740DF">
        <w:rPr>
          <w:b/>
          <w:bCs/>
        </w:rPr>
        <w:t>- A Retrospective Study</w:t>
      </w:r>
      <w:r w:rsidRPr="005740DF">
        <w:rPr>
          <w:b/>
          <w:bCs/>
        </w:rPr>
        <w:t xml:space="preserve"> of 2020</w:t>
      </w:r>
    </w:p>
    <w:p w14:paraId="07C4D129" w14:textId="45C64E58" w:rsidR="005740DF" w:rsidRPr="005740DF" w:rsidRDefault="005740DF" w:rsidP="00201A3C">
      <w:pPr>
        <w:pStyle w:val="NormalWeb"/>
        <w:shd w:val="clear" w:color="auto" w:fill="FFFFFF"/>
        <w:textAlignment w:val="baseline"/>
        <w:rPr>
          <w:rStyle w:val="Strong"/>
          <w:rFonts w:ascii="Arial" w:hAnsi="Arial" w:cs="Arial"/>
          <w:b w:val="0"/>
          <w:bCs w:val="0"/>
          <w:color w:val="414141"/>
        </w:rPr>
      </w:pPr>
      <w:r>
        <w:t>Eamonn Bradley, Queen Elizabeth University Hospital, Glasgow, UK</w:t>
      </w:r>
    </w:p>
    <w:p w14:paraId="16965A4F" w14:textId="77777777" w:rsidR="00201A3C" w:rsidRDefault="00201A3C" w:rsidP="00201A3C">
      <w:pPr>
        <w:pStyle w:val="NormalWeb"/>
        <w:shd w:val="clear" w:color="auto" w:fill="FFFFFF"/>
        <w:textAlignment w:val="baseline"/>
        <w:rPr>
          <w:rStyle w:val="Strong"/>
          <w:rFonts w:ascii="Arial" w:hAnsi="Arial" w:cs="Arial"/>
          <w:i/>
          <w:iCs/>
          <w:color w:val="414141"/>
        </w:rPr>
      </w:pPr>
    </w:p>
    <w:p w14:paraId="6F397BC9" w14:textId="098D8E3C" w:rsidR="00201A3C" w:rsidRDefault="00201A3C" w:rsidP="00201A3C">
      <w:pPr>
        <w:pStyle w:val="NormalWeb"/>
        <w:shd w:val="clear" w:color="auto" w:fill="FFFFFF"/>
        <w:textAlignment w:val="baseline"/>
        <w:rPr>
          <w:rFonts w:ascii="Arial" w:hAnsi="Arial" w:cs="Arial"/>
          <w:color w:val="414141"/>
        </w:rPr>
      </w:pPr>
      <w:r>
        <w:rPr>
          <w:rStyle w:val="Strong"/>
          <w:rFonts w:ascii="Arial" w:hAnsi="Arial" w:cs="Arial"/>
          <w:i/>
          <w:iCs/>
          <w:color w:val="414141"/>
        </w:rPr>
        <w:t>Aim - </w:t>
      </w:r>
      <w:r>
        <w:rPr>
          <w:rFonts w:ascii="Arial" w:hAnsi="Arial" w:cs="Arial"/>
          <w:color w:val="414141"/>
        </w:rPr>
        <w:t>Appendicectomy is among the most common surgical procedures performed globally. Negative Appendicectomy Rate (NAR) therefore represents a significant surgical burden which is potentially avoidable. We examined the NAR in NHS GGC, and whether COVID-19 and lockdown affected this</w:t>
      </w:r>
    </w:p>
    <w:p w14:paraId="0B4EBD97" w14:textId="77777777" w:rsidR="00201A3C" w:rsidRDefault="00201A3C" w:rsidP="00201A3C">
      <w:pPr>
        <w:pStyle w:val="NormalWeb"/>
        <w:shd w:val="clear" w:color="auto" w:fill="FFFFFF"/>
        <w:textAlignment w:val="baseline"/>
        <w:rPr>
          <w:rFonts w:ascii="Arial" w:hAnsi="Arial" w:cs="Arial"/>
          <w:color w:val="414141"/>
        </w:rPr>
      </w:pPr>
      <w:r>
        <w:rPr>
          <w:rStyle w:val="Strong"/>
          <w:rFonts w:ascii="Arial" w:hAnsi="Arial" w:cs="Arial"/>
          <w:i/>
          <w:iCs/>
          <w:color w:val="414141"/>
        </w:rPr>
        <w:t>Method </w:t>
      </w:r>
      <w:r>
        <w:rPr>
          <w:rFonts w:ascii="Arial" w:hAnsi="Arial" w:cs="Arial"/>
          <w:color w:val="414141"/>
        </w:rPr>
        <w:t>- A retrospective review of all appendicectomies carried out within NHS GGC between 28/12/19 and 31/12/20. We reviewed intraoperative findings, post-operative histology, and demographic information.</w:t>
      </w:r>
    </w:p>
    <w:p w14:paraId="66CC0F29" w14:textId="77777777" w:rsidR="00201A3C" w:rsidRDefault="00201A3C" w:rsidP="00201A3C">
      <w:pPr>
        <w:pStyle w:val="NormalWeb"/>
        <w:shd w:val="clear" w:color="auto" w:fill="FFFFFF"/>
        <w:textAlignment w:val="baseline"/>
        <w:rPr>
          <w:rFonts w:ascii="Arial" w:hAnsi="Arial" w:cs="Arial"/>
          <w:color w:val="414141"/>
        </w:rPr>
      </w:pPr>
      <w:r>
        <w:rPr>
          <w:rStyle w:val="Strong"/>
          <w:rFonts w:ascii="Arial" w:hAnsi="Arial" w:cs="Arial"/>
          <w:i/>
          <w:iCs/>
          <w:color w:val="414141"/>
        </w:rPr>
        <w:t>Results</w:t>
      </w:r>
      <w:r>
        <w:rPr>
          <w:rFonts w:ascii="Arial" w:hAnsi="Arial" w:cs="Arial"/>
          <w:color w:val="414141"/>
        </w:rPr>
        <w:t> - Of 686 cases, 352 were male and 334 female (51.3% vs 48.7%). 554 (80.1%) were found to be positive for acute appendicitis on histology, and 610 (88.9%) had abnormal pathology histologically, resulting in an NAR of 11.1%.  However, these 686 contain 73 (10.6%) which were carried out for reasons other than suspected acute appendicitis. 79.1% of these were done laparoscopically, with 20.9% done either open or through emergency laparotomy. This gives an NAR in patients with suspected appendicitis of 9.62%. The NAR was higher for female patients than male patients (15.6% vs 6.82%), in keeping with previous studies. We also found that the NAR was nearly twice as high pre-COVID pandemic lockdown than post lockdown (16.7% vs 9.0%). </w:t>
      </w:r>
    </w:p>
    <w:p w14:paraId="3D6E98C6" w14:textId="63B85B9C" w:rsidR="00201A3C" w:rsidRDefault="00201A3C" w:rsidP="00201A3C">
      <w:pPr>
        <w:pStyle w:val="NormalWeb"/>
        <w:shd w:val="clear" w:color="auto" w:fill="FFFFFF"/>
        <w:textAlignment w:val="baseline"/>
        <w:rPr>
          <w:rFonts w:ascii="Arial" w:hAnsi="Arial" w:cs="Arial"/>
          <w:color w:val="414141"/>
        </w:rPr>
      </w:pPr>
      <w:r>
        <w:rPr>
          <w:rStyle w:val="Emphasis"/>
          <w:rFonts w:ascii="Arial" w:hAnsi="Arial" w:cs="Arial"/>
          <w:b/>
          <w:bCs/>
          <w:color w:val="414141"/>
        </w:rPr>
        <w:t>Conclusions </w:t>
      </w:r>
      <w:r>
        <w:rPr>
          <w:rFonts w:ascii="Arial" w:hAnsi="Arial" w:cs="Arial"/>
          <w:color w:val="414141"/>
        </w:rPr>
        <w:t>- The overall NAR in NHS GGC was 11.1%, and was over twice as high in women than in men. NAR was higher pre-COVID lockdown than post, suggesting a higher threshold of proof needed to proceed to theatre due to the restrictions of the pandemic. </w:t>
      </w:r>
    </w:p>
    <w:p w14:paraId="329F611D" w14:textId="275D6F87" w:rsidR="005740DF" w:rsidRDefault="005740DF" w:rsidP="00201A3C">
      <w:pPr>
        <w:pStyle w:val="NormalWeb"/>
        <w:shd w:val="clear" w:color="auto" w:fill="FFFFFF"/>
        <w:textAlignment w:val="baseline"/>
        <w:rPr>
          <w:rFonts w:ascii="Arial" w:hAnsi="Arial" w:cs="Arial"/>
          <w:color w:val="414141"/>
        </w:rPr>
      </w:pPr>
    </w:p>
    <w:p w14:paraId="468C474A" w14:textId="39BF52EE" w:rsidR="005740DF" w:rsidRDefault="005740DF" w:rsidP="00201A3C">
      <w:pPr>
        <w:pStyle w:val="NormalWeb"/>
        <w:shd w:val="clear" w:color="auto" w:fill="FFFFFF"/>
        <w:textAlignment w:val="baseline"/>
        <w:rPr>
          <w:rFonts w:ascii="Arial" w:hAnsi="Arial" w:cs="Arial"/>
          <w:color w:val="414141"/>
        </w:rPr>
      </w:pPr>
      <w:r>
        <w:rPr>
          <w:rFonts w:ascii="Arial" w:hAnsi="Arial" w:cs="Arial"/>
          <w:color w:val="414141"/>
        </w:rPr>
        <w:t>Recent Publications</w:t>
      </w:r>
    </w:p>
    <w:p w14:paraId="2B54C949" w14:textId="7251CE1B" w:rsidR="005740DF" w:rsidRDefault="005740DF" w:rsidP="00201A3C">
      <w:pPr>
        <w:pStyle w:val="NormalWeb"/>
        <w:shd w:val="clear" w:color="auto" w:fill="FFFFFF"/>
        <w:textAlignment w:val="baseline"/>
        <w:rPr>
          <w:rFonts w:ascii="Arial" w:hAnsi="Arial" w:cs="Arial"/>
          <w:color w:val="414141"/>
        </w:rPr>
      </w:pPr>
      <w:r>
        <w:rPr>
          <w:rFonts w:ascii="Arial" w:hAnsi="Arial" w:cs="Arial"/>
          <w:color w:val="414141"/>
        </w:rPr>
        <w:t>Nil</w:t>
      </w:r>
    </w:p>
    <w:p w14:paraId="475CE8E7" w14:textId="525FD2F0" w:rsidR="005740DF" w:rsidRDefault="005740DF" w:rsidP="005740DF"/>
    <w:p w14:paraId="412C260B" w14:textId="0BA6F8FC" w:rsidR="005740DF" w:rsidRDefault="005740DF" w:rsidP="005740DF">
      <w:r>
        <w:t>Biography</w:t>
      </w:r>
    </w:p>
    <w:p w14:paraId="5EF61063" w14:textId="5BE90A70" w:rsidR="005740DF" w:rsidRPr="005740DF" w:rsidRDefault="005740DF" w:rsidP="005740DF">
      <w:pPr>
        <w:rPr>
          <w:sz w:val="24"/>
          <w:szCs w:val="24"/>
        </w:rPr>
      </w:pPr>
      <w:r>
        <w:rPr>
          <w:sz w:val="24"/>
          <w:szCs w:val="24"/>
        </w:rPr>
        <w:t>Eamonn Bradley</w:t>
      </w:r>
      <w:r w:rsidRPr="005740DF">
        <w:rPr>
          <w:sz w:val="24"/>
          <w:szCs w:val="24"/>
        </w:rPr>
        <w:t xml:space="preserve"> is </w:t>
      </w:r>
      <w:r>
        <w:rPr>
          <w:sz w:val="24"/>
          <w:szCs w:val="24"/>
        </w:rPr>
        <w:t>Clinical Fellow i</w:t>
      </w:r>
      <w:r w:rsidRPr="005740DF">
        <w:rPr>
          <w:sz w:val="24"/>
          <w:szCs w:val="24"/>
        </w:rPr>
        <w:t xml:space="preserve">n </w:t>
      </w:r>
      <w:r>
        <w:rPr>
          <w:sz w:val="24"/>
          <w:szCs w:val="24"/>
        </w:rPr>
        <w:t>General Surgery</w:t>
      </w:r>
      <w:r w:rsidRPr="005740DF">
        <w:rPr>
          <w:sz w:val="24"/>
          <w:szCs w:val="24"/>
        </w:rPr>
        <w:t xml:space="preserve"> at </w:t>
      </w:r>
      <w:r>
        <w:rPr>
          <w:sz w:val="24"/>
          <w:szCs w:val="24"/>
        </w:rPr>
        <w:t>Queen Elizabeth University</w:t>
      </w:r>
      <w:r w:rsidRPr="005740DF">
        <w:rPr>
          <w:sz w:val="24"/>
          <w:szCs w:val="24"/>
        </w:rPr>
        <w:t xml:space="preserve"> Hospital. </w:t>
      </w:r>
    </w:p>
    <w:p w14:paraId="4AAE6F58" w14:textId="6D408173" w:rsidR="005740DF" w:rsidRDefault="005740DF" w:rsidP="005740DF">
      <w:r w:rsidRPr="005740DF">
        <w:rPr>
          <w:sz w:val="24"/>
          <w:szCs w:val="24"/>
        </w:rPr>
        <w:t xml:space="preserve">Email: </w:t>
      </w:r>
      <w:r>
        <w:rPr>
          <w:sz w:val="24"/>
          <w:szCs w:val="24"/>
        </w:rPr>
        <w:t>eamonn.bradley@ggc.scot.nhs.uk</w:t>
      </w:r>
      <w:hyperlink r:id="rId4" w:history="1"/>
    </w:p>
    <w:p w14:paraId="5F070970" w14:textId="77777777" w:rsidR="0063775B" w:rsidRDefault="0063775B"/>
    <w:sectPr w:rsidR="006377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A3C"/>
    <w:rsid w:val="00201A3C"/>
    <w:rsid w:val="00256181"/>
    <w:rsid w:val="00325411"/>
    <w:rsid w:val="005740DF"/>
    <w:rsid w:val="0063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EF28A"/>
  <w15:chartTrackingRefBased/>
  <w15:docId w15:val="{87ACE318-5FCD-4EDA-B92F-D33962460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01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201A3C"/>
    <w:rPr>
      <w:i/>
      <w:iCs/>
    </w:rPr>
  </w:style>
  <w:style w:type="character" w:styleId="Strong">
    <w:name w:val="Strong"/>
    <w:basedOn w:val="DefaultParagraphFont"/>
    <w:uiPriority w:val="22"/>
    <w:qFormat/>
    <w:rsid w:val="00201A3C"/>
    <w:rPr>
      <w:b/>
      <w:bCs/>
    </w:rPr>
  </w:style>
  <w:style w:type="character" w:styleId="Hyperlink">
    <w:name w:val="Hyperlink"/>
    <w:uiPriority w:val="99"/>
    <w:semiHidden/>
    <w:unhideWhenUsed/>
    <w:rsid w:val="005740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9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rXXXXXXX@xxx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Eamonn Bradley</dc:creator>
  <cp:keywords/>
  <dc:description/>
  <cp:lastModifiedBy>Eamonn Bradley</cp:lastModifiedBy>
  <cp:revision>2</cp:revision>
  <dcterms:created xsi:type="dcterms:W3CDTF">2021-10-21T21:11:00Z</dcterms:created>
  <dcterms:modified xsi:type="dcterms:W3CDTF">2021-10-21T21:17:00Z</dcterms:modified>
</cp:coreProperties>
</file>