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FC86C" w14:textId="77777777" w:rsidR="00EB76A2" w:rsidRDefault="00EB76A2" w:rsidP="00EB76A2"/>
    <w:p w14:paraId="3AB8AD41" w14:textId="77777777" w:rsidR="00EB76A2" w:rsidRDefault="00EB76A2" w:rsidP="00EB76A2">
      <w:pPr>
        <w:sectPr w:rsidR="00EB76A2" w:rsidSect="00EF20DD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C06D9A">
        <w:rPr>
          <w:rFonts w:asciiTheme="majorHAnsi" w:eastAsia="Times New Roman" w:hAnsiTheme="majorHAnsi" w:cstheme="majorBidi"/>
          <w:b/>
          <w:bCs/>
          <w:color w:val="2F5496" w:themeColor="accent1" w:themeShade="BF"/>
          <w:sz w:val="32"/>
          <w:szCs w:val="32"/>
          <w:u w:val="single"/>
          <w:lang w:val="en-US" w:eastAsia="en-GB"/>
        </w:rPr>
        <w:t xml:space="preserve">The sustainable value of analgesics within the NHS: </w:t>
      </w:r>
      <w:r w:rsidRPr="00C06D9A">
        <w:rPr>
          <w:rFonts w:asciiTheme="majorHAnsi" w:eastAsia="Times New Roman" w:hAnsiTheme="majorHAnsi" w:cstheme="majorBidi"/>
          <w:b/>
          <w:bCs/>
          <w:color w:val="2F5496" w:themeColor="accent1" w:themeShade="BF"/>
          <w:sz w:val="32"/>
          <w:szCs w:val="32"/>
          <w:u w:val="single"/>
          <w:lang w:val="en-US" w:eastAsia="en-GB"/>
        </w:rPr>
        <w:br/>
      </w:r>
      <w:r w:rsidRPr="00C06D9A">
        <w:rPr>
          <w:rFonts w:asciiTheme="majorHAnsi" w:eastAsia="Times New Roman" w:hAnsiTheme="majorHAnsi" w:cstheme="majorBidi"/>
          <w:color w:val="2F5496" w:themeColor="accent1" w:themeShade="BF"/>
          <w:sz w:val="32"/>
          <w:szCs w:val="32"/>
          <w:u w:val="single"/>
          <w:lang w:eastAsia="en-GB"/>
        </w:rPr>
        <w:t>Could adoption of oral pre-operative analgesia reduce the need for IV analgesics, hence reducing the environmental and economic impact IV drug use contributes to the NHS?</w:t>
      </w:r>
    </w:p>
    <w:p w14:paraId="59DB5E2B" w14:textId="77777777" w:rsidR="00EB76A2" w:rsidRDefault="00EB76A2" w:rsidP="00EB76A2"/>
    <w:p w14:paraId="4FB8835E" w14:textId="77777777" w:rsidR="00EB76A2" w:rsidRPr="002476E9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  <w:r w:rsidRPr="00E320CF">
        <w:rPr>
          <w:rFonts w:ascii="Calibri" w:hAnsi="Calibri" w:cs="Calibri"/>
          <w:b/>
          <w:bCs/>
          <w:color w:val="000000"/>
          <w:sz w:val="22"/>
          <w:szCs w:val="22"/>
        </w:rPr>
        <w:t>Method</w:t>
      </w:r>
      <w:r w:rsidRPr="002476E9">
        <w:rPr>
          <w:rFonts w:ascii="Calibri" w:hAnsi="Calibri" w:cs="Calibri"/>
          <w:color w:val="000000"/>
          <w:sz w:val="22"/>
          <w:szCs w:val="22"/>
        </w:rPr>
        <w:t xml:space="preserve">: To assess </w:t>
      </w:r>
      <w:r>
        <w:rPr>
          <w:rFonts w:ascii="Calibri" w:hAnsi="Calibri" w:cs="Calibri"/>
          <w:color w:val="000000"/>
          <w:sz w:val="22"/>
          <w:szCs w:val="22"/>
        </w:rPr>
        <w:t xml:space="preserve">carbon dioxide equivalents (kgCO2e) and price per 1g of paracetamol use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pre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or intra-operatively between Intravenous (IV), suppository, oral tablets, oral effervescent and suspension preparation. </w:t>
      </w:r>
    </w:p>
    <w:p w14:paraId="74948EA1" w14:textId="14BBB717" w:rsidR="00EB76A2" w:rsidRPr="002476E9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Life cycle assessment (LCA) was calculated from ‘cradle-to-grave’, applying the Inventory</w:t>
      </w:r>
      <w:r w:rsidRPr="006F2643">
        <w:rPr>
          <w:rFonts w:ascii="Calibri" w:hAnsi="Calibri" w:cs="Calibri"/>
          <w:color w:val="000000"/>
          <w:sz w:val="22"/>
          <w:szCs w:val="22"/>
        </w:rPr>
        <w:t xml:space="preserve"> of Carbon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6F2643">
        <w:rPr>
          <w:rFonts w:ascii="Calibri" w:hAnsi="Calibri" w:cs="Calibri"/>
          <w:color w:val="000000"/>
          <w:sz w:val="22"/>
          <w:szCs w:val="22"/>
        </w:rPr>
        <w:t>&amp;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6F2643">
        <w:rPr>
          <w:rFonts w:ascii="Calibri" w:hAnsi="Calibri" w:cs="Calibri"/>
          <w:color w:val="000000"/>
          <w:sz w:val="22"/>
          <w:szCs w:val="22"/>
        </w:rPr>
        <w:t>Energy database</w:t>
      </w:r>
      <w:r>
        <w:rPr>
          <w:rFonts w:ascii="Calibri" w:hAnsi="Calibri" w:cs="Calibri"/>
          <w:color w:val="000000"/>
          <w:sz w:val="22"/>
          <w:szCs w:val="22"/>
        </w:rPr>
        <w:t xml:space="preserve"> to attain the embodied carbon factor to enable a total kgCO2e for each preparation </w:t>
      </w:r>
      <w:r>
        <w:rPr>
          <w:rFonts w:ascii="Calibri" w:hAnsi="Calibri" w:cs="Calibri"/>
          <w:color w:val="000000"/>
          <w:sz w:val="22"/>
          <w:szCs w:val="22"/>
        </w:rPr>
        <w:fldChar w:fldCharType="begin"/>
      </w:r>
      <w:r>
        <w:rPr>
          <w:rFonts w:ascii="Calibri" w:hAnsi="Calibri" w:cs="Calibri"/>
          <w:color w:val="000000"/>
          <w:sz w:val="22"/>
          <w:szCs w:val="22"/>
        </w:rPr>
        <w:instrText xml:space="preserve"> ADDIN EN.CITE &lt;EndNote&gt;&lt;Cite&gt;&lt;Author&gt;Carbon Trust&lt;/Author&gt;&lt;Year&gt;2021&lt;/Year&gt;&lt;IDText&gt;PAS 2050&lt;/IDText&gt;&lt;DisplayText&gt;&lt;style face="superscript"&gt;1&lt;/style&gt;&lt;/DisplayText&gt;&lt;record&gt;&lt;urls&gt;&lt;related-urls&gt;&lt;url&gt;http://www.fao.org/sustainable-food-value-chains/library/details/en/c/266040/&lt;/url&gt;&lt;/related-urls&gt;&lt;/urls&gt;&lt;titles&gt;&lt;title&gt;PAS 2050&lt;/title&gt;&lt;/titles&gt;&lt;contributors&gt;&lt;authors&gt;&lt;author&gt;Carbon Trust, UK Department for Environment, Food and Rural Affairs (Defra)&lt;/author&gt;&lt;/authors&gt;&lt;/contributors&gt;&lt;added-date format="utc"&gt;1626976091&lt;/added-date&gt;&lt;ref-type name="Web Page"&gt;12&lt;/ref-type&gt;&lt;dates&gt;&lt;year&gt;2021&lt;/year&gt;&lt;/dates&gt;&lt;rec-number&gt;177&lt;/rec-number&gt;&lt;publisher&gt;British Standards Institution (BSI)&lt;/publisher&gt;&lt;last-updated-date format="utc"&gt;1626976147&lt;/last-updated-date&gt;&lt;/record&gt;&lt;/Cite&gt;&lt;/EndNote&gt;</w:instrText>
      </w:r>
      <w:r>
        <w:rPr>
          <w:rFonts w:ascii="Calibri" w:hAnsi="Calibri" w:cs="Calibri"/>
          <w:color w:val="000000"/>
          <w:sz w:val="22"/>
          <w:szCs w:val="22"/>
        </w:rPr>
        <w:fldChar w:fldCharType="separate"/>
      </w:r>
      <w:r w:rsidRPr="00EB76A2">
        <w:rPr>
          <w:rFonts w:ascii="Calibri" w:hAnsi="Calibri" w:cs="Calibri"/>
          <w:noProof/>
          <w:color w:val="000000"/>
          <w:sz w:val="22"/>
          <w:szCs w:val="22"/>
          <w:vertAlign w:val="superscript"/>
        </w:rPr>
        <w:t>1</w:t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</w:p>
    <w:p w14:paraId="02309C65" w14:textId="77777777" w:rsidR="00EB76A2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</w:p>
    <w:p w14:paraId="1DEC835E" w14:textId="77777777" w:rsidR="00EB76A2" w:rsidRPr="00B47354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  <w:r w:rsidRPr="00E320CF">
        <w:rPr>
          <w:rFonts w:ascii="Calibri" w:hAnsi="Calibri" w:cs="Calibri"/>
          <w:b/>
          <w:bCs/>
          <w:color w:val="000000"/>
          <w:sz w:val="22"/>
          <w:szCs w:val="22"/>
        </w:rPr>
        <w:t>Results:</w:t>
      </w:r>
      <w:r w:rsidRPr="002476E9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The IV preparation has a significantly higher total kgCO2(9.233) suspension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next(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2.797), suppository(</w:t>
      </w:r>
      <w:r w:rsidRPr="002F6924">
        <w:rPr>
          <w:rFonts w:ascii="Calibri" w:eastAsia="Times New Roman" w:hAnsi="Calibri" w:cs="Times New Roman"/>
          <w:color w:val="000000"/>
          <w:lang w:eastAsia="en-GB"/>
        </w:rPr>
        <w:t>0.70537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), </w:t>
      </w:r>
      <w:r>
        <w:rPr>
          <w:rFonts w:ascii="Calibri" w:hAnsi="Calibri" w:cs="Calibri"/>
          <w:color w:val="000000"/>
          <w:sz w:val="22"/>
          <w:szCs w:val="22"/>
        </w:rPr>
        <w:t xml:space="preserve">effervescent(0.385), and oral tablets(0.0847) of kgCO2e per 1g paracetamol used as surgical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analgesia.Representing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a 110X increase comparing the use of 1g IV to oral paracetamol.</w:t>
      </w:r>
    </w:p>
    <w:p w14:paraId="15787B3B" w14:textId="77777777" w:rsidR="00EB76A2" w:rsidRPr="002476E9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The</w:t>
      </w:r>
      <w:r w:rsidRPr="003A56A6">
        <w:rPr>
          <w:rFonts w:ascii="Calibri" w:hAnsi="Calibri" w:cs="Calibri"/>
          <w:color w:val="000000"/>
          <w:sz w:val="22"/>
          <w:szCs w:val="22"/>
        </w:rPr>
        <w:t xml:space="preserve"> most energy demanding sub-section</w:t>
      </w:r>
      <w:r>
        <w:rPr>
          <w:rFonts w:ascii="Calibri" w:hAnsi="Calibri" w:cs="Calibri"/>
          <w:color w:val="000000"/>
          <w:sz w:val="22"/>
          <w:szCs w:val="22"/>
        </w:rPr>
        <w:t xml:space="preserve"> was</w:t>
      </w:r>
      <w:r w:rsidRPr="003A56A6">
        <w:rPr>
          <w:rFonts w:ascii="Calibri" w:hAnsi="Calibri" w:cs="Calibri"/>
          <w:color w:val="000000"/>
          <w:sz w:val="22"/>
          <w:szCs w:val="22"/>
        </w:rPr>
        <w:t xml:space="preserve"> cradle to </w:t>
      </w:r>
      <w:proofErr w:type="gramStart"/>
      <w:r w:rsidRPr="003A56A6">
        <w:rPr>
          <w:rFonts w:ascii="Calibri" w:hAnsi="Calibri" w:cs="Calibri"/>
          <w:color w:val="000000"/>
          <w:sz w:val="22"/>
          <w:szCs w:val="22"/>
        </w:rPr>
        <w:t>gate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98%), with travel and waste contributing under 2% to the total GHG emissions for all preparations. O</w:t>
      </w:r>
      <w:r w:rsidRPr="003F5275">
        <w:rPr>
          <w:rFonts w:ascii="Calibri" w:hAnsi="Calibri" w:cs="Calibri"/>
          <w:color w:val="000000"/>
          <w:sz w:val="22"/>
          <w:szCs w:val="22"/>
        </w:rPr>
        <w:t xml:space="preserve">ral tablets had the lowest cost </w:t>
      </w:r>
      <w:r>
        <w:rPr>
          <w:rFonts w:ascii="Calibri" w:hAnsi="Calibri" w:cs="Calibri"/>
          <w:color w:val="000000"/>
          <w:sz w:val="22"/>
          <w:szCs w:val="22"/>
        </w:rPr>
        <w:t>(</w:t>
      </w:r>
      <w:r w:rsidRPr="003F5275">
        <w:rPr>
          <w:rFonts w:ascii="Calibri" w:hAnsi="Calibri" w:cs="Calibri"/>
          <w:color w:val="000000"/>
          <w:sz w:val="22"/>
          <w:szCs w:val="22"/>
        </w:rPr>
        <w:t>£0.0249</w:t>
      </w:r>
      <w:r>
        <w:rPr>
          <w:rFonts w:ascii="Calibri" w:hAnsi="Calibri" w:cs="Calibri"/>
          <w:color w:val="000000"/>
          <w:sz w:val="22"/>
          <w:szCs w:val="22"/>
        </w:rPr>
        <w:t>)</w:t>
      </w:r>
      <w:r w:rsidRPr="003F5275">
        <w:rPr>
          <w:rFonts w:ascii="Calibri" w:hAnsi="Calibri" w:cs="Calibri"/>
          <w:color w:val="000000"/>
          <w:sz w:val="22"/>
          <w:szCs w:val="22"/>
        </w:rPr>
        <w:t xml:space="preserve">/ 1g </w:t>
      </w:r>
      <w:proofErr w:type="spellStart"/>
      <w:proofErr w:type="gramStart"/>
      <w:r w:rsidRPr="003F5275">
        <w:rPr>
          <w:rFonts w:ascii="Calibri" w:hAnsi="Calibri" w:cs="Calibri"/>
          <w:color w:val="000000"/>
          <w:sz w:val="22"/>
          <w:szCs w:val="22"/>
        </w:rPr>
        <w:t>paracetamol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Pr="003F5275">
        <w:rPr>
          <w:rFonts w:ascii="Calibri" w:hAnsi="Calibri" w:cs="Calibri"/>
          <w:color w:val="000000"/>
          <w:sz w:val="22"/>
          <w:szCs w:val="22"/>
        </w:rPr>
        <w:t>effervescen</w:t>
      </w:r>
      <w:r>
        <w:rPr>
          <w:rFonts w:ascii="Calibri" w:hAnsi="Calibri" w:cs="Calibri"/>
          <w:color w:val="000000"/>
          <w:sz w:val="22"/>
          <w:szCs w:val="22"/>
        </w:rPr>
        <w:t>t</w:t>
      </w:r>
      <w:proofErr w:type="spellEnd"/>
      <w:proofErr w:type="gramEnd"/>
      <w:r>
        <w:rPr>
          <w:rFonts w:ascii="Calibri" w:hAnsi="Calibri" w:cs="Calibri"/>
          <w:color w:val="000000"/>
          <w:sz w:val="22"/>
          <w:szCs w:val="22"/>
        </w:rPr>
        <w:t>(£</w:t>
      </w:r>
      <w:r w:rsidRPr="003F5275">
        <w:rPr>
          <w:rFonts w:ascii="Calibri" w:hAnsi="Calibri" w:cs="Calibri"/>
          <w:color w:val="000000"/>
          <w:sz w:val="22"/>
          <w:szCs w:val="22"/>
        </w:rPr>
        <w:t>0.182</w:t>
      </w:r>
      <w:r>
        <w:rPr>
          <w:rFonts w:ascii="Calibri" w:hAnsi="Calibri" w:cs="Calibri"/>
          <w:color w:val="000000"/>
          <w:sz w:val="22"/>
          <w:szCs w:val="22"/>
        </w:rPr>
        <w:t>),</w:t>
      </w:r>
      <w:r w:rsidRPr="003F5275">
        <w:rPr>
          <w:rFonts w:ascii="Calibri" w:hAnsi="Calibri" w:cs="Calibri"/>
          <w:color w:val="000000"/>
          <w:sz w:val="22"/>
          <w:szCs w:val="22"/>
        </w:rPr>
        <w:t xml:space="preserve"> suspension</w:t>
      </w:r>
      <w:r>
        <w:rPr>
          <w:rFonts w:ascii="Calibri" w:hAnsi="Calibri" w:cs="Calibri"/>
          <w:color w:val="000000"/>
          <w:sz w:val="22"/>
          <w:szCs w:val="22"/>
        </w:rPr>
        <w:t>(</w:t>
      </w:r>
      <w:r w:rsidRPr="003F5275">
        <w:rPr>
          <w:rFonts w:ascii="Calibri" w:hAnsi="Calibri" w:cs="Calibri"/>
          <w:color w:val="000000"/>
          <w:sz w:val="22"/>
          <w:szCs w:val="22"/>
        </w:rPr>
        <w:t>£0.523</w:t>
      </w:r>
      <w:r>
        <w:rPr>
          <w:rFonts w:ascii="Calibri" w:hAnsi="Calibri" w:cs="Calibri"/>
          <w:color w:val="000000"/>
          <w:sz w:val="22"/>
          <w:szCs w:val="22"/>
        </w:rPr>
        <w:t>), IV(</w:t>
      </w:r>
      <w:r w:rsidRPr="003F5275">
        <w:rPr>
          <w:rFonts w:ascii="Calibri" w:hAnsi="Calibri" w:cs="Calibri"/>
          <w:color w:val="000000"/>
          <w:sz w:val="22"/>
          <w:szCs w:val="22"/>
        </w:rPr>
        <w:t>£1.20</w:t>
      </w:r>
      <w:r>
        <w:rPr>
          <w:rFonts w:ascii="Calibri" w:hAnsi="Calibri" w:cs="Calibri"/>
          <w:color w:val="000000"/>
          <w:sz w:val="22"/>
          <w:szCs w:val="22"/>
        </w:rPr>
        <w:t>), with suppositories the highest at £11.04. IV paracetamol 48x more expensive than oral tablets.</w:t>
      </w:r>
    </w:p>
    <w:p w14:paraId="4A1C34E4" w14:textId="77777777" w:rsidR="00EB76A2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</w:p>
    <w:p w14:paraId="3725D9FB" w14:textId="5B2A56E6" w:rsidR="00EB76A2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  <w:r w:rsidRPr="00E320CF">
        <w:rPr>
          <w:rFonts w:ascii="Calibri" w:hAnsi="Calibri" w:cs="Calibri"/>
          <w:b/>
          <w:bCs/>
          <w:color w:val="000000"/>
          <w:sz w:val="22"/>
          <w:szCs w:val="22"/>
        </w:rPr>
        <w:t>Discussion</w:t>
      </w:r>
      <w:r w:rsidRPr="002476E9">
        <w:rPr>
          <w:rFonts w:ascii="Calibri" w:hAnsi="Calibri" w:cs="Calibri"/>
          <w:color w:val="000000"/>
          <w:sz w:val="22"/>
          <w:szCs w:val="22"/>
        </w:rPr>
        <w:t xml:space="preserve">: </w:t>
      </w:r>
      <w:r>
        <w:rPr>
          <w:rFonts w:ascii="Calibri" w:hAnsi="Calibri" w:cs="Calibri"/>
          <w:color w:val="000000"/>
          <w:sz w:val="22"/>
          <w:szCs w:val="22"/>
        </w:rPr>
        <w:t xml:space="preserve">On assessing the carbon footprint, clinical efficiency, and price this study has evaluated the sustainability value of each paracetamol </w:t>
      </w:r>
      <w:proofErr w:type="spellStart"/>
      <w:proofErr w:type="gramStart"/>
      <w:r>
        <w:rPr>
          <w:rFonts w:ascii="Calibri" w:hAnsi="Calibri" w:cs="Calibri"/>
          <w:color w:val="000000"/>
          <w:sz w:val="22"/>
          <w:szCs w:val="22"/>
        </w:rPr>
        <w:t>preparation.It</w:t>
      </w:r>
      <w:proofErr w:type="spellEnd"/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shows a considerable carbon footprint in the use of IV preparations over its oral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alternatives:of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particular the use of oral tablets. The clinical use of IV paracetamol use needs to be questioned with oral preparations having the same efficiency with a significantly lower GHG emission total and price per use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fldChar w:fldCharType="begin"/>
      </w:r>
      <w:r>
        <w:rPr>
          <w:rFonts w:ascii="Calibri" w:hAnsi="Calibri" w:cs="Calibri"/>
          <w:color w:val="000000"/>
          <w:sz w:val="22"/>
          <w:szCs w:val="22"/>
        </w:rPr>
        <w:instrText xml:space="preserve"> ADDIN EN.CITE &lt;EndNote&gt;&lt;Cite&gt;&lt;Author&gt;Furyk&lt;/Author&gt;&lt;Year&gt;2018&lt;/Year&gt;&lt;IDText&gt;Intravenous versus oral paracetamol for acute pain in adults in the emergency department setting: a prospective, double-blind, double-dummy, randomised controlled trial&lt;/IDText&gt;&lt;DisplayText&gt;&lt;style face="superscript"&gt;2&lt;/style&gt;&lt;/DisplayText&gt;&lt;record&gt;&lt;urls&gt;&lt;related-urls&gt;&lt;url&gt;http://emj.bmj.com/content/35/3/179.abstract&lt;/url&gt;&lt;/related-urls&gt;&lt;/urls&gt;&lt;titles&gt;&lt;title&gt;Intravenous versus oral paracetamol for acute pain in adults in the emergency department setting: a prospective, double-blind, double-dummy, randomised controlled trial&lt;/title&gt;&lt;secondary-title&gt;Emergency Medicine Journal&lt;/secondary-title&gt;&lt;/titles&gt;&lt;pages&gt;179&lt;/pages&gt;&lt;number&gt;3&lt;/number&gt;&lt;contributors&gt;&lt;authors&gt;&lt;author&gt;Furyk, Jeremy&lt;/author&gt;&lt;author&gt;Levas, Deahnne&lt;/author&gt;&lt;author&gt;Close, Benjamin&lt;/author&gt;&lt;author&gt;Laspina, Kathryn&lt;/author&gt;&lt;author&gt;Fitzpatrick, Meghan&lt;/author&gt;&lt;author&gt;Robinson, Kelvin&lt;/author&gt;&lt;author&gt;Vangaveti, Venkat N.&lt;/author&gt;&lt;author&gt;Ray, Robin&lt;/author&gt;&lt;/authors&gt;&lt;/contributors&gt;&lt;added-date format="utc"&gt;1624370224&lt;/added-date&gt;&lt;ref-type name="Journal Article"&gt;17&lt;/ref-type&gt;&lt;dates&gt;&lt;year&gt;2018&lt;/year&gt;&lt;/dates&gt;&lt;rec-number&gt;161&lt;/rec-number&gt;&lt;last-updated-date format="utc"&gt;1624370224&lt;/last-updated-date&gt;&lt;electronic-resource-num&gt;10.1136/emermed-2017-206787&lt;/electronic-resource-num&gt;&lt;volume&gt;35&lt;/volume&gt;&lt;/record&gt;&lt;/Cite&gt;&lt;/EndNote&gt;</w:instrText>
      </w:r>
      <w:r>
        <w:rPr>
          <w:rFonts w:ascii="Calibri" w:hAnsi="Calibri" w:cs="Calibri"/>
          <w:color w:val="000000"/>
          <w:sz w:val="22"/>
          <w:szCs w:val="22"/>
        </w:rPr>
        <w:fldChar w:fldCharType="separate"/>
      </w:r>
      <w:r w:rsidRPr="00EB76A2">
        <w:rPr>
          <w:rFonts w:ascii="Calibri" w:hAnsi="Calibri" w:cs="Calibri"/>
          <w:noProof/>
          <w:color w:val="000000"/>
          <w:sz w:val="22"/>
          <w:szCs w:val="22"/>
          <w:vertAlign w:val="superscript"/>
        </w:rPr>
        <w:t>2</w:t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r>
        <w:rPr>
          <w:rFonts w:ascii="Calibri" w:hAnsi="Calibri" w:cs="Calibri"/>
          <w:color w:val="000000"/>
          <w:sz w:val="22"/>
          <w:szCs w:val="22"/>
        </w:rPr>
        <w:t xml:space="preserve">.It highlights the sustainable alternatives to oral tablets in respect to certain patient populations with the use of effervescence and suspensions still being superior to IV environmentally and economically. </w:t>
      </w:r>
    </w:p>
    <w:p w14:paraId="42285324" w14:textId="77777777" w:rsidR="00EB76A2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</w:p>
    <w:p w14:paraId="200A6791" w14:textId="77777777" w:rsidR="00EB76A2" w:rsidRPr="0029026B" w:rsidRDefault="00EB76A2" w:rsidP="00EB76A2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29026B">
        <w:rPr>
          <w:rFonts w:ascii="Calibri" w:hAnsi="Calibri" w:cs="Calibri"/>
          <w:b/>
          <w:bCs/>
          <w:color w:val="000000"/>
          <w:sz w:val="22"/>
          <w:szCs w:val="22"/>
        </w:rPr>
        <w:t xml:space="preserve">References: </w:t>
      </w:r>
    </w:p>
    <w:p w14:paraId="6C56544F" w14:textId="77777777" w:rsidR="00EB76A2" w:rsidRPr="00EB76A2" w:rsidRDefault="00EB76A2" w:rsidP="00EB76A2">
      <w:pPr>
        <w:pStyle w:val="EndNoteBibliography"/>
        <w:ind w:left="720" w:hanging="720"/>
        <w:rPr>
          <w:noProof/>
          <w:sz w:val="20"/>
          <w:szCs w:val="20"/>
        </w:rPr>
      </w:pPr>
      <w:r w:rsidRPr="00EB76A2">
        <w:rPr>
          <w:sz w:val="20"/>
          <w:szCs w:val="20"/>
        </w:rPr>
        <w:fldChar w:fldCharType="begin"/>
      </w:r>
      <w:r w:rsidRPr="00EB76A2">
        <w:rPr>
          <w:sz w:val="20"/>
          <w:szCs w:val="20"/>
        </w:rPr>
        <w:instrText xml:space="preserve"> ADDIN EN.REFLIST </w:instrText>
      </w:r>
      <w:r w:rsidRPr="00EB76A2">
        <w:rPr>
          <w:sz w:val="20"/>
          <w:szCs w:val="20"/>
        </w:rPr>
        <w:fldChar w:fldCharType="separate"/>
      </w:r>
      <w:r w:rsidRPr="00EB76A2">
        <w:rPr>
          <w:noProof/>
          <w:sz w:val="20"/>
          <w:szCs w:val="20"/>
        </w:rPr>
        <w:t xml:space="preserve">1. Carbon Trust UDfE, Food and Rural Affairs (Defra). PAS 2050: British Standards Institution (BSI); 2021 [Available from: </w:t>
      </w:r>
      <w:hyperlink r:id="rId4" w:history="1">
        <w:r w:rsidRPr="00EB76A2">
          <w:rPr>
            <w:rStyle w:val="Hyperlink"/>
            <w:noProof/>
            <w:sz w:val="20"/>
            <w:szCs w:val="20"/>
          </w:rPr>
          <w:t>http://www.fao.org/sustainable-food-value-chains/library/details/en/c/266040/</w:t>
        </w:r>
      </w:hyperlink>
      <w:r w:rsidRPr="00EB76A2">
        <w:rPr>
          <w:noProof/>
          <w:sz w:val="20"/>
          <w:szCs w:val="20"/>
        </w:rPr>
        <w:t>.</w:t>
      </w:r>
    </w:p>
    <w:p w14:paraId="46ED5B80" w14:textId="77777777" w:rsidR="00EB76A2" w:rsidRPr="00EB76A2" w:rsidRDefault="00EB76A2" w:rsidP="00EB76A2">
      <w:pPr>
        <w:pStyle w:val="EndNoteBibliography"/>
        <w:ind w:left="720" w:hanging="720"/>
        <w:rPr>
          <w:noProof/>
          <w:sz w:val="20"/>
          <w:szCs w:val="20"/>
        </w:rPr>
      </w:pPr>
      <w:r w:rsidRPr="00EB76A2">
        <w:rPr>
          <w:noProof/>
          <w:sz w:val="20"/>
          <w:szCs w:val="20"/>
        </w:rPr>
        <w:t xml:space="preserve">2. Furyk J, Levas D, Close B, et al. Intravenous versus oral paracetamol for acute pain in adults in the emergency department setting: a prospective, double-blind, double-dummy, randomised controlled trial. </w:t>
      </w:r>
      <w:r w:rsidRPr="00EB76A2">
        <w:rPr>
          <w:i/>
          <w:noProof/>
          <w:sz w:val="20"/>
          <w:szCs w:val="20"/>
        </w:rPr>
        <w:t>Emergency Medicine Journal</w:t>
      </w:r>
      <w:r w:rsidRPr="00EB76A2">
        <w:rPr>
          <w:noProof/>
          <w:sz w:val="20"/>
          <w:szCs w:val="20"/>
        </w:rPr>
        <w:t xml:space="preserve"> 2018;35(3):179. doi: 10.1136/emermed-2017-206787</w:t>
      </w:r>
    </w:p>
    <w:p w14:paraId="448592AC" w14:textId="09DCA63F" w:rsidR="00EB76A2" w:rsidRDefault="00EB76A2" w:rsidP="00EB76A2">
      <w:r w:rsidRPr="00EB76A2">
        <w:rPr>
          <w:sz w:val="20"/>
          <w:szCs w:val="20"/>
        </w:rPr>
        <w:fldChar w:fldCharType="end"/>
      </w:r>
    </w:p>
    <w:p w14:paraId="5358A381" w14:textId="77777777" w:rsidR="00EB76A2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  <w:r w:rsidRPr="0029026B">
        <w:rPr>
          <w:b/>
          <w:bCs/>
          <w:sz w:val="22"/>
          <w:szCs w:val="22"/>
        </w:rPr>
        <w:t>Table 1:</w:t>
      </w:r>
      <w:r w:rsidRPr="0029026B">
        <w:rPr>
          <w:sz w:val="22"/>
          <w:szCs w:val="22"/>
        </w:rPr>
        <w:t xml:space="preserve"> </w:t>
      </w:r>
      <w:r w:rsidRPr="0029026B">
        <w:rPr>
          <w:rFonts w:ascii="Calibri" w:hAnsi="Calibri" w:cs="Calibri"/>
          <w:color w:val="000000"/>
          <w:sz w:val="22"/>
          <w:szCs w:val="22"/>
        </w:rPr>
        <w:t xml:space="preserve">Each paracetamols preparation: GHG Emission and Cost </w:t>
      </w:r>
    </w:p>
    <w:p w14:paraId="0A856F99" w14:textId="77777777" w:rsidR="00EB76A2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</w:p>
    <w:p w14:paraId="3C16EAFE" w14:textId="77777777" w:rsidR="00EB76A2" w:rsidRPr="0029026B" w:rsidRDefault="00EB76A2" w:rsidP="00EB76A2">
      <w:pPr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49"/>
        <w:gridCol w:w="1293"/>
        <w:gridCol w:w="1153"/>
        <w:gridCol w:w="1153"/>
        <w:gridCol w:w="1682"/>
        <w:gridCol w:w="1296"/>
      </w:tblGrid>
      <w:tr w:rsidR="00EB76A2" w:rsidRPr="00E320CF" w14:paraId="3B5C9721" w14:textId="77777777" w:rsidTr="00837E67">
        <w:trPr>
          <w:trHeight w:val="185"/>
        </w:trPr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5641E4C5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Type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38F232E2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Cradle to Gate</w:t>
            </w:r>
          </w:p>
          <w:p w14:paraId="3E96CF5C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(kgCO2e/1g)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3A9DCC4C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Travel</w:t>
            </w:r>
          </w:p>
          <w:p w14:paraId="52B34B36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(kgCO2e/1g)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43593B05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Waste</w:t>
            </w:r>
          </w:p>
          <w:p w14:paraId="513A17F1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(kgCO2e/1g)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3CB54C52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Total GHG Emission</w:t>
            </w:r>
          </w:p>
          <w:p w14:paraId="123DC27A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(kgCO2e/1g)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665A903E" w14:textId="77777777" w:rsidR="00EB76A2" w:rsidRPr="00E320CF" w:rsidRDefault="00EB76A2" w:rsidP="00837E6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Cost per 1g (£) </w:t>
            </w:r>
          </w:p>
        </w:tc>
      </w:tr>
      <w:tr w:rsidR="00EB76A2" w:rsidRPr="00E320CF" w14:paraId="4E9E423F" w14:textId="77777777" w:rsidTr="00837E67">
        <w:trPr>
          <w:trHeight w:val="185"/>
        </w:trPr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6A1EA973" w14:textId="77777777" w:rsidR="00EB76A2" w:rsidRPr="00E320CF" w:rsidRDefault="00EB76A2" w:rsidP="00837E6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Oral suspension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35578029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2.74639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78DC877F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0.0195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3F4714D7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0.031406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C6E0B4"/>
            <w:noWrap/>
            <w:vAlign w:val="bottom"/>
            <w:hideMark/>
          </w:tcPr>
          <w:p w14:paraId="24F73FC5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2.797296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E699"/>
            <w:noWrap/>
            <w:vAlign w:val="bottom"/>
            <w:hideMark/>
          </w:tcPr>
          <w:p w14:paraId="3C561CDE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0.523</w:t>
            </w:r>
          </w:p>
        </w:tc>
      </w:tr>
      <w:tr w:rsidR="00EB76A2" w:rsidRPr="00E320CF" w14:paraId="28AC8F1F" w14:textId="77777777" w:rsidTr="00837E67">
        <w:trPr>
          <w:trHeight w:val="185"/>
        </w:trPr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28603D4F" w14:textId="77777777" w:rsidR="00EB76A2" w:rsidRPr="00E320CF" w:rsidRDefault="00EB76A2" w:rsidP="00837E6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0F1CD20C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0.69712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5FB2E1BC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0.005906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6C8ADF28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0.00234889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C6E0B4"/>
            <w:noWrap/>
            <w:vAlign w:val="bottom"/>
            <w:hideMark/>
          </w:tcPr>
          <w:p w14:paraId="269FF705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0.7053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E699"/>
            <w:noWrap/>
            <w:vAlign w:val="bottom"/>
            <w:hideMark/>
          </w:tcPr>
          <w:p w14:paraId="61D44D76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11.04</w:t>
            </w:r>
          </w:p>
        </w:tc>
      </w:tr>
      <w:tr w:rsidR="00EB76A2" w:rsidRPr="00E320CF" w14:paraId="3F93957D" w14:textId="77777777" w:rsidTr="00837E67">
        <w:trPr>
          <w:trHeight w:val="185"/>
        </w:trPr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7EFB5746" w14:textId="77777777" w:rsidR="00EB76A2" w:rsidRPr="00E320CF" w:rsidRDefault="00EB76A2" w:rsidP="00837E6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Oral Effervesc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ent </w:t>
            </w: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Tablets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0B500F6B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0.383094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196C406F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0.00217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68F09D84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0.0004774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C6E0B4"/>
            <w:noWrap/>
            <w:vAlign w:val="bottom"/>
            <w:hideMark/>
          </w:tcPr>
          <w:p w14:paraId="71D7BDD2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0.3857414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E699"/>
            <w:noWrap/>
            <w:vAlign w:val="bottom"/>
            <w:hideMark/>
          </w:tcPr>
          <w:p w14:paraId="7C9A1E91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0.182</w:t>
            </w:r>
          </w:p>
        </w:tc>
      </w:tr>
      <w:tr w:rsidR="00EB76A2" w:rsidRPr="00E320CF" w14:paraId="02F7E2B6" w14:textId="77777777" w:rsidTr="00837E67">
        <w:trPr>
          <w:trHeight w:val="185"/>
        </w:trPr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1BDABD25" w14:textId="77777777" w:rsidR="00EB76A2" w:rsidRPr="00E320CF" w:rsidRDefault="00EB76A2" w:rsidP="00837E6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Oral Tablets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3196FB06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0.0831236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0828F312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0.0005102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26019D82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0.000136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C6E0B4"/>
            <w:noWrap/>
            <w:vAlign w:val="bottom"/>
            <w:hideMark/>
          </w:tcPr>
          <w:p w14:paraId="27043EE6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0.0837698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E699"/>
            <w:noWrap/>
            <w:vAlign w:val="bottom"/>
            <w:hideMark/>
          </w:tcPr>
          <w:p w14:paraId="68EDB9A5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0.0249</w:t>
            </w:r>
          </w:p>
        </w:tc>
      </w:tr>
      <w:tr w:rsidR="00EB76A2" w:rsidRPr="00E320CF" w14:paraId="614E3B6E" w14:textId="77777777" w:rsidTr="00837E67">
        <w:trPr>
          <w:trHeight w:val="185"/>
        </w:trPr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B4C6E7"/>
            <w:noWrap/>
            <w:vAlign w:val="bottom"/>
            <w:hideMark/>
          </w:tcPr>
          <w:p w14:paraId="7AC10594" w14:textId="77777777" w:rsidR="00EB76A2" w:rsidRPr="00E320CF" w:rsidRDefault="00EB76A2" w:rsidP="00837E6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IV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59FFF813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9.167991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4BDCE4AB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0.0398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743D3FF2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0.0260714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C6E0B4"/>
            <w:noWrap/>
            <w:vAlign w:val="bottom"/>
            <w:hideMark/>
          </w:tcPr>
          <w:p w14:paraId="6CCB2038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9.2338624</w:t>
            </w:r>
          </w:p>
        </w:tc>
        <w:tc>
          <w:tcPr>
            <w:tcW w:w="0" w:type="auto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000000" w:fill="FFE699"/>
            <w:noWrap/>
            <w:vAlign w:val="bottom"/>
            <w:hideMark/>
          </w:tcPr>
          <w:p w14:paraId="47A0078B" w14:textId="77777777" w:rsidR="00EB76A2" w:rsidRPr="00E320CF" w:rsidRDefault="00EB76A2" w:rsidP="00837E67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E320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1.2</w:t>
            </w:r>
          </w:p>
        </w:tc>
      </w:tr>
    </w:tbl>
    <w:p w14:paraId="114AE64C" w14:textId="77777777" w:rsidR="00EB76A2" w:rsidRDefault="00EB76A2" w:rsidP="00EB76A2"/>
    <w:p w14:paraId="4BCE207B" w14:textId="77777777" w:rsidR="00EB76A2" w:rsidRDefault="00EB76A2"/>
    <w:p w14:paraId="2D4EC6B9" w14:textId="77777777" w:rsidR="00EB76A2" w:rsidRDefault="00EB76A2"/>
    <w:p w14:paraId="24829F29" w14:textId="2AE28028" w:rsidR="00EB76A2" w:rsidRPr="00EB76A2" w:rsidRDefault="00EB76A2" w:rsidP="00EB76A2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EB76A2">
        <w:rPr>
          <w:noProof/>
        </w:rPr>
        <w:t xml:space="preserve">1. Carbon Trust UDfE, Food and Rural Affairs (Defra). PAS 2050: British Standards Institution (BSI); 2021 [Available from: </w:t>
      </w:r>
      <w:hyperlink r:id="rId5" w:history="1">
        <w:r w:rsidRPr="00EB76A2">
          <w:rPr>
            <w:rStyle w:val="Hyperlink"/>
            <w:noProof/>
          </w:rPr>
          <w:t>http://www.fao.org/sustainable-food-value-chains/library/details/en/c/266040/</w:t>
        </w:r>
      </w:hyperlink>
      <w:r w:rsidRPr="00EB76A2">
        <w:rPr>
          <w:noProof/>
        </w:rPr>
        <w:t>.</w:t>
      </w:r>
    </w:p>
    <w:p w14:paraId="53E45A79" w14:textId="77777777" w:rsidR="00EB76A2" w:rsidRPr="00EB76A2" w:rsidRDefault="00EB76A2" w:rsidP="00EB76A2">
      <w:pPr>
        <w:pStyle w:val="EndNoteBibliography"/>
        <w:ind w:left="720" w:hanging="720"/>
        <w:rPr>
          <w:noProof/>
        </w:rPr>
      </w:pPr>
      <w:r w:rsidRPr="00EB76A2">
        <w:rPr>
          <w:noProof/>
        </w:rPr>
        <w:t xml:space="preserve">2. Furyk J, Levas D, Close B, et al. Intravenous versus oral paracetamol for acute pain in adults in the emergency department setting: a prospective, double-blind, double-dummy, randomised controlled trial. </w:t>
      </w:r>
      <w:r w:rsidRPr="00EB76A2">
        <w:rPr>
          <w:i/>
          <w:noProof/>
        </w:rPr>
        <w:t>Emergency Medicine Journal</w:t>
      </w:r>
      <w:r w:rsidRPr="00EB76A2">
        <w:rPr>
          <w:noProof/>
        </w:rPr>
        <w:t xml:space="preserve"> 2018;35(3):179. doi: 10.1136/emermed-2017-206787</w:t>
      </w:r>
    </w:p>
    <w:p w14:paraId="7D26995D" w14:textId="795F30E9" w:rsidR="00B711D2" w:rsidRDefault="00EB76A2">
      <w:r>
        <w:lastRenderedPageBreak/>
        <w:fldChar w:fldCharType="end"/>
      </w:r>
    </w:p>
    <w:sectPr w:rsidR="00B71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EB76A2"/>
    <w:rsid w:val="0001271D"/>
    <w:rsid w:val="00206E48"/>
    <w:rsid w:val="00294DC6"/>
    <w:rsid w:val="0061198C"/>
    <w:rsid w:val="00B26E47"/>
    <w:rsid w:val="00B64ADC"/>
    <w:rsid w:val="00EB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997DC"/>
  <w15:chartTrackingRefBased/>
  <w15:docId w15:val="{87E3D63F-506F-4445-8540-335BF0EB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6A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EB76A2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76A2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EB76A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B76A2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76A2"/>
    <w:rPr>
      <w:rFonts w:ascii="Calibri" w:hAnsi="Calibri" w:cs="Calibr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7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o.org/sustainable-food-value-chains/library/details/en/c/266040/" TargetMode="External"/><Relationship Id="rId4" Type="http://schemas.openxmlformats.org/officeDocument/2006/relationships/hyperlink" Target="http://www.fao.org/sustainable-food-value-chains/library/details/en/c/2660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Siena Hayes</dc:creator>
  <cp:keywords/>
  <dc:description/>
  <cp:lastModifiedBy>Siena Hayes</cp:lastModifiedBy>
  <cp:revision>1</cp:revision>
  <dcterms:created xsi:type="dcterms:W3CDTF">2021-08-02T15:46:00Z</dcterms:created>
  <dcterms:modified xsi:type="dcterms:W3CDTF">2021-08-02T16:01:00Z</dcterms:modified>
</cp:coreProperties>
</file>