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7C9F1E" w14:textId="77777777" w:rsidR="00DC3C8D" w:rsidRDefault="00DC3C8D" w:rsidP="00D3528E">
      <w:pPr>
        <w:jc w:val="both"/>
        <w:rPr>
          <w:rFonts w:ascii="Verdana" w:hAnsi="Verdana"/>
          <w:b/>
          <w:bCs/>
          <w:sz w:val="22"/>
        </w:rPr>
      </w:pPr>
    </w:p>
    <w:p w14:paraId="7A6254C6" w14:textId="42ED339E" w:rsidR="00D3528E" w:rsidRDefault="00FB5C5F" w:rsidP="00D3528E">
      <w:pPr>
        <w:jc w:val="both"/>
        <w:rPr>
          <w:rFonts w:ascii="Verdana" w:hAnsi="Verdana"/>
          <w:b/>
          <w:bCs/>
          <w:sz w:val="22"/>
        </w:rPr>
      </w:pPr>
      <w:r>
        <w:rPr>
          <w:rFonts w:ascii="Verdana" w:hAnsi="Verdana"/>
          <w:b/>
          <w:bCs/>
          <w:sz w:val="22"/>
        </w:rPr>
        <w:t>The i</w:t>
      </w:r>
      <w:r w:rsidR="00BC0184">
        <w:rPr>
          <w:rFonts w:ascii="Verdana" w:hAnsi="Verdana"/>
          <w:b/>
          <w:bCs/>
          <w:sz w:val="22"/>
        </w:rPr>
        <w:t>n-patient admission</w:t>
      </w:r>
      <w:r w:rsidR="00E43FFC">
        <w:rPr>
          <w:rFonts w:ascii="Verdana" w:hAnsi="Verdana"/>
          <w:b/>
          <w:bCs/>
          <w:sz w:val="22"/>
        </w:rPr>
        <w:t xml:space="preserve"> pathway</w:t>
      </w:r>
      <w:r w:rsidR="00BC0184">
        <w:rPr>
          <w:rFonts w:ascii="Verdana" w:hAnsi="Verdana"/>
          <w:b/>
          <w:bCs/>
          <w:sz w:val="22"/>
        </w:rPr>
        <w:t xml:space="preserve"> for para</w:t>
      </w:r>
      <w:r w:rsidR="00D3528E" w:rsidRPr="00DC3C8D">
        <w:rPr>
          <w:rFonts w:ascii="Verdana" w:hAnsi="Verdana"/>
          <w:b/>
          <w:bCs/>
          <w:sz w:val="22"/>
        </w:rPr>
        <w:t xml:space="preserve">thyroid surgery: </w:t>
      </w:r>
      <w:r w:rsidR="00E43FFC">
        <w:rPr>
          <w:rFonts w:ascii="Verdana" w:hAnsi="Verdana"/>
          <w:b/>
          <w:bCs/>
          <w:sz w:val="22"/>
        </w:rPr>
        <w:t xml:space="preserve">Is this practice </w:t>
      </w:r>
      <w:r w:rsidR="00A04B5F">
        <w:rPr>
          <w:rFonts w:ascii="Verdana" w:hAnsi="Verdana"/>
          <w:b/>
          <w:bCs/>
          <w:sz w:val="22"/>
        </w:rPr>
        <w:t>still</w:t>
      </w:r>
      <w:r w:rsidR="00E43FFC">
        <w:rPr>
          <w:rFonts w:ascii="Verdana" w:hAnsi="Verdana"/>
          <w:b/>
          <w:bCs/>
          <w:sz w:val="22"/>
        </w:rPr>
        <w:t xml:space="preserve"> appropriate?</w:t>
      </w:r>
    </w:p>
    <w:p w14:paraId="20E20E2A" w14:textId="1B462BF7" w:rsidR="00CD114E" w:rsidRDefault="00CD114E" w:rsidP="00D3528E">
      <w:pPr>
        <w:jc w:val="both"/>
        <w:rPr>
          <w:rFonts w:ascii="Verdana" w:hAnsi="Verdana"/>
          <w:b/>
          <w:bCs/>
          <w:sz w:val="22"/>
        </w:rPr>
      </w:pPr>
    </w:p>
    <w:p w14:paraId="6E1159E0" w14:textId="2A6F95C4" w:rsidR="00CD114E" w:rsidRPr="00CD114E" w:rsidRDefault="00CD114E" w:rsidP="00D3528E">
      <w:pPr>
        <w:jc w:val="both"/>
        <w:rPr>
          <w:rFonts w:ascii="Verdana" w:hAnsi="Verdana"/>
          <w:sz w:val="22"/>
        </w:rPr>
      </w:pPr>
      <w:proofErr w:type="gramStart"/>
      <w:r w:rsidRPr="00CD114E">
        <w:rPr>
          <w:rFonts w:ascii="Verdana" w:hAnsi="Verdana"/>
          <w:sz w:val="22"/>
        </w:rPr>
        <w:t>A</w:t>
      </w:r>
      <w:proofErr w:type="gramEnd"/>
      <w:r w:rsidRPr="00CD114E">
        <w:rPr>
          <w:rFonts w:ascii="Verdana" w:hAnsi="Verdana"/>
          <w:sz w:val="22"/>
        </w:rPr>
        <w:t xml:space="preserve"> Ali, </w:t>
      </w:r>
      <w:proofErr w:type="spellStart"/>
      <w:r w:rsidRPr="00CD114E">
        <w:rPr>
          <w:rFonts w:ascii="Verdana" w:hAnsi="Verdana"/>
          <w:sz w:val="22"/>
        </w:rPr>
        <w:t>Enyi</w:t>
      </w:r>
      <w:proofErr w:type="spellEnd"/>
      <w:r w:rsidRPr="00CD114E">
        <w:rPr>
          <w:rFonts w:ascii="Verdana" w:hAnsi="Verdana"/>
          <w:sz w:val="22"/>
        </w:rPr>
        <w:t xml:space="preserve"> Ofo, St Georges Hospital NHS Trust, London</w:t>
      </w:r>
    </w:p>
    <w:p w14:paraId="55FFE862" w14:textId="5582D7BC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179B22DD" w14:textId="13CC3B83" w:rsidR="00D3528E" w:rsidRPr="00DC3C8D" w:rsidRDefault="00D3528E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Aim:</w:t>
      </w:r>
    </w:p>
    <w:p w14:paraId="37714EA5" w14:textId="77777777" w:rsidR="00CD114E" w:rsidRDefault="00CD114E" w:rsidP="00D3528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Although most patients undergoing parathyroidectomy surgery do not have a surgical drain inserted all are admitted within the inpatient pathway.  This commits patients at least an overnight stay in hospital. </w:t>
      </w:r>
    </w:p>
    <w:p w14:paraId="6ABCA002" w14:textId="77777777" w:rsidR="00CD114E" w:rsidRDefault="00CD114E" w:rsidP="00D3528E">
      <w:pPr>
        <w:jc w:val="both"/>
        <w:rPr>
          <w:rFonts w:ascii="Verdana" w:hAnsi="Verdana"/>
          <w:sz w:val="22"/>
        </w:rPr>
      </w:pPr>
    </w:p>
    <w:p w14:paraId="1D13C8CA" w14:textId="19CF5B45" w:rsidR="00D3528E" w:rsidRPr="00DC3C8D" w:rsidRDefault="00CD114E" w:rsidP="00D3528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The aim of this quality improvement project is to e</w:t>
      </w:r>
      <w:r w:rsidR="00D3528E" w:rsidRPr="00DC3C8D">
        <w:rPr>
          <w:rFonts w:ascii="Verdana" w:hAnsi="Verdana"/>
          <w:sz w:val="22"/>
        </w:rPr>
        <w:t xml:space="preserve">xamine </w:t>
      </w:r>
      <w:r w:rsidR="00E228EA">
        <w:rPr>
          <w:rFonts w:ascii="Verdana" w:hAnsi="Verdana"/>
          <w:sz w:val="22"/>
        </w:rPr>
        <w:t xml:space="preserve">elective </w:t>
      </w:r>
      <w:r w:rsidR="00EF64E1">
        <w:rPr>
          <w:rFonts w:ascii="Verdana" w:hAnsi="Verdana"/>
          <w:sz w:val="22"/>
        </w:rPr>
        <w:t>parathyroidectomy procedures</w:t>
      </w:r>
      <w:r w:rsidR="00E228EA">
        <w:rPr>
          <w:rFonts w:ascii="Verdana" w:hAnsi="Verdana"/>
          <w:sz w:val="22"/>
        </w:rPr>
        <w:t xml:space="preserve"> as part of an in-patient admission pathway. </w:t>
      </w:r>
      <w:r w:rsidR="00EF64E1">
        <w:rPr>
          <w:rFonts w:ascii="Verdana" w:hAnsi="Verdana"/>
          <w:sz w:val="22"/>
        </w:rPr>
        <w:t xml:space="preserve"> </w:t>
      </w:r>
    </w:p>
    <w:p w14:paraId="27F6B542" w14:textId="77777777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44E22E2B" w14:textId="77777777" w:rsidR="00D3528E" w:rsidRPr="00DC3C8D" w:rsidRDefault="00D3528E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Method:</w:t>
      </w:r>
    </w:p>
    <w:p w14:paraId="6D199797" w14:textId="52517CD5" w:rsidR="00D3528E" w:rsidRDefault="00E0305B" w:rsidP="00D3528E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A r</w:t>
      </w:r>
      <w:r w:rsidR="00D3528E" w:rsidRPr="00DC3C8D">
        <w:rPr>
          <w:rFonts w:ascii="Verdana" w:hAnsi="Verdana"/>
          <w:sz w:val="22"/>
        </w:rPr>
        <w:t xml:space="preserve">etrospective study </w:t>
      </w:r>
      <w:r w:rsidR="00871478">
        <w:rPr>
          <w:rFonts w:ascii="Verdana" w:hAnsi="Verdana"/>
          <w:sz w:val="22"/>
        </w:rPr>
        <w:t>was completed of</w:t>
      </w:r>
      <w:r w:rsidR="00D3528E" w:rsidRPr="00DC3C8D">
        <w:rPr>
          <w:rFonts w:ascii="Verdana" w:hAnsi="Verdana"/>
          <w:sz w:val="22"/>
        </w:rPr>
        <w:t xml:space="preserve"> </w:t>
      </w:r>
      <w:r w:rsidR="005B1EF6">
        <w:rPr>
          <w:rFonts w:ascii="Verdana" w:hAnsi="Verdana"/>
          <w:sz w:val="22"/>
        </w:rPr>
        <w:t xml:space="preserve">all </w:t>
      </w:r>
      <w:r w:rsidR="004C465E">
        <w:rPr>
          <w:rFonts w:ascii="Verdana" w:hAnsi="Verdana"/>
          <w:sz w:val="22"/>
        </w:rPr>
        <w:t xml:space="preserve">adult </w:t>
      </w:r>
      <w:r w:rsidR="00D3528E" w:rsidRPr="00DC3C8D">
        <w:rPr>
          <w:rFonts w:ascii="Verdana" w:hAnsi="Verdana"/>
          <w:sz w:val="22"/>
        </w:rPr>
        <w:t xml:space="preserve">patients undergoing </w:t>
      </w:r>
      <w:r w:rsidR="004C465E">
        <w:rPr>
          <w:rFonts w:ascii="Verdana" w:hAnsi="Verdana"/>
          <w:sz w:val="22"/>
        </w:rPr>
        <w:t xml:space="preserve">elective </w:t>
      </w:r>
      <w:r w:rsidR="007B78EB">
        <w:rPr>
          <w:rFonts w:ascii="Verdana" w:hAnsi="Verdana"/>
          <w:sz w:val="22"/>
        </w:rPr>
        <w:t>parathyroidectomy</w:t>
      </w:r>
      <w:r w:rsidR="005B1EF6">
        <w:rPr>
          <w:rFonts w:ascii="Verdana" w:hAnsi="Verdana"/>
          <w:sz w:val="22"/>
        </w:rPr>
        <w:t xml:space="preserve"> surgery</w:t>
      </w:r>
      <w:r w:rsidR="007B78EB">
        <w:rPr>
          <w:rFonts w:ascii="Verdana" w:hAnsi="Verdana"/>
          <w:sz w:val="22"/>
        </w:rPr>
        <w:t xml:space="preserve"> </w:t>
      </w:r>
      <w:r w:rsidR="00D3528E" w:rsidRPr="00DC3C8D">
        <w:rPr>
          <w:rFonts w:ascii="Verdana" w:hAnsi="Verdana"/>
          <w:sz w:val="22"/>
        </w:rPr>
        <w:t>over a</w:t>
      </w:r>
      <w:r w:rsidR="007B78EB">
        <w:rPr>
          <w:rFonts w:ascii="Verdana" w:hAnsi="Verdana"/>
          <w:sz w:val="22"/>
        </w:rPr>
        <w:t>n 8-month</w:t>
      </w:r>
      <w:r w:rsidR="00D3528E" w:rsidRPr="00DC3C8D">
        <w:rPr>
          <w:rFonts w:ascii="Verdana" w:hAnsi="Verdana"/>
          <w:sz w:val="22"/>
        </w:rPr>
        <w:t xml:space="preserve"> period (</w:t>
      </w:r>
      <w:r w:rsidR="00A565E4">
        <w:rPr>
          <w:rFonts w:ascii="Verdana" w:hAnsi="Verdana"/>
          <w:sz w:val="22"/>
        </w:rPr>
        <w:t>O</w:t>
      </w:r>
      <w:r w:rsidR="00D3528E" w:rsidRPr="00DC3C8D">
        <w:rPr>
          <w:rFonts w:ascii="Verdana" w:hAnsi="Verdana"/>
          <w:sz w:val="22"/>
        </w:rPr>
        <w:t>ct 2018–</w:t>
      </w:r>
      <w:r w:rsidR="007B78EB">
        <w:rPr>
          <w:rFonts w:ascii="Verdana" w:hAnsi="Verdana"/>
          <w:sz w:val="22"/>
        </w:rPr>
        <w:t>May</w:t>
      </w:r>
      <w:r w:rsidR="00D3528E" w:rsidRPr="00DC3C8D">
        <w:rPr>
          <w:rFonts w:ascii="Verdana" w:hAnsi="Verdana"/>
          <w:sz w:val="22"/>
        </w:rPr>
        <w:t xml:space="preserve"> 2019)</w:t>
      </w:r>
      <w:r w:rsidR="00AC0EB6">
        <w:rPr>
          <w:rFonts w:ascii="Verdana" w:hAnsi="Verdana"/>
          <w:sz w:val="22"/>
        </w:rPr>
        <w:t xml:space="preserve"> at a tertiary referral </w:t>
      </w:r>
      <w:r w:rsidR="00F42C70">
        <w:rPr>
          <w:rFonts w:ascii="Verdana" w:hAnsi="Verdana"/>
          <w:sz w:val="22"/>
        </w:rPr>
        <w:t>unit</w:t>
      </w:r>
      <w:r w:rsidR="00D3528E" w:rsidRPr="00DC3C8D">
        <w:rPr>
          <w:rFonts w:ascii="Verdana" w:hAnsi="Verdana"/>
          <w:sz w:val="22"/>
        </w:rPr>
        <w:t xml:space="preserve">. </w:t>
      </w:r>
    </w:p>
    <w:p w14:paraId="3E622066" w14:textId="77777777" w:rsidR="00D3528E" w:rsidRPr="00DC3C8D" w:rsidRDefault="00D3528E" w:rsidP="00D3528E">
      <w:pPr>
        <w:jc w:val="both"/>
        <w:rPr>
          <w:rFonts w:ascii="Verdana" w:hAnsi="Verdana"/>
          <w:sz w:val="22"/>
        </w:rPr>
      </w:pPr>
    </w:p>
    <w:p w14:paraId="222B0F89" w14:textId="296CC3D1" w:rsidR="009843F6" w:rsidRDefault="00DC3C8D" w:rsidP="00D3528E">
      <w:pPr>
        <w:jc w:val="both"/>
        <w:rPr>
          <w:rFonts w:ascii="Verdana" w:hAnsi="Verdana"/>
          <w:b/>
          <w:bCs/>
          <w:sz w:val="22"/>
        </w:rPr>
      </w:pPr>
      <w:r w:rsidRPr="00DC3C8D">
        <w:rPr>
          <w:rFonts w:ascii="Verdana" w:hAnsi="Verdana"/>
          <w:b/>
          <w:bCs/>
          <w:sz w:val="22"/>
        </w:rPr>
        <w:t>Results:</w:t>
      </w:r>
    </w:p>
    <w:p w14:paraId="41D5225D" w14:textId="7D6169BA" w:rsidR="001C5486" w:rsidRDefault="00243073" w:rsidP="00E91D92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Eighteen patients underwent parathyroidectomy surgery in the study period, all indicated for primary hyperparathyroidism.</w:t>
      </w:r>
      <w:r w:rsidR="001C5486">
        <w:rPr>
          <w:rFonts w:ascii="Verdana" w:hAnsi="Verdana"/>
          <w:sz w:val="22"/>
        </w:rPr>
        <w:t xml:space="preserve"> All but two patients had SPECT positive lesions during preoperative planning. Fifteen pat</w:t>
      </w:r>
      <w:r w:rsidR="005D2B76">
        <w:rPr>
          <w:rFonts w:ascii="Verdana" w:hAnsi="Verdana"/>
          <w:sz w:val="22"/>
        </w:rPr>
        <w:t>i</w:t>
      </w:r>
      <w:r w:rsidR="001C5486">
        <w:rPr>
          <w:rFonts w:ascii="Verdana" w:hAnsi="Verdana"/>
          <w:sz w:val="22"/>
        </w:rPr>
        <w:t>ents (83%) underwent unilateral surgery whilst three underwent bilateral neck exploration.</w:t>
      </w:r>
    </w:p>
    <w:p w14:paraId="58078D33" w14:textId="77777777" w:rsidR="001C5486" w:rsidRDefault="001C5486" w:rsidP="00E91D92">
      <w:pPr>
        <w:jc w:val="both"/>
        <w:rPr>
          <w:rFonts w:ascii="Verdana" w:hAnsi="Verdana"/>
          <w:sz w:val="22"/>
        </w:rPr>
      </w:pPr>
    </w:p>
    <w:p w14:paraId="0EDDCE71" w14:textId="299660B1" w:rsidR="007B78EB" w:rsidRDefault="001C5486" w:rsidP="00E91D92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Two patients who also underwent hemithyroidectomy surgery had surgical drains inserted, both insitu for a day with average drain output</w:t>
      </w:r>
      <w:r w:rsidR="00EB6D29">
        <w:rPr>
          <w:rFonts w:ascii="Verdana" w:hAnsi="Verdana"/>
          <w:sz w:val="22"/>
        </w:rPr>
        <w:t>s</w:t>
      </w:r>
      <w:r>
        <w:rPr>
          <w:rFonts w:ascii="Verdana" w:hAnsi="Verdana"/>
          <w:sz w:val="22"/>
        </w:rPr>
        <w:t xml:space="preserve"> of 2</w:t>
      </w:r>
      <w:r w:rsidR="005D2B76">
        <w:rPr>
          <w:rFonts w:ascii="Verdana" w:hAnsi="Verdana"/>
          <w:sz w:val="22"/>
        </w:rPr>
        <w:t>5</w:t>
      </w:r>
      <w:r>
        <w:rPr>
          <w:rFonts w:ascii="Verdana" w:hAnsi="Verdana"/>
          <w:sz w:val="22"/>
        </w:rPr>
        <w:t xml:space="preserve"> ml/day.</w:t>
      </w:r>
    </w:p>
    <w:p w14:paraId="578562B5" w14:textId="33289C23" w:rsidR="001C5486" w:rsidRDefault="001C5486" w:rsidP="00E91D92">
      <w:pPr>
        <w:jc w:val="both"/>
        <w:rPr>
          <w:rFonts w:ascii="Verdana" w:hAnsi="Verdana"/>
          <w:sz w:val="22"/>
        </w:rPr>
      </w:pPr>
    </w:p>
    <w:p w14:paraId="56ACF80D" w14:textId="51E2E87E" w:rsidR="007B78EB" w:rsidRDefault="001C5486" w:rsidP="00E91D92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In the cohort of sole parathyroidectomy </w:t>
      </w:r>
      <w:r w:rsidR="009A0FAD">
        <w:rPr>
          <w:rFonts w:ascii="Verdana" w:hAnsi="Verdana"/>
          <w:sz w:val="22"/>
        </w:rPr>
        <w:t>procedures</w:t>
      </w:r>
      <w:r>
        <w:rPr>
          <w:rFonts w:ascii="Verdana" w:hAnsi="Verdana"/>
          <w:sz w:val="22"/>
        </w:rPr>
        <w:t xml:space="preserve">, surgical drains were inserted in two patients, one of which was a re-exploration neck </w:t>
      </w:r>
      <w:r w:rsidR="009A0FAD">
        <w:rPr>
          <w:rFonts w:ascii="Verdana" w:hAnsi="Verdana"/>
          <w:sz w:val="22"/>
        </w:rPr>
        <w:t xml:space="preserve">procedure. The average drain output for both was </w:t>
      </w:r>
      <w:r w:rsidR="0088212C">
        <w:rPr>
          <w:rFonts w:ascii="Verdana" w:hAnsi="Verdana"/>
          <w:sz w:val="22"/>
        </w:rPr>
        <w:t>1</w:t>
      </w:r>
      <w:r w:rsidR="005D2B76">
        <w:rPr>
          <w:rFonts w:ascii="Verdana" w:hAnsi="Verdana"/>
          <w:sz w:val="22"/>
        </w:rPr>
        <w:t>0</w:t>
      </w:r>
      <w:r w:rsidR="009A0FAD">
        <w:rPr>
          <w:rFonts w:ascii="Verdana" w:hAnsi="Verdana"/>
          <w:sz w:val="22"/>
        </w:rPr>
        <w:t>ml/day.</w:t>
      </w:r>
    </w:p>
    <w:p w14:paraId="17F280C8" w14:textId="0AD3A33F" w:rsidR="00E91D92" w:rsidRDefault="00E91D92" w:rsidP="00E91D92">
      <w:pPr>
        <w:rPr>
          <w:rFonts w:ascii="Verdana" w:hAnsi="Verdana"/>
          <w:sz w:val="22"/>
        </w:rPr>
      </w:pPr>
    </w:p>
    <w:p w14:paraId="742A65ED" w14:textId="10D52799" w:rsidR="0063604A" w:rsidRDefault="0063604A" w:rsidP="00E91D92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The length of hospital </w:t>
      </w:r>
      <w:r w:rsidR="006813CC">
        <w:rPr>
          <w:rFonts w:ascii="Verdana" w:hAnsi="Verdana"/>
          <w:sz w:val="22"/>
        </w:rPr>
        <w:t>stays</w:t>
      </w:r>
      <w:r w:rsidR="005B3B14">
        <w:rPr>
          <w:rFonts w:ascii="Verdana" w:hAnsi="Verdana"/>
          <w:sz w:val="22"/>
        </w:rPr>
        <w:t xml:space="preserve"> </w:t>
      </w:r>
      <w:r>
        <w:rPr>
          <w:rFonts w:ascii="Verdana" w:hAnsi="Verdana"/>
          <w:sz w:val="22"/>
        </w:rPr>
        <w:t>for</w:t>
      </w:r>
      <w:r w:rsidR="005B3B14">
        <w:rPr>
          <w:rFonts w:ascii="Verdana" w:hAnsi="Verdana"/>
          <w:sz w:val="22"/>
        </w:rPr>
        <w:t xml:space="preserve"> </w:t>
      </w:r>
      <w:r>
        <w:rPr>
          <w:rFonts w:ascii="Verdana" w:hAnsi="Verdana"/>
          <w:sz w:val="22"/>
        </w:rPr>
        <w:t>72%</w:t>
      </w:r>
      <w:r w:rsidR="00EB6D29">
        <w:rPr>
          <w:rFonts w:ascii="Verdana" w:hAnsi="Verdana"/>
          <w:sz w:val="22"/>
        </w:rPr>
        <w:t xml:space="preserve"> of patients</w:t>
      </w:r>
      <w:r>
        <w:rPr>
          <w:rFonts w:ascii="Verdana" w:hAnsi="Verdana"/>
          <w:sz w:val="22"/>
        </w:rPr>
        <w:t xml:space="preserve"> was one day, 22</w:t>
      </w:r>
      <w:r w:rsidR="005B3B14">
        <w:rPr>
          <w:rFonts w:ascii="Verdana" w:hAnsi="Verdana"/>
          <w:sz w:val="22"/>
        </w:rPr>
        <w:t>%</w:t>
      </w:r>
      <w:r>
        <w:rPr>
          <w:rFonts w:ascii="Verdana" w:hAnsi="Verdana"/>
          <w:sz w:val="22"/>
        </w:rPr>
        <w:t xml:space="preserve"> two days and 1 patient for 8 days. Delays in discharge were due to postoperative urinary retention and biochemical hypocalcaemia.</w:t>
      </w:r>
      <w:r w:rsidR="0088212C">
        <w:rPr>
          <w:rFonts w:ascii="Verdana" w:hAnsi="Verdana"/>
          <w:sz w:val="22"/>
        </w:rPr>
        <w:t xml:space="preserve"> </w:t>
      </w:r>
      <w:r w:rsidR="0057070B">
        <w:rPr>
          <w:rFonts w:ascii="Verdana" w:hAnsi="Verdana"/>
          <w:sz w:val="22"/>
        </w:rPr>
        <w:t xml:space="preserve">No Patients in 30 days after their procedure returned to the Emergency department or their local General Practitioner with hypocalcemia. </w:t>
      </w:r>
    </w:p>
    <w:p w14:paraId="38225E61" w14:textId="2A3272C1" w:rsidR="00E91D92" w:rsidRDefault="00E91D92" w:rsidP="00E91D92">
      <w:pPr>
        <w:rPr>
          <w:rFonts w:ascii="Verdana" w:hAnsi="Verdana"/>
          <w:sz w:val="22"/>
        </w:rPr>
      </w:pPr>
    </w:p>
    <w:p w14:paraId="0AE957D6" w14:textId="37BBB8FB" w:rsidR="007B78EB" w:rsidRPr="0063604A" w:rsidRDefault="001F7E2C" w:rsidP="00E91D92">
      <w:pPr>
        <w:jc w:val="both"/>
        <w:rPr>
          <w:rFonts w:ascii="Verdana" w:hAnsi="Verdana"/>
          <w:b/>
          <w:bCs/>
          <w:sz w:val="22"/>
        </w:rPr>
      </w:pPr>
      <w:r>
        <w:rPr>
          <w:rFonts w:ascii="Verdana" w:hAnsi="Verdana"/>
          <w:b/>
          <w:bCs/>
          <w:sz w:val="22"/>
        </w:rPr>
        <w:t>Conclusion:</w:t>
      </w:r>
    </w:p>
    <w:p w14:paraId="6B09E8D2" w14:textId="74E8BE80" w:rsidR="00EF3B0A" w:rsidRDefault="0088212C" w:rsidP="007B78EB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Pa</w:t>
      </w:r>
      <w:r w:rsidR="007B78EB">
        <w:rPr>
          <w:rFonts w:ascii="Verdana" w:hAnsi="Verdana"/>
          <w:sz w:val="22"/>
        </w:rPr>
        <w:t xml:space="preserve">tients undergoing sole parathyroidectomy procedures without additional </w:t>
      </w:r>
      <w:r>
        <w:rPr>
          <w:rFonts w:ascii="Verdana" w:hAnsi="Verdana"/>
          <w:sz w:val="22"/>
        </w:rPr>
        <w:t>thyroid</w:t>
      </w:r>
      <w:r w:rsidR="007B78EB">
        <w:rPr>
          <w:rFonts w:ascii="Verdana" w:hAnsi="Verdana"/>
          <w:sz w:val="22"/>
        </w:rPr>
        <w:t xml:space="preserve"> surgery </w:t>
      </w:r>
      <w:r>
        <w:rPr>
          <w:rFonts w:ascii="Verdana" w:hAnsi="Verdana"/>
          <w:sz w:val="22"/>
        </w:rPr>
        <w:t>had insignificant drain outputs</w:t>
      </w:r>
      <w:r w:rsidR="007B78EB">
        <w:rPr>
          <w:rFonts w:ascii="Verdana" w:hAnsi="Verdana"/>
          <w:sz w:val="22"/>
        </w:rPr>
        <w:t xml:space="preserve">. </w:t>
      </w:r>
      <w:r w:rsidR="00EF3B0A">
        <w:rPr>
          <w:rFonts w:ascii="Verdana" w:hAnsi="Verdana"/>
          <w:sz w:val="22"/>
        </w:rPr>
        <w:t>W</w:t>
      </w:r>
      <w:r>
        <w:rPr>
          <w:rFonts w:ascii="Verdana" w:hAnsi="Verdana"/>
          <w:sz w:val="22"/>
        </w:rPr>
        <w:t>e</w:t>
      </w:r>
      <w:r w:rsidR="007B78EB">
        <w:rPr>
          <w:rFonts w:ascii="Verdana" w:hAnsi="Verdana"/>
          <w:sz w:val="22"/>
        </w:rPr>
        <w:t xml:space="preserve"> therefore advocate consideration of a 23-hour admission pathway versus </w:t>
      </w:r>
      <w:r w:rsidR="00EF3B0A">
        <w:rPr>
          <w:rFonts w:ascii="Verdana" w:hAnsi="Verdana"/>
          <w:sz w:val="22"/>
        </w:rPr>
        <w:t>longer</w:t>
      </w:r>
      <w:r w:rsidR="007B78EB">
        <w:rPr>
          <w:rFonts w:ascii="Verdana" w:hAnsi="Verdana"/>
          <w:sz w:val="22"/>
        </w:rPr>
        <w:t xml:space="preserve"> in-patient admission</w:t>
      </w:r>
      <w:r w:rsidR="00E0305B">
        <w:rPr>
          <w:rFonts w:ascii="Verdana" w:hAnsi="Verdana"/>
          <w:sz w:val="22"/>
        </w:rPr>
        <w:t>.</w:t>
      </w:r>
    </w:p>
    <w:p w14:paraId="02976808" w14:textId="77777777" w:rsidR="00EF3B0A" w:rsidRDefault="00EF3B0A" w:rsidP="007B78EB">
      <w:pPr>
        <w:jc w:val="both"/>
        <w:rPr>
          <w:rFonts w:ascii="Verdana" w:hAnsi="Verdana"/>
          <w:sz w:val="22"/>
        </w:rPr>
      </w:pPr>
    </w:p>
    <w:p w14:paraId="562E5274" w14:textId="1FE11B87" w:rsidR="00262CA5" w:rsidRDefault="00EF3B0A" w:rsidP="007B78EB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The 23-hour admission pathway can be</w:t>
      </w:r>
      <w:r w:rsidR="000F3829">
        <w:rPr>
          <w:rFonts w:ascii="Verdana" w:hAnsi="Verdana"/>
          <w:sz w:val="22"/>
        </w:rPr>
        <w:t xml:space="preserve"> facilitated by nurse-lead discharge and  </w:t>
      </w:r>
      <w:r w:rsidR="007B78EB">
        <w:rPr>
          <w:rFonts w:ascii="Verdana" w:hAnsi="Verdana"/>
          <w:sz w:val="22"/>
        </w:rPr>
        <w:t xml:space="preserve"> formulation of a </w:t>
      </w:r>
      <w:r w:rsidR="000F3829">
        <w:rPr>
          <w:rFonts w:ascii="Verdana" w:hAnsi="Verdana"/>
          <w:sz w:val="22"/>
        </w:rPr>
        <w:t xml:space="preserve">specific </w:t>
      </w:r>
      <w:r w:rsidR="007B78EB">
        <w:rPr>
          <w:rFonts w:ascii="Verdana" w:hAnsi="Verdana"/>
          <w:sz w:val="22"/>
        </w:rPr>
        <w:t>postoperative checklist to ensure cl</w:t>
      </w:r>
      <w:r w:rsidR="000F3829">
        <w:rPr>
          <w:rFonts w:ascii="Verdana" w:hAnsi="Verdana"/>
          <w:sz w:val="22"/>
        </w:rPr>
        <w:t>ose</w:t>
      </w:r>
      <w:r w:rsidR="007B78EB">
        <w:rPr>
          <w:rFonts w:ascii="Verdana" w:hAnsi="Verdana"/>
          <w:sz w:val="22"/>
        </w:rPr>
        <w:t xml:space="preserve"> monitoring</w:t>
      </w:r>
      <w:r w:rsidR="000F3829">
        <w:rPr>
          <w:rFonts w:ascii="Verdana" w:hAnsi="Verdana"/>
          <w:sz w:val="22"/>
        </w:rPr>
        <w:t>, bone profile bloods</w:t>
      </w:r>
      <w:r w:rsidR="007B78EB">
        <w:rPr>
          <w:rFonts w:ascii="Verdana" w:hAnsi="Verdana"/>
          <w:sz w:val="22"/>
        </w:rPr>
        <w:t xml:space="preserve">, clear indicators </w:t>
      </w:r>
      <w:r w:rsidR="000F3829">
        <w:rPr>
          <w:rFonts w:ascii="Verdana" w:hAnsi="Verdana"/>
          <w:sz w:val="22"/>
        </w:rPr>
        <w:t>for</w:t>
      </w:r>
      <w:r w:rsidR="007B78EB">
        <w:rPr>
          <w:rFonts w:ascii="Verdana" w:hAnsi="Verdana"/>
          <w:sz w:val="22"/>
        </w:rPr>
        <w:t xml:space="preserve"> seek</w:t>
      </w:r>
      <w:r w:rsidR="000F3829">
        <w:rPr>
          <w:rFonts w:ascii="Verdana" w:hAnsi="Verdana"/>
          <w:sz w:val="22"/>
        </w:rPr>
        <w:t>ing</w:t>
      </w:r>
      <w:r w:rsidR="007B78EB">
        <w:rPr>
          <w:rFonts w:ascii="Verdana" w:hAnsi="Verdana"/>
          <w:sz w:val="22"/>
        </w:rPr>
        <w:t xml:space="preserve"> specialist review, </w:t>
      </w:r>
      <w:r w:rsidR="005847CF">
        <w:rPr>
          <w:rFonts w:ascii="Verdana" w:hAnsi="Verdana"/>
          <w:sz w:val="22"/>
        </w:rPr>
        <w:t>analgesia,</w:t>
      </w:r>
      <w:r w:rsidR="007B78EB">
        <w:rPr>
          <w:rFonts w:ascii="Verdana" w:hAnsi="Verdana"/>
          <w:sz w:val="22"/>
        </w:rPr>
        <w:t xml:space="preserve"> and anti-emetic treatment. </w:t>
      </w:r>
    </w:p>
    <w:p w14:paraId="13B4278D" w14:textId="015E18F4" w:rsidR="000F3829" w:rsidRDefault="000F3829" w:rsidP="007B78EB">
      <w:pPr>
        <w:jc w:val="both"/>
        <w:rPr>
          <w:rFonts w:ascii="Verdana" w:hAnsi="Verdana"/>
          <w:sz w:val="22"/>
        </w:rPr>
      </w:pPr>
    </w:p>
    <w:p w14:paraId="11EFFC1F" w14:textId="2E97281C" w:rsidR="000F3829" w:rsidRDefault="000F3829" w:rsidP="007B78EB">
      <w:pPr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Reducing the length of hospital</w:t>
      </w:r>
      <w:r w:rsidR="005847CF">
        <w:rPr>
          <w:rFonts w:ascii="Verdana" w:hAnsi="Verdana"/>
          <w:sz w:val="22"/>
        </w:rPr>
        <w:t xml:space="preserve"> stay</w:t>
      </w:r>
      <w:r>
        <w:rPr>
          <w:rFonts w:ascii="Verdana" w:hAnsi="Verdana"/>
          <w:sz w:val="22"/>
        </w:rPr>
        <w:t xml:space="preserve"> </w:t>
      </w:r>
      <w:r w:rsidR="00466961">
        <w:rPr>
          <w:rFonts w:ascii="Verdana" w:hAnsi="Verdana"/>
          <w:sz w:val="22"/>
        </w:rPr>
        <w:t>safely and effective</w:t>
      </w:r>
      <w:r w:rsidR="005847CF">
        <w:rPr>
          <w:rFonts w:ascii="Verdana" w:hAnsi="Verdana"/>
          <w:sz w:val="22"/>
        </w:rPr>
        <w:t>ly</w:t>
      </w:r>
      <w:r>
        <w:rPr>
          <w:rFonts w:ascii="Verdana" w:hAnsi="Verdana"/>
          <w:sz w:val="22"/>
        </w:rPr>
        <w:t xml:space="preserve"> improves patient experience</w:t>
      </w:r>
      <w:r w:rsidR="00466961">
        <w:rPr>
          <w:rFonts w:ascii="Verdana" w:hAnsi="Verdana"/>
          <w:sz w:val="22"/>
        </w:rPr>
        <w:t xml:space="preserve">, </w:t>
      </w:r>
      <w:r w:rsidR="005847CF">
        <w:rPr>
          <w:rFonts w:ascii="Verdana" w:hAnsi="Verdana"/>
          <w:sz w:val="22"/>
        </w:rPr>
        <w:t>reduces</w:t>
      </w:r>
      <w:r>
        <w:rPr>
          <w:rFonts w:ascii="Verdana" w:hAnsi="Verdana"/>
          <w:sz w:val="22"/>
        </w:rPr>
        <w:t xml:space="preserve"> risks and costs, making ENT departments resilient to pressures of bed availability.  </w:t>
      </w:r>
    </w:p>
    <w:p w14:paraId="7F1FC599" w14:textId="77777777" w:rsidR="00262CA5" w:rsidRPr="001F7E2C" w:rsidRDefault="00262CA5" w:rsidP="00E91D92">
      <w:pPr>
        <w:jc w:val="both"/>
        <w:rPr>
          <w:rFonts w:ascii="Verdana" w:hAnsi="Verdana"/>
          <w:sz w:val="22"/>
        </w:rPr>
      </w:pPr>
    </w:p>
    <w:p w14:paraId="05031CEF" w14:textId="6379C281" w:rsidR="00E91D92" w:rsidRDefault="00E91D92" w:rsidP="00E91D92">
      <w:pPr>
        <w:jc w:val="both"/>
        <w:rPr>
          <w:rFonts w:ascii="Verdana" w:hAnsi="Verdana"/>
          <w:b/>
          <w:bCs/>
          <w:sz w:val="22"/>
        </w:rPr>
      </w:pPr>
    </w:p>
    <w:p w14:paraId="5127CC38" w14:textId="77777777" w:rsidR="00E91D92" w:rsidRPr="00E91D92" w:rsidRDefault="00E91D92" w:rsidP="00E91D92">
      <w:pPr>
        <w:jc w:val="both"/>
        <w:rPr>
          <w:rFonts w:ascii="Verdana" w:hAnsi="Verdana"/>
          <w:b/>
          <w:bCs/>
          <w:sz w:val="22"/>
        </w:rPr>
      </w:pPr>
    </w:p>
    <w:p w14:paraId="060FF7E2" w14:textId="2DA54D67" w:rsidR="00740D1A" w:rsidRPr="00DC3C8D" w:rsidRDefault="00740D1A" w:rsidP="00D3528E">
      <w:pPr>
        <w:jc w:val="both"/>
        <w:rPr>
          <w:rFonts w:ascii="Verdana" w:hAnsi="Verdana"/>
          <w:sz w:val="22"/>
        </w:rPr>
      </w:pPr>
    </w:p>
    <w:p w14:paraId="39973A04" w14:textId="77777777" w:rsidR="00740D1A" w:rsidRPr="00DC3C8D" w:rsidRDefault="00740D1A" w:rsidP="00D3528E">
      <w:pPr>
        <w:jc w:val="both"/>
        <w:rPr>
          <w:rFonts w:ascii="Verdana" w:hAnsi="Verdana"/>
          <w:sz w:val="22"/>
        </w:rPr>
      </w:pPr>
    </w:p>
    <w:p w14:paraId="64FF2C80" w14:textId="6A527B26" w:rsidR="00F76994" w:rsidRPr="00DC3C8D" w:rsidRDefault="0057070B"/>
    <w:sectPr w:rsidR="00F76994" w:rsidRPr="00DC3C8D" w:rsidSect="0068145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8E"/>
    <w:rsid w:val="000D41F9"/>
    <w:rsid w:val="000F3829"/>
    <w:rsid w:val="00156698"/>
    <w:rsid w:val="00191C87"/>
    <w:rsid w:val="001C5486"/>
    <w:rsid w:val="001F7E2C"/>
    <w:rsid w:val="00243073"/>
    <w:rsid w:val="00262CA5"/>
    <w:rsid w:val="0027458A"/>
    <w:rsid w:val="003B231C"/>
    <w:rsid w:val="0042182F"/>
    <w:rsid w:val="00455D23"/>
    <w:rsid w:val="00466961"/>
    <w:rsid w:val="00481E6E"/>
    <w:rsid w:val="004C465E"/>
    <w:rsid w:val="0057070B"/>
    <w:rsid w:val="005847CF"/>
    <w:rsid w:val="005B1EF6"/>
    <w:rsid w:val="005B3B14"/>
    <w:rsid w:val="005D2B76"/>
    <w:rsid w:val="005D54E5"/>
    <w:rsid w:val="0063604A"/>
    <w:rsid w:val="006813CC"/>
    <w:rsid w:val="00681458"/>
    <w:rsid w:val="006823C7"/>
    <w:rsid w:val="006C2FF9"/>
    <w:rsid w:val="00740D1A"/>
    <w:rsid w:val="007B78EB"/>
    <w:rsid w:val="008708C6"/>
    <w:rsid w:val="00871478"/>
    <w:rsid w:val="0088212C"/>
    <w:rsid w:val="0097151B"/>
    <w:rsid w:val="009843F6"/>
    <w:rsid w:val="009A0FAD"/>
    <w:rsid w:val="00A04B5F"/>
    <w:rsid w:val="00A565E4"/>
    <w:rsid w:val="00A93C3C"/>
    <w:rsid w:val="00AC0EB6"/>
    <w:rsid w:val="00BC0184"/>
    <w:rsid w:val="00BF0DBD"/>
    <w:rsid w:val="00C64D7B"/>
    <w:rsid w:val="00CC104D"/>
    <w:rsid w:val="00CD114E"/>
    <w:rsid w:val="00D3528E"/>
    <w:rsid w:val="00D51EC2"/>
    <w:rsid w:val="00DA11D1"/>
    <w:rsid w:val="00DC3C8D"/>
    <w:rsid w:val="00E0305B"/>
    <w:rsid w:val="00E228EA"/>
    <w:rsid w:val="00E43FFC"/>
    <w:rsid w:val="00E91D92"/>
    <w:rsid w:val="00EB6D29"/>
    <w:rsid w:val="00EF3B0A"/>
    <w:rsid w:val="00EF64E1"/>
    <w:rsid w:val="00F42C70"/>
    <w:rsid w:val="00FB5C5F"/>
    <w:rsid w:val="00FC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29CA9F"/>
  <w15:chartTrackingRefBased/>
  <w15:docId w15:val="{7D39C20F-5DC6-7A4E-8A5A-018287EA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8E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Isse Ali</dc:creator>
  <cp:keywords/>
  <dc:description/>
  <cp:lastModifiedBy>Asha Isse Ali</cp:lastModifiedBy>
  <cp:revision>3</cp:revision>
  <dcterms:created xsi:type="dcterms:W3CDTF">2021-08-27T06:31:00Z</dcterms:created>
  <dcterms:modified xsi:type="dcterms:W3CDTF">2021-08-27T06:34:00Z</dcterms:modified>
</cp:coreProperties>
</file>