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EA8D9" w14:textId="77777777" w:rsidR="006F5FBF" w:rsidRPr="009E62DC" w:rsidRDefault="006F5FBF" w:rsidP="006F5FBF">
      <w:pPr>
        <w:jc w:val="both"/>
        <w:rPr>
          <w:rFonts w:ascii="Arial" w:hAnsi="Arial"/>
          <w:b/>
          <w:sz w:val="28"/>
          <w:szCs w:val="28"/>
        </w:rPr>
      </w:pPr>
      <w:r w:rsidRPr="009E62DC">
        <w:rPr>
          <w:rFonts w:ascii="Arial" w:hAnsi="Arial"/>
          <w:b/>
          <w:sz w:val="28"/>
          <w:szCs w:val="28"/>
        </w:rPr>
        <w:t>Ambient-temperature structural dynamics of iron-sulfur cluster biogenesis and</w:t>
      </w:r>
    </w:p>
    <w:p w14:paraId="6CB053A3" w14:textId="77777777" w:rsidR="006F5FBF" w:rsidRPr="009E62DC" w:rsidRDefault="006F5FBF" w:rsidP="006F5FBF">
      <w:pPr>
        <w:jc w:val="both"/>
        <w:rPr>
          <w:rFonts w:ascii="Arial" w:hAnsi="Arial"/>
          <w:b/>
          <w:sz w:val="28"/>
          <w:szCs w:val="28"/>
        </w:rPr>
      </w:pPr>
      <w:proofErr w:type="gramStart"/>
      <w:r w:rsidRPr="009E62DC">
        <w:rPr>
          <w:rFonts w:ascii="Arial" w:hAnsi="Arial"/>
          <w:b/>
          <w:sz w:val="28"/>
          <w:szCs w:val="28"/>
        </w:rPr>
        <w:t>development</w:t>
      </w:r>
      <w:proofErr w:type="gramEnd"/>
      <w:r w:rsidRPr="009E62DC">
        <w:rPr>
          <w:rFonts w:ascii="Arial" w:hAnsi="Arial"/>
          <w:b/>
          <w:sz w:val="28"/>
          <w:szCs w:val="28"/>
        </w:rPr>
        <w:t xml:space="preserve"> of its novel regulation strategies</w:t>
      </w:r>
    </w:p>
    <w:p w14:paraId="43858701" w14:textId="77777777" w:rsidR="006F5FBF" w:rsidRPr="009E62DC" w:rsidRDefault="006F5FBF" w:rsidP="006F5FBF">
      <w:pPr>
        <w:jc w:val="both"/>
        <w:rPr>
          <w:rFonts w:ascii="Arial" w:hAnsi="Arial"/>
          <w:sz w:val="28"/>
          <w:szCs w:val="28"/>
        </w:rPr>
      </w:pPr>
      <w:bookmarkStart w:id="0" w:name="_GoBack"/>
      <w:bookmarkEnd w:id="0"/>
    </w:p>
    <w:p w14:paraId="749915B0" w14:textId="77777777" w:rsidR="006F5FBF" w:rsidRPr="009E62DC" w:rsidRDefault="006F5FBF" w:rsidP="006F5FBF">
      <w:pPr>
        <w:jc w:val="both"/>
        <w:rPr>
          <w:rFonts w:ascii="Arial" w:hAnsi="Arial"/>
          <w:sz w:val="28"/>
          <w:szCs w:val="28"/>
        </w:rPr>
      </w:pPr>
      <w:r w:rsidRPr="009E62DC">
        <w:rPr>
          <w:rFonts w:ascii="Arial" w:hAnsi="Arial"/>
          <w:sz w:val="28"/>
          <w:szCs w:val="28"/>
        </w:rPr>
        <w:t xml:space="preserve">Alaleh Shafiei </w:t>
      </w:r>
      <w:proofErr w:type="spellStart"/>
      <w:r w:rsidRPr="009E62DC">
        <w:rPr>
          <w:rFonts w:ascii="Arial" w:hAnsi="Arial"/>
          <w:sz w:val="28"/>
          <w:szCs w:val="28"/>
        </w:rPr>
        <w:t>kamel</w:t>
      </w:r>
      <w:proofErr w:type="spellEnd"/>
      <w:r w:rsidRPr="009E62DC">
        <w:rPr>
          <w:rFonts w:ascii="Arial" w:hAnsi="Arial"/>
          <w:sz w:val="28"/>
          <w:szCs w:val="28"/>
        </w:rPr>
        <w:t xml:space="preserve"> </w:t>
      </w:r>
    </w:p>
    <w:p w14:paraId="2FE20975" w14:textId="77777777" w:rsidR="006F5FBF" w:rsidRPr="009E62DC" w:rsidRDefault="006F5FBF" w:rsidP="006F5FBF">
      <w:pPr>
        <w:jc w:val="both"/>
        <w:rPr>
          <w:rFonts w:ascii="Arial" w:hAnsi="Arial"/>
          <w:sz w:val="28"/>
          <w:szCs w:val="28"/>
        </w:rPr>
      </w:pPr>
      <w:proofErr w:type="spellStart"/>
      <w:r w:rsidRPr="009E62DC">
        <w:rPr>
          <w:rFonts w:ascii="Arial" w:hAnsi="Arial"/>
          <w:sz w:val="28"/>
          <w:szCs w:val="28"/>
        </w:rPr>
        <w:t>Koc</w:t>
      </w:r>
      <w:proofErr w:type="spellEnd"/>
      <w:r w:rsidRPr="009E62DC">
        <w:rPr>
          <w:rFonts w:ascii="Arial" w:hAnsi="Arial"/>
          <w:sz w:val="28"/>
          <w:szCs w:val="28"/>
        </w:rPr>
        <w:t xml:space="preserve"> University (</w:t>
      </w:r>
      <w:proofErr w:type="spellStart"/>
      <w:r w:rsidRPr="009E62DC">
        <w:rPr>
          <w:rFonts w:ascii="Arial" w:hAnsi="Arial"/>
          <w:sz w:val="28"/>
          <w:szCs w:val="28"/>
        </w:rPr>
        <w:t>Koç</w:t>
      </w:r>
      <w:proofErr w:type="spellEnd"/>
      <w:r w:rsidRPr="009E62DC">
        <w:rPr>
          <w:rFonts w:ascii="Arial" w:hAnsi="Arial"/>
          <w:sz w:val="28"/>
          <w:szCs w:val="28"/>
        </w:rPr>
        <w:t xml:space="preserve"> </w:t>
      </w:r>
      <w:proofErr w:type="spellStart"/>
      <w:r w:rsidRPr="009E62DC">
        <w:rPr>
          <w:rFonts w:ascii="Arial" w:hAnsi="Arial"/>
          <w:sz w:val="28"/>
          <w:szCs w:val="28"/>
        </w:rPr>
        <w:t>Üniversitesi</w:t>
      </w:r>
      <w:proofErr w:type="spellEnd"/>
      <w:r w:rsidRPr="009E62DC">
        <w:rPr>
          <w:rFonts w:ascii="Arial" w:hAnsi="Arial"/>
          <w:sz w:val="28"/>
          <w:szCs w:val="28"/>
        </w:rPr>
        <w:t>)</w:t>
      </w:r>
    </w:p>
    <w:p w14:paraId="0D91A58C" w14:textId="77777777" w:rsidR="006F5FBF" w:rsidRPr="009E62DC" w:rsidRDefault="006F5FBF" w:rsidP="006F5FBF">
      <w:pPr>
        <w:jc w:val="both"/>
        <w:rPr>
          <w:rFonts w:ascii="Arial" w:hAnsi="Arial"/>
          <w:sz w:val="28"/>
          <w:szCs w:val="28"/>
        </w:rPr>
      </w:pPr>
    </w:p>
    <w:p w14:paraId="2788AFBF" w14:textId="77777777" w:rsidR="006F5FBF" w:rsidRPr="009E62DC" w:rsidRDefault="006F5FBF" w:rsidP="006F5FBF">
      <w:pPr>
        <w:jc w:val="both"/>
        <w:rPr>
          <w:rFonts w:ascii="Arial" w:hAnsi="Arial"/>
          <w:sz w:val="28"/>
          <w:szCs w:val="28"/>
        </w:rPr>
      </w:pPr>
      <w:r w:rsidRPr="009E62DC">
        <w:rPr>
          <w:rFonts w:ascii="Arial" w:hAnsi="Arial"/>
          <w:sz w:val="28"/>
          <w:szCs w:val="28"/>
        </w:rPr>
        <w:t xml:space="preserve">Iron-sulfur clusters are one of the most frequently found cofactors in the cell, and in many cases essential for the biological mechanisms. As the Fe-S cluster is indispensable for diverse physiological events, minimal defects in its biogenesis pathway results in a wide variety of human diseases. Detailed understanding of the Fe-S cluster biogenesis mechanism is critical to develop effective therapeutic strategies for the related human diseases. In addition, the </w:t>
      </w:r>
      <w:proofErr w:type="gramStart"/>
      <w:r w:rsidRPr="009E62DC">
        <w:rPr>
          <w:rFonts w:ascii="Arial" w:hAnsi="Arial"/>
          <w:sz w:val="28"/>
          <w:szCs w:val="28"/>
        </w:rPr>
        <w:t>Fe-S cluster biogenesis mechanism is mediated by the proteins whose structural features and interaction networks are dynamic and complex, making full elucidation of this mechanism challenging and elusive</w:t>
      </w:r>
      <w:proofErr w:type="gramEnd"/>
      <w:r w:rsidRPr="009E62DC">
        <w:rPr>
          <w:rFonts w:ascii="Arial" w:hAnsi="Arial"/>
          <w:sz w:val="28"/>
          <w:szCs w:val="28"/>
        </w:rPr>
        <w:t>.</w:t>
      </w:r>
    </w:p>
    <w:p w14:paraId="41CAFB98" w14:textId="77777777" w:rsidR="006F5FBF" w:rsidRPr="009E62DC" w:rsidRDefault="006F5FBF" w:rsidP="006F5FBF">
      <w:pPr>
        <w:jc w:val="both"/>
        <w:rPr>
          <w:rFonts w:ascii="Arial" w:hAnsi="Arial"/>
          <w:sz w:val="28"/>
          <w:szCs w:val="28"/>
        </w:rPr>
      </w:pPr>
      <w:r w:rsidRPr="009E62DC">
        <w:rPr>
          <w:rFonts w:ascii="Arial" w:hAnsi="Arial"/>
          <w:sz w:val="28"/>
          <w:szCs w:val="28"/>
        </w:rPr>
        <w:t xml:space="preserve">In eukaryotes, </w:t>
      </w:r>
      <w:proofErr w:type="gramStart"/>
      <w:r w:rsidRPr="009E62DC">
        <w:rPr>
          <w:rFonts w:ascii="Arial" w:hAnsi="Arial"/>
          <w:sz w:val="28"/>
          <w:szCs w:val="28"/>
        </w:rPr>
        <w:t>the Fe-S cluster is assembled by a dedicated biogenesis mechanism residing within a mitochondrion</w:t>
      </w:r>
      <w:proofErr w:type="gramEnd"/>
      <w:r w:rsidRPr="009E62DC">
        <w:rPr>
          <w:rFonts w:ascii="Arial" w:hAnsi="Arial"/>
          <w:sz w:val="28"/>
          <w:szCs w:val="28"/>
        </w:rPr>
        <w:t>. Mitochondrial Fe-S cluster biogenesis mechanism is conserved in prokaryotic Iron Sulfur Cluster (ISC)</w:t>
      </w:r>
    </w:p>
    <w:p w14:paraId="2322BB74" w14:textId="77777777" w:rsidR="006F5FBF" w:rsidRPr="009E62DC" w:rsidRDefault="006F5FBF" w:rsidP="006F5FBF">
      <w:pPr>
        <w:jc w:val="both"/>
        <w:rPr>
          <w:rFonts w:ascii="Arial" w:hAnsi="Arial"/>
          <w:sz w:val="28"/>
          <w:szCs w:val="28"/>
        </w:rPr>
      </w:pPr>
      <w:proofErr w:type="gramStart"/>
      <w:r w:rsidRPr="009E62DC">
        <w:rPr>
          <w:rFonts w:ascii="Arial" w:hAnsi="Arial"/>
          <w:sz w:val="28"/>
          <w:szCs w:val="28"/>
        </w:rPr>
        <w:t>biogenesis</w:t>
      </w:r>
      <w:proofErr w:type="gramEnd"/>
      <w:r w:rsidRPr="009E62DC">
        <w:rPr>
          <w:rFonts w:ascii="Arial" w:hAnsi="Arial"/>
          <w:sz w:val="28"/>
          <w:szCs w:val="28"/>
        </w:rPr>
        <w:t xml:space="preserve">. For example, ISC pathway of Escherichia coli involves many assembly factors including </w:t>
      </w:r>
      <w:proofErr w:type="spellStart"/>
      <w:r w:rsidRPr="009E62DC">
        <w:rPr>
          <w:rFonts w:ascii="Arial" w:hAnsi="Arial"/>
          <w:sz w:val="28"/>
          <w:szCs w:val="28"/>
        </w:rPr>
        <w:t>IscS</w:t>
      </w:r>
      <w:proofErr w:type="spellEnd"/>
      <w:r w:rsidRPr="009E62DC">
        <w:rPr>
          <w:rFonts w:ascii="Arial" w:hAnsi="Arial"/>
          <w:sz w:val="28"/>
          <w:szCs w:val="28"/>
        </w:rPr>
        <w:t xml:space="preserve"> (a cysteine </w:t>
      </w:r>
      <w:proofErr w:type="spellStart"/>
      <w:r w:rsidRPr="009E62DC">
        <w:rPr>
          <w:rFonts w:ascii="Arial" w:hAnsi="Arial"/>
          <w:sz w:val="28"/>
          <w:szCs w:val="28"/>
        </w:rPr>
        <w:t>desulfurase</w:t>
      </w:r>
      <w:proofErr w:type="spellEnd"/>
      <w:r w:rsidRPr="009E62DC">
        <w:rPr>
          <w:rFonts w:ascii="Arial" w:hAnsi="Arial"/>
          <w:sz w:val="28"/>
          <w:szCs w:val="28"/>
        </w:rPr>
        <w:t xml:space="preserve">), </w:t>
      </w:r>
      <w:proofErr w:type="spellStart"/>
      <w:r w:rsidRPr="009E62DC">
        <w:rPr>
          <w:rFonts w:ascii="Arial" w:hAnsi="Arial"/>
          <w:sz w:val="28"/>
          <w:szCs w:val="28"/>
        </w:rPr>
        <w:t>IscU</w:t>
      </w:r>
      <w:proofErr w:type="spellEnd"/>
      <w:r w:rsidRPr="009E62DC">
        <w:rPr>
          <w:rFonts w:ascii="Arial" w:hAnsi="Arial"/>
          <w:sz w:val="28"/>
          <w:szCs w:val="28"/>
        </w:rPr>
        <w:t xml:space="preserve"> (an Fe-S cluster scaffold protein), </w:t>
      </w:r>
      <w:proofErr w:type="spellStart"/>
      <w:r w:rsidRPr="009E62DC">
        <w:rPr>
          <w:rFonts w:ascii="Arial" w:hAnsi="Arial"/>
          <w:sz w:val="28"/>
          <w:szCs w:val="28"/>
        </w:rPr>
        <w:t>ferredoxin</w:t>
      </w:r>
      <w:proofErr w:type="spellEnd"/>
      <w:r w:rsidRPr="009E62DC">
        <w:rPr>
          <w:rFonts w:ascii="Arial" w:hAnsi="Arial"/>
          <w:sz w:val="28"/>
          <w:szCs w:val="28"/>
        </w:rPr>
        <w:t xml:space="preserve"> (an electron supplier), </w:t>
      </w:r>
      <w:proofErr w:type="spellStart"/>
      <w:r w:rsidRPr="009E62DC">
        <w:rPr>
          <w:rFonts w:ascii="Arial" w:hAnsi="Arial"/>
          <w:sz w:val="28"/>
          <w:szCs w:val="28"/>
        </w:rPr>
        <w:t>IscX</w:t>
      </w:r>
      <w:proofErr w:type="spellEnd"/>
      <w:r w:rsidRPr="009E62DC">
        <w:rPr>
          <w:rFonts w:ascii="Arial" w:hAnsi="Arial"/>
          <w:sz w:val="28"/>
          <w:szCs w:val="28"/>
        </w:rPr>
        <w:t xml:space="preserve"> (a potential iron supplier), </w:t>
      </w:r>
      <w:proofErr w:type="spellStart"/>
      <w:r w:rsidRPr="009E62DC">
        <w:rPr>
          <w:rFonts w:ascii="Arial" w:hAnsi="Arial"/>
          <w:sz w:val="28"/>
          <w:szCs w:val="28"/>
        </w:rPr>
        <w:t>HscA</w:t>
      </w:r>
      <w:proofErr w:type="spellEnd"/>
      <w:r w:rsidRPr="009E62DC">
        <w:rPr>
          <w:rFonts w:ascii="Arial" w:hAnsi="Arial"/>
          <w:sz w:val="28"/>
          <w:szCs w:val="28"/>
        </w:rPr>
        <w:t xml:space="preserve"> (an Hsp70-type chaperone), </w:t>
      </w:r>
      <w:proofErr w:type="spellStart"/>
      <w:r w:rsidRPr="009E62DC">
        <w:rPr>
          <w:rFonts w:ascii="Arial" w:hAnsi="Arial"/>
          <w:sz w:val="28"/>
          <w:szCs w:val="28"/>
        </w:rPr>
        <w:t>HscB</w:t>
      </w:r>
      <w:proofErr w:type="spellEnd"/>
      <w:r w:rsidRPr="009E62DC">
        <w:rPr>
          <w:rFonts w:ascii="Arial" w:hAnsi="Arial"/>
          <w:sz w:val="28"/>
          <w:szCs w:val="28"/>
        </w:rPr>
        <w:t xml:space="preserve"> (an Hsp40-type </w:t>
      </w:r>
      <w:proofErr w:type="spellStart"/>
      <w:r w:rsidRPr="009E62DC">
        <w:rPr>
          <w:rFonts w:ascii="Arial" w:hAnsi="Arial"/>
          <w:sz w:val="28"/>
          <w:szCs w:val="28"/>
        </w:rPr>
        <w:t>cochaperone</w:t>
      </w:r>
      <w:proofErr w:type="spellEnd"/>
      <w:r w:rsidRPr="009E62DC">
        <w:rPr>
          <w:rFonts w:ascii="Arial" w:hAnsi="Arial"/>
          <w:sz w:val="28"/>
          <w:szCs w:val="28"/>
        </w:rPr>
        <w:t xml:space="preserve">), and </w:t>
      </w:r>
      <w:proofErr w:type="spellStart"/>
      <w:r w:rsidRPr="009E62DC">
        <w:rPr>
          <w:rFonts w:ascii="Arial" w:hAnsi="Arial"/>
          <w:sz w:val="28"/>
          <w:szCs w:val="28"/>
        </w:rPr>
        <w:t>CyaY</w:t>
      </w:r>
      <w:proofErr w:type="spellEnd"/>
      <w:r w:rsidRPr="009E62DC">
        <w:rPr>
          <w:rFonts w:ascii="Arial" w:hAnsi="Arial"/>
          <w:sz w:val="28"/>
          <w:szCs w:val="28"/>
        </w:rPr>
        <w:t xml:space="preserve"> (an Fe-S cluster assembly regulator). Notably, in order to accommodate highly dynamic functionalities, these proteins in the ISC mechanism exhibits dynamic structural features and complex interaction networks.</w:t>
      </w:r>
    </w:p>
    <w:p w14:paraId="067E24B1" w14:textId="77777777" w:rsidR="006F5FBF" w:rsidRPr="009E62DC" w:rsidRDefault="006F5FBF" w:rsidP="006F5FBF">
      <w:pPr>
        <w:jc w:val="both"/>
        <w:rPr>
          <w:rFonts w:ascii="Arial" w:hAnsi="Arial"/>
          <w:sz w:val="28"/>
          <w:szCs w:val="28"/>
        </w:rPr>
      </w:pPr>
      <w:r w:rsidRPr="009E62DC">
        <w:rPr>
          <w:rFonts w:ascii="Arial" w:hAnsi="Arial"/>
          <w:sz w:val="28"/>
          <w:szCs w:val="28"/>
        </w:rPr>
        <w:t xml:space="preserve">The present project aims to elucidate the Fe-S cluster assembly mechanism, which is specifically mediated by </w:t>
      </w:r>
      <w:proofErr w:type="spellStart"/>
      <w:r w:rsidRPr="009E62DC">
        <w:rPr>
          <w:rFonts w:ascii="Arial" w:hAnsi="Arial"/>
          <w:sz w:val="28"/>
          <w:szCs w:val="28"/>
        </w:rPr>
        <w:t>IscU</w:t>
      </w:r>
      <w:proofErr w:type="spellEnd"/>
      <w:r w:rsidRPr="009E62DC">
        <w:rPr>
          <w:rFonts w:ascii="Arial" w:hAnsi="Arial"/>
          <w:sz w:val="28"/>
          <w:szCs w:val="28"/>
        </w:rPr>
        <w:t xml:space="preserve"> and </w:t>
      </w:r>
      <w:proofErr w:type="spellStart"/>
      <w:r w:rsidRPr="009E62DC">
        <w:rPr>
          <w:rFonts w:ascii="Arial" w:hAnsi="Arial"/>
          <w:sz w:val="28"/>
          <w:szCs w:val="28"/>
        </w:rPr>
        <w:t>IscS</w:t>
      </w:r>
      <w:proofErr w:type="spellEnd"/>
      <w:r w:rsidRPr="009E62DC">
        <w:rPr>
          <w:rFonts w:ascii="Arial" w:hAnsi="Arial"/>
          <w:sz w:val="28"/>
          <w:szCs w:val="28"/>
        </w:rPr>
        <w:t xml:space="preserve"> with help of a few accessory proteins, such as </w:t>
      </w:r>
      <w:proofErr w:type="spellStart"/>
      <w:r w:rsidRPr="009E62DC">
        <w:rPr>
          <w:rFonts w:ascii="Arial" w:hAnsi="Arial"/>
          <w:sz w:val="28"/>
          <w:szCs w:val="28"/>
        </w:rPr>
        <w:t>IscX</w:t>
      </w:r>
      <w:proofErr w:type="spellEnd"/>
      <w:r w:rsidRPr="009E62DC">
        <w:rPr>
          <w:rFonts w:ascii="Arial" w:hAnsi="Arial"/>
          <w:sz w:val="28"/>
          <w:szCs w:val="28"/>
        </w:rPr>
        <w:t xml:space="preserve">, </w:t>
      </w:r>
      <w:proofErr w:type="spellStart"/>
      <w:r w:rsidRPr="009E62DC">
        <w:rPr>
          <w:rFonts w:ascii="Arial" w:hAnsi="Arial"/>
          <w:sz w:val="28"/>
          <w:szCs w:val="28"/>
        </w:rPr>
        <w:t>ferredoxin</w:t>
      </w:r>
      <w:proofErr w:type="spellEnd"/>
      <w:r w:rsidRPr="009E62DC">
        <w:rPr>
          <w:rFonts w:ascii="Arial" w:hAnsi="Arial"/>
          <w:sz w:val="28"/>
          <w:szCs w:val="28"/>
        </w:rPr>
        <w:t xml:space="preserve">, and </w:t>
      </w:r>
      <w:proofErr w:type="spellStart"/>
      <w:r w:rsidRPr="009E62DC">
        <w:rPr>
          <w:rFonts w:ascii="Arial" w:hAnsi="Arial"/>
          <w:sz w:val="28"/>
          <w:szCs w:val="28"/>
        </w:rPr>
        <w:t>CyaY</w:t>
      </w:r>
      <w:proofErr w:type="spellEnd"/>
      <w:r w:rsidRPr="009E62DC">
        <w:rPr>
          <w:rFonts w:ascii="Arial" w:hAnsi="Arial"/>
          <w:sz w:val="28"/>
          <w:szCs w:val="28"/>
        </w:rPr>
        <w:t xml:space="preserve">. Despite its physiological importance, it is still elusive to grasp how the Fe and S is delivered to </w:t>
      </w:r>
      <w:proofErr w:type="spellStart"/>
      <w:r w:rsidRPr="009E62DC">
        <w:rPr>
          <w:rFonts w:ascii="Arial" w:hAnsi="Arial"/>
          <w:sz w:val="28"/>
          <w:szCs w:val="28"/>
        </w:rPr>
        <w:t>IscS</w:t>
      </w:r>
      <w:proofErr w:type="spellEnd"/>
      <w:r w:rsidRPr="009E62DC">
        <w:rPr>
          <w:rFonts w:ascii="Arial" w:hAnsi="Arial"/>
          <w:sz w:val="28"/>
          <w:szCs w:val="28"/>
        </w:rPr>
        <w:t>/</w:t>
      </w:r>
      <w:proofErr w:type="spellStart"/>
      <w:r w:rsidRPr="009E62DC">
        <w:rPr>
          <w:rFonts w:ascii="Arial" w:hAnsi="Arial"/>
          <w:sz w:val="28"/>
          <w:szCs w:val="28"/>
        </w:rPr>
        <w:t>IscU</w:t>
      </w:r>
      <w:proofErr w:type="spellEnd"/>
      <w:r w:rsidRPr="009E62DC">
        <w:rPr>
          <w:rFonts w:ascii="Arial" w:hAnsi="Arial"/>
          <w:sz w:val="28"/>
          <w:szCs w:val="28"/>
        </w:rPr>
        <w:t xml:space="preserve"> and the Fe-S</w:t>
      </w:r>
    </w:p>
    <w:p w14:paraId="30523BB8" w14:textId="77777777" w:rsidR="006C65EC" w:rsidRPr="009E62DC" w:rsidRDefault="006F5FBF" w:rsidP="006F5FBF">
      <w:pPr>
        <w:jc w:val="both"/>
        <w:rPr>
          <w:rFonts w:ascii="Arial" w:hAnsi="Arial"/>
          <w:sz w:val="28"/>
          <w:szCs w:val="28"/>
        </w:rPr>
      </w:pPr>
      <w:proofErr w:type="gramStart"/>
      <w:r w:rsidRPr="009E62DC">
        <w:rPr>
          <w:rFonts w:ascii="Arial" w:hAnsi="Arial"/>
          <w:sz w:val="28"/>
          <w:szCs w:val="28"/>
        </w:rPr>
        <w:t>cluster</w:t>
      </w:r>
      <w:proofErr w:type="gramEnd"/>
      <w:r w:rsidRPr="009E62DC">
        <w:rPr>
          <w:rFonts w:ascii="Arial" w:hAnsi="Arial"/>
          <w:sz w:val="28"/>
          <w:szCs w:val="28"/>
        </w:rPr>
        <w:t xml:space="preserve"> is assembled on </w:t>
      </w:r>
      <w:proofErr w:type="spellStart"/>
      <w:r w:rsidRPr="009E62DC">
        <w:rPr>
          <w:rFonts w:ascii="Arial" w:hAnsi="Arial"/>
          <w:sz w:val="28"/>
          <w:szCs w:val="28"/>
        </w:rPr>
        <w:t>IscU</w:t>
      </w:r>
      <w:proofErr w:type="spellEnd"/>
      <w:r w:rsidRPr="009E62DC">
        <w:rPr>
          <w:rFonts w:ascii="Arial" w:hAnsi="Arial"/>
          <w:sz w:val="28"/>
          <w:szCs w:val="28"/>
        </w:rPr>
        <w:t>. We aim to provide novel structural insight to elucidate details of these processes at atomic level of resolution. In addition, the observations made here will be directly applicable to further understand mitochondrial Fe-S cluster biogenesis mechanism and to develop therapeutic strategies to alleviate/treat the related pathologies.</w:t>
      </w:r>
    </w:p>
    <w:sectPr w:rsidR="006C65EC" w:rsidRPr="009E62DC" w:rsidSect="006C65E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FBF"/>
    <w:rsid w:val="006C65EC"/>
    <w:rsid w:val="006F5FBF"/>
    <w:rsid w:val="009E62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ED9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340</Words>
  <Characters>1940</Characters>
  <Application>Microsoft Macintosh Word</Application>
  <DocSecurity>0</DocSecurity>
  <Lines>16</Lines>
  <Paragraphs>4</Paragraphs>
  <ScaleCrop>false</ScaleCrop>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alaleh shafiei</dc:creator>
  <cp:keywords/>
  <dc:description/>
  <cp:lastModifiedBy>alaleh shafiei</cp:lastModifiedBy>
  <cp:revision>2</cp:revision>
  <dcterms:created xsi:type="dcterms:W3CDTF">2022-08-15T18:35:00Z</dcterms:created>
  <dcterms:modified xsi:type="dcterms:W3CDTF">2022-08-15T18:40:00Z</dcterms:modified>
</cp:coreProperties>
</file>