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728D36" w14:textId="77777777" w:rsidR="00E279C2" w:rsidRDefault="00E279C2" w:rsidP="007E61B1">
      <w:pPr>
        <w:shd w:val="clear" w:color="auto" w:fill="FFFFFF"/>
        <w:spacing w:line="240" w:lineRule="auto"/>
        <w:jc w:val="both"/>
        <w:rPr>
          <w:rFonts w:ascii="Arial" w:hAnsi="Arial" w:cs="Arial"/>
          <w:iCs/>
          <w:sz w:val="36"/>
          <w:szCs w:val="36"/>
        </w:rPr>
      </w:pPr>
    </w:p>
    <w:p w14:paraId="61925875" w14:textId="3B5976D2" w:rsidR="00F5667F" w:rsidRPr="00E279C2" w:rsidRDefault="00F5667F" w:rsidP="007E61B1">
      <w:pPr>
        <w:shd w:val="clear" w:color="auto" w:fill="FFFFFF"/>
        <w:spacing w:line="240" w:lineRule="auto"/>
        <w:jc w:val="both"/>
        <w:rPr>
          <w:rFonts w:ascii="Arial" w:hAnsi="Arial" w:cs="Arial"/>
          <w:i/>
          <w:sz w:val="36"/>
          <w:szCs w:val="36"/>
        </w:rPr>
      </w:pPr>
      <w:r w:rsidRPr="00E279C2">
        <w:rPr>
          <w:rFonts w:ascii="Arial" w:hAnsi="Arial" w:cs="Arial"/>
          <w:iCs/>
          <w:sz w:val="36"/>
          <w:szCs w:val="36"/>
        </w:rPr>
        <w:t>Structural and functional characterization of mycolic acid methyl transferase A3</w:t>
      </w:r>
      <w:r w:rsidR="00E279C2">
        <w:rPr>
          <w:rFonts w:ascii="Arial" w:hAnsi="Arial" w:cs="Arial"/>
          <w:iCs/>
          <w:sz w:val="36"/>
          <w:szCs w:val="36"/>
        </w:rPr>
        <w:t xml:space="preserve"> </w:t>
      </w:r>
      <w:r w:rsidRPr="00E279C2">
        <w:rPr>
          <w:rFonts w:ascii="Arial" w:hAnsi="Arial" w:cs="Arial"/>
          <w:iCs/>
          <w:sz w:val="36"/>
          <w:szCs w:val="36"/>
        </w:rPr>
        <w:t xml:space="preserve">(MmaA3) enzyme of </w:t>
      </w:r>
      <w:r w:rsidRPr="00E279C2">
        <w:rPr>
          <w:rFonts w:ascii="Arial" w:hAnsi="Arial" w:cs="Arial"/>
          <w:i/>
          <w:sz w:val="36"/>
          <w:szCs w:val="36"/>
        </w:rPr>
        <w:t>Mycobacterium tuberculosis</w:t>
      </w:r>
    </w:p>
    <w:p w14:paraId="33B58C3F" w14:textId="474F0D4C" w:rsidR="003848E2" w:rsidRPr="003848E2" w:rsidRDefault="003848E2" w:rsidP="003848E2">
      <w:pPr>
        <w:shd w:val="clear" w:color="auto" w:fill="FFFFFF"/>
        <w:spacing w:after="0" w:line="240" w:lineRule="auto"/>
        <w:rPr>
          <w:rFonts w:ascii="Arial" w:hAnsi="Arial" w:cs="Arial"/>
          <w:iCs/>
          <w:sz w:val="18"/>
          <w:szCs w:val="18"/>
        </w:rPr>
      </w:pPr>
      <w:r w:rsidRPr="003848E2">
        <w:rPr>
          <w:rFonts w:ascii="Arial" w:hAnsi="Arial" w:cs="Arial"/>
          <w:iCs/>
          <w:sz w:val="18"/>
          <w:szCs w:val="18"/>
        </w:rPr>
        <w:t xml:space="preserve">Bhawna Chaudhary, </w:t>
      </w:r>
      <w:r w:rsidRPr="003848E2">
        <w:rPr>
          <w:rFonts w:ascii="Arial" w:hAnsi="Arial" w:cs="Arial"/>
          <w:iCs/>
          <w:sz w:val="18"/>
          <w:szCs w:val="18"/>
        </w:rPr>
        <w:t>TERI</w:t>
      </w:r>
      <w:r w:rsidRPr="003848E2">
        <w:rPr>
          <w:rFonts w:ascii="Arial" w:hAnsi="Arial" w:cs="Arial"/>
          <w:i/>
          <w:sz w:val="18"/>
          <w:szCs w:val="18"/>
        </w:rPr>
        <w:t xml:space="preserve"> </w:t>
      </w:r>
      <w:r w:rsidRPr="003848E2">
        <w:rPr>
          <w:rFonts w:ascii="Arial" w:hAnsi="Arial" w:cs="Arial"/>
          <w:sz w:val="18"/>
          <w:szCs w:val="18"/>
        </w:rPr>
        <w:t xml:space="preserve">School of Advanced Studies (SAS), </w:t>
      </w:r>
      <w:r w:rsidRPr="003848E2">
        <w:rPr>
          <w:rFonts w:ascii="Arial" w:hAnsi="Arial" w:cs="Arial"/>
          <w:sz w:val="18"/>
          <w:szCs w:val="18"/>
        </w:rPr>
        <w:t>Delhi</w:t>
      </w:r>
      <w:r w:rsidRPr="003848E2">
        <w:rPr>
          <w:rFonts w:ascii="Arial" w:hAnsi="Arial" w:cs="Arial"/>
          <w:sz w:val="18"/>
          <w:szCs w:val="18"/>
        </w:rPr>
        <w:t>, India</w:t>
      </w:r>
    </w:p>
    <w:p w14:paraId="634F1351" w14:textId="77777777" w:rsidR="003848E2" w:rsidRPr="003848E2" w:rsidRDefault="003848E2" w:rsidP="00E279C2">
      <w:pPr>
        <w:shd w:val="clear" w:color="auto" w:fill="FFFFFF"/>
        <w:spacing w:after="0" w:line="240" w:lineRule="auto"/>
        <w:ind w:right="4789"/>
        <w:jc w:val="both"/>
        <w:rPr>
          <w:rFonts w:ascii="Arial" w:hAnsi="Arial" w:cs="Arial"/>
          <w:sz w:val="18"/>
          <w:szCs w:val="18"/>
        </w:rPr>
      </w:pPr>
    </w:p>
    <w:p w14:paraId="7BD2845D" w14:textId="33AF3348" w:rsidR="00E279C2" w:rsidRDefault="00F5667F" w:rsidP="00E279C2">
      <w:pPr>
        <w:shd w:val="clear" w:color="auto" w:fill="FFFFFF"/>
        <w:spacing w:after="0" w:line="240" w:lineRule="auto"/>
        <w:ind w:right="4789"/>
        <w:jc w:val="both"/>
        <w:rPr>
          <w:rFonts w:ascii="Times New Roman" w:hAnsi="Times New Roman" w:cs="Times New Roman"/>
          <w:i/>
          <w:sz w:val="36"/>
          <w:szCs w:val="36"/>
        </w:rPr>
      </w:pPr>
      <w:r w:rsidRPr="00E279C2">
        <w:rPr>
          <w:rFonts w:ascii="Arial" w:hAnsi="Arial" w:cs="Arial"/>
          <w:b/>
          <w:bCs/>
          <w:iCs/>
          <w:sz w:val="20"/>
          <w:szCs w:val="20"/>
        </w:rPr>
        <w:t>Abstract</w:t>
      </w:r>
    </w:p>
    <w:p w14:paraId="7037E24F" w14:textId="533D9038" w:rsidR="007E61B1" w:rsidRPr="00E279C2" w:rsidRDefault="00F5667F" w:rsidP="002F580F">
      <w:pPr>
        <w:shd w:val="clear" w:color="auto" w:fill="FFFFFF"/>
        <w:spacing w:after="0"/>
        <w:ind w:right="4789"/>
        <w:jc w:val="both"/>
        <w:rPr>
          <w:rFonts w:ascii="Tw Cen MT" w:hAnsi="Tw Cen MT" w:cs="Times New Roman"/>
          <w:iCs/>
          <w:sz w:val="36"/>
          <w:szCs w:val="36"/>
        </w:rPr>
      </w:pPr>
      <w:r w:rsidRPr="00E279C2">
        <w:rPr>
          <w:rFonts w:ascii="Tw Cen MT" w:hAnsi="Tw Cen MT" w:cs="Times New Roman"/>
          <w:i/>
          <w:sz w:val="18"/>
          <w:szCs w:val="18"/>
        </w:rPr>
        <w:t>Mycobacterium tuberculosis (</w:t>
      </w:r>
      <w:proofErr w:type="spellStart"/>
      <w:r w:rsidRPr="00E279C2">
        <w:rPr>
          <w:rFonts w:ascii="Tw Cen MT" w:hAnsi="Tw Cen MT" w:cs="Times New Roman"/>
          <w:i/>
          <w:sz w:val="18"/>
          <w:szCs w:val="18"/>
        </w:rPr>
        <w:t>Mtb</w:t>
      </w:r>
      <w:proofErr w:type="spellEnd"/>
      <w:r w:rsidRPr="00E279C2">
        <w:rPr>
          <w:rFonts w:ascii="Tw Cen MT" w:hAnsi="Tw Cen MT" w:cs="Times New Roman"/>
          <w:i/>
          <w:sz w:val="18"/>
          <w:szCs w:val="18"/>
        </w:rPr>
        <w:t xml:space="preserve">) </w:t>
      </w:r>
      <w:r w:rsidRPr="00E279C2">
        <w:rPr>
          <w:rFonts w:ascii="Tw Cen MT" w:hAnsi="Tw Cen MT" w:cs="Times New Roman"/>
          <w:sz w:val="18"/>
          <w:szCs w:val="18"/>
        </w:rPr>
        <w:t>is the causative agent of tuberculosis (TB), which is a primary cause of mortality and morbidity worldwide</w:t>
      </w:r>
      <w:r w:rsidRPr="00E279C2">
        <w:rPr>
          <w:rFonts w:ascii="Tw Cen MT" w:hAnsi="Tw Cen MT" w:cs="Times New Roman"/>
          <w:iCs/>
          <w:sz w:val="18"/>
          <w:szCs w:val="18"/>
        </w:rPr>
        <w:t xml:space="preserve">. </w:t>
      </w:r>
      <w:proofErr w:type="spellStart"/>
      <w:r w:rsidRPr="00E279C2">
        <w:rPr>
          <w:rFonts w:ascii="Tw Cen MT" w:hAnsi="Tw Cen MT" w:cs="Times New Roman"/>
          <w:i/>
          <w:sz w:val="18"/>
          <w:szCs w:val="18"/>
        </w:rPr>
        <w:t>Mtb</w:t>
      </w:r>
      <w:proofErr w:type="spellEnd"/>
      <w:r w:rsidRPr="00E279C2">
        <w:rPr>
          <w:rFonts w:ascii="Tw Cen MT" w:hAnsi="Tw Cen MT" w:cs="Times New Roman"/>
          <w:iCs/>
          <w:sz w:val="18"/>
          <w:szCs w:val="18"/>
        </w:rPr>
        <w:t xml:space="preserve"> during course of time re-established themselves to evolve into Multi Drug Resistant Strains (MDR) and </w:t>
      </w:r>
      <w:proofErr w:type="spellStart"/>
      <w:r w:rsidRPr="00E279C2">
        <w:rPr>
          <w:rFonts w:ascii="Tw Cen MT" w:hAnsi="Tw Cen MT" w:cs="Times New Roman"/>
          <w:iCs/>
          <w:sz w:val="18"/>
          <w:szCs w:val="18"/>
        </w:rPr>
        <w:t>eXtensively</w:t>
      </w:r>
      <w:proofErr w:type="spellEnd"/>
      <w:r w:rsidRPr="00E279C2">
        <w:rPr>
          <w:rFonts w:ascii="Tw Cen MT" w:hAnsi="Tw Cen MT" w:cs="Times New Roman"/>
          <w:iCs/>
          <w:sz w:val="18"/>
          <w:szCs w:val="18"/>
        </w:rPr>
        <w:t xml:space="preserve"> Drug Resistant strains (XDR) </w:t>
      </w:r>
      <w:proofErr w:type="spellStart"/>
      <w:r w:rsidRPr="00E279C2">
        <w:rPr>
          <w:rFonts w:ascii="Tw Cen MT" w:hAnsi="Tw Cen MT" w:cs="Times New Roman"/>
          <w:i/>
          <w:sz w:val="18"/>
          <w:szCs w:val="18"/>
        </w:rPr>
        <w:t>Mtb</w:t>
      </w:r>
      <w:proofErr w:type="spellEnd"/>
      <w:r w:rsidRPr="00E279C2">
        <w:rPr>
          <w:rFonts w:ascii="Tw Cen MT" w:hAnsi="Tw Cen MT" w:cs="Times New Roman"/>
          <w:i/>
          <w:sz w:val="18"/>
          <w:szCs w:val="18"/>
        </w:rPr>
        <w:t xml:space="preserve"> </w:t>
      </w:r>
      <w:r w:rsidRPr="00E279C2">
        <w:rPr>
          <w:rFonts w:ascii="Tw Cen MT" w:hAnsi="Tw Cen MT" w:cs="Times New Roman"/>
          <w:sz w:val="18"/>
          <w:szCs w:val="18"/>
        </w:rPr>
        <w:t xml:space="preserve">have been concentrated on the unique chemical entities present in the cell envelope of this bacterium as it has been recognized as potential drug target. The cell wall of </w:t>
      </w:r>
      <w:proofErr w:type="spellStart"/>
      <w:r w:rsidRPr="00E279C2">
        <w:rPr>
          <w:rFonts w:ascii="Tw Cen MT" w:hAnsi="Tw Cen MT" w:cs="Times New Roman"/>
          <w:i/>
          <w:sz w:val="18"/>
          <w:szCs w:val="18"/>
        </w:rPr>
        <w:t>Mtb</w:t>
      </w:r>
      <w:proofErr w:type="spellEnd"/>
      <w:r w:rsidRPr="00E279C2">
        <w:rPr>
          <w:rFonts w:ascii="Tw Cen MT" w:hAnsi="Tw Cen MT" w:cs="Times New Roman"/>
          <w:sz w:val="18"/>
          <w:szCs w:val="18"/>
        </w:rPr>
        <w:t xml:space="preserve"> have a complex hydrophobic array of unique glycolipids and mycolic acids of which the m</w:t>
      </w:r>
      <w:r w:rsidRPr="00E279C2">
        <w:rPr>
          <w:rFonts w:ascii="Tw Cen MT" w:hAnsi="Tw Cen MT" w:cs="Times New Roman"/>
          <w:color w:val="000000"/>
          <w:sz w:val="18"/>
          <w:szCs w:val="18"/>
          <w:shd w:val="clear" w:color="auto" w:fill="FFFFFF"/>
        </w:rPr>
        <w:t xml:space="preserve">ycolates are </w:t>
      </w:r>
      <w:r w:rsidRPr="00E279C2">
        <w:rPr>
          <w:rFonts w:ascii="Calibri" w:hAnsi="Calibri" w:cs="Calibri"/>
          <w:color w:val="000000"/>
          <w:sz w:val="18"/>
          <w:szCs w:val="18"/>
          <w:shd w:val="clear" w:color="auto" w:fill="FFFFFF"/>
        </w:rPr>
        <w:t>β</w:t>
      </w:r>
      <w:r w:rsidRPr="00E279C2">
        <w:rPr>
          <w:rFonts w:ascii="Tw Cen MT" w:hAnsi="Tw Cen MT" w:cs="Times New Roman"/>
          <w:color w:val="000000"/>
          <w:sz w:val="18"/>
          <w:szCs w:val="18"/>
          <w:shd w:val="clear" w:color="auto" w:fill="FFFFFF"/>
        </w:rPr>
        <w:t xml:space="preserve">-hydroxy fatty acids with a long </w:t>
      </w:r>
      <w:r w:rsidRPr="00E279C2">
        <w:rPr>
          <w:rFonts w:ascii="Calibri" w:hAnsi="Calibri" w:cs="Calibri"/>
          <w:color w:val="000000"/>
          <w:sz w:val="18"/>
          <w:szCs w:val="18"/>
          <w:shd w:val="clear" w:color="auto" w:fill="FFFFFF"/>
        </w:rPr>
        <w:t>α</w:t>
      </w:r>
      <w:r w:rsidRPr="00E279C2">
        <w:rPr>
          <w:rFonts w:ascii="Tw Cen MT" w:hAnsi="Tw Cen MT" w:cs="Times New Roman"/>
          <w:color w:val="000000"/>
          <w:sz w:val="18"/>
          <w:szCs w:val="18"/>
          <w:shd w:val="clear" w:color="auto" w:fill="FFFFFF"/>
        </w:rPr>
        <w:t>-alkyl side chain.</w:t>
      </w:r>
      <w:r w:rsidR="00945A33" w:rsidRPr="00E279C2">
        <w:rPr>
          <w:rFonts w:ascii="Tw Cen MT" w:hAnsi="Tw Cen MT" w:cs="Times New Roman"/>
          <w:color w:val="000000"/>
          <w:sz w:val="18"/>
          <w:szCs w:val="18"/>
          <w:shd w:val="clear" w:color="auto" w:fill="FFFFFF"/>
        </w:rPr>
        <w:t xml:space="preserve"> The three distinct structural classes of mycolic acids are </w:t>
      </w:r>
      <w:r w:rsidR="00945A33" w:rsidRPr="00E279C2">
        <w:rPr>
          <w:rFonts w:ascii="Calibri" w:hAnsi="Calibri" w:cs="Calibri"/>
          <w:color w:val="000000"/>
          <w:sz w:val="18"/>
          <w:szCs w:val="18"/>
          <w:shd w:val="clear" w:color="auto" w:fill="FFFFFF"/>
        </w:rPr>
        <w:t>α</w:t>
      </w:r>
      <w:r w:rsidR="00945A33" w:rsidRPr="00E279C2">
        <w:rPr>
          <w:rFonts w:ascii="Tw Cen MT" w:hAnsi="Tw Cen MT" w:cs="Times New Roman"/>
          <w:color w:val="000000"/>
          <w:sz w:val="18"/>
          <w:szCs w:val="18"/>
          <w:shd w:val="clear" w:color="auto" w:fill="FFFFFF"/>
        </w:rPr>
        <w:t>-mycolic acid (&gt;70%), methoxy- and keto-mycolic acids (10 to 15%).</w:t>
      </w:r>
      <w:r w:rsidRPr="00E279C2">
        <w:rPr>
          <w:rFonts w:ascii="Tw Cen MT" w:hAnsi="Tw Cen MT" w:cs="Times New Roman"/>
          <w:color w:val="000000"/>
          <w:sz w:val="18"/>
          <w:szCs w:val="18"/>
          <w:shd w:val="clear" w:color="auto" w:fill="FFFFFF"/>
        </w:rPr>
        <w:t xml:space="preserve"> </w:t>
      </w:r>
      <w:r w:rsidRPr="00E279C2">
        <w:rPr>
          <w:rFonts w:ascii="Tw Cen MT" w:hAnsi="Tw Cen MT" w:cs="Times New Roman"/>
          <w:sz w:val="18"/>
          <w:szCs w:val="18"/>
        </w:rPr>
        <w:t xml:space="preserve">The present study is mainly focussing on the cell wall of </w:t>
      </w:r>
      <w:proofErr w:type="spellStart"/>
      <w:r w:rsidRPr="00E279C2">
        <w:rPr>
          <w:rFonts w:ascii="Tw Cen MT" w:hAnsi="Tw Cen MT" w:cs="Times New Roman"/>
          <w:i/>
          <w:sz w:val="18"/>
          <w:szCs w:val="18"/>
        </w:rPr>
        <w:t>Mtb</w:t>
      </w:r>
      <w:proofErr w:type="spellEnd"/>
      <w:r w:rsidRPr="00E279C2">
        <w:rPr>
          <w:rFonts w:ascii="Tw Cen MT" w:hAnsi="Tw Cen MT" w:cs="Times New Roman"/>
          <w:sz w:val="18"/>
          <w:szCs w:val="18"/>
        </w:rPr>
        <w:t xml:space="preserve"> and more specifically the mycolate synthesis. </w:t>
      </w:r>
      <w:r w:rsidRPr="00E279C2">
        <w:rPr>
          <w:rFonts w:ascii="Tw Cen MT" w:eastAsia="Times New Roman" w:hAnsi="Tw Cen MT" w:cs="Times New Roman"/>
          <w:sz w:val="18"/>
          <w:szCs w:val="18"/>
          <w:lang w:val="en-US"/>
        </w:rPr>
        <w:t xml:space="preserve">Any structural alterations of mycolates impacts the virulence nature of </w:t>
      </w:r>
      <w:proofErr w:type="spellStart"/>
      <w:r w:rsidRPr="00E279C2">
        <w:rPr>
          <w:rFonts w:ascii="Tw Cen MT" w:eastAsia="Times New Roman" w:hAnsi="Tw Cen MT" w:cs="Times New Roman"/>
          <w:i/>
          <w:sz w:val="18"/>
          <w:szCs w:val="18"/>
          <w:lang w:val="en-US"/>
        </w:rPr>
        <w:t>Mtb</w:t>
      </w:r>
      <w:proofErr w:type="spellEnd"/>
      <w:r w:rsidRPr="00E279C2">
        <w:rPr>
          <w:rFonts w:ascii="Tw Cen MT" w:eastAsia="Times New Roman" w:hAnsi="Tw Cen MT" w:cs="Times New Roman"/>
          <w:sz w:val="18"/>
          <w:szCs w:val="18"/>
          <w:lang w:val="en-US"/>
        </w:rPr>
        <w:t xml:space="preserve">. </w:t>
      </w:r>
      <w:r w:rsidRPr="00E279C2">
        <w:rPr>
          <w:rFonts w:ascii="Tw Cen MT" w:hAnsi="Tw Cen MT" w:cs="Times New Roman"/>
          <w:b/>
          <w:sz w:val="18"/>
          <w:szCs w:val="18"/>
        </w:rPr>
        <w:t xml:space="preserve"> </w:t>
      </w:r>
      <w:r w:rsidRPr="00E279C2">
        <w:rPr>
          <w:rFonts w:ascii="Tw Cen MT" w:hAnsi="Tw Cen MT" w:cs="Times New Roman"/>
          <w:sz w:val="18"/>
          <w:szCs w:val="18"/>
        </w:rPr>
        <w:t xml:space="preserve">The mycolic acid biosynthesis pathway involves a series of enzymes and we are targeting the methyl transferase enzyme- MmaA3. During the synthesis of the </w:t>
      </w:r>
      <w:r w:rsidRPr="00E279C2">
        <w:rPr>
          <w:rFonts w:ascii="Tw Cen MT" w:hAnsi="Tw Cen MT" w:cs="Times New Roman"/>
          <w:i/>
          <w:sz w:val="18"/>
          <w:szCs w:val="18"/>
        </w:rPr>
        <w:t>cis</w:t>
      </w:r>
      <w:r w:rsidRPr="00E279C2">
        <w:rPr>
          <w:rFonts w:ascii="Tw Cen MT" w:hAnsi="Tw Cen MT" w:cs="Times New Roman"/>
          <w:sz w:val="18"/>
          <w:szCs w:val="18"/>
        </w:rPr>
        <w:t>-C</w:t>
      </w:r>
      <w:r w:rsidRPr="00E279C2">
        <w:rPr>
          <w:rFonts w:ascii="Tw Cen MT" w:hAnsi="Tw Cen MT" w:cs="Times New Roman"/>
          <w:sz w:val="18"/>
          <w:szCs w:val="18"/>
          <w:vertAlign w:val="subscript"/>
        </w:rPr>
        <w:t>59</w:t>
      </w:r>
      <w:r w:rsidRPr="00E279C2">
        <w:rPr>
          <w:rFonts w:ascii="Tw Cen MT" w:hAnsi="Tw Cen MT" w:cs="Times New Roman"/>
          <w:sz w:val="18"/>
          <w:szCs w:val="18"/>
        </w:rPr>
        <w:t xml:space="preserve">-methoxy- and </w:t>
      </w:r>
      <w:r w:rsidRPr="00E279C2">
        <w:rPr>
          <w:rFonts w:ascii="Tw Cen MT" w:hAnsi="Tw Cen MT" w:cs="Times New Roman"/>
          <w:i/>
          <w:sz w:val="18"/>
          <w:szCs w:val="18"/>
        </w:rPr>
        <w:t>trans</w:t>
      </w:r>
      <w:r w:rsidRPr="00E279C2">
        <w:rPr>
          <w:rFonts w:ascii="Tw Cen MT" w:hAnsi="Tw Cen MT" w:cs="Times New Roman"/>
          <w:sz w:val="18"/>
          <w:szCs w:val="18"/>
        </w:rPr>
        <w:t>- C</w:t>
      </w:r>
      <w:r w:rsidRPr="00E279C2">
        <w:rPr>
          <w:rFonts w:ascii="Tw Cen MT" w:hAnsi="Tw Cen MT" w:cs="Times New Roman"/>
          <w:sz w:val="18"/>
          <w:szCs w:val="18"/>
          <w:vertAlign w:val="subscript"/>
        </w:rPr>
        <w:t>60</w:t>
      </w:r>
      <w:r w:rsidRPr="00E279C2">
        <w:rPr>
          <w:rFonts w:ascii="Tw Cen MT" w:hAnsi="Tw Cen MT" w:cs="Times New Roman"/>
          <w:sz w:val="18"/>
          <w:szCs w:val="18"/>
        </w:rPr>
        <w:t>-methoxy-meroacids the MmaA3 enzyme introduces a methyl residue in the secondary alcohol compound which is crucial in mycolate synthesis</w:t>
      </w:r>
      <w:r w:rsidRPr="00E279C2">
        <w:rPr>
          <w:rFonts w:ascii="Tw Cen MT" w:hAnsi="Tw Cen MT" w:cs="Times New Roman"/>
          <w:b/>
          <w:sz w:val="18"/>
          <w:szCs w:val="18"/>
        </w:rPr>
        <w:t xml:space="preserve">. </w:t>
      </w:r>
      <w:r w:rsidRPr="00E279C2">
        <w:rPr>
          <w:rFonts w:ascii="Tw Cen MT" w:hAnsi="Tw Cen MT" w:cs="Times New Roman"/>
          <w:sz w:val="18"/>
          <w:szCs w:val="18"/>
        </w:rPr>
        <w:t>The mycolates thus generate virulent bacteria that are capable of evading host immune responses.</w:t>
      </w:r>
      <w:r w:rsidR="00945A33" w:rsidRPr="00E279C2">
        <w:rPr>
          <w:rFonts w:ascii="Tw Cen MT" w:hAnsi="Tw Cen MT" w:cs="Times New Roman"/>
          <w:sz w:val="18"/>
          <w:szCs w:val="18"/>
        </w:rPr>
        <w:t xml:space="preserve"> Novel target proteins </w:t>
      </w:r>
      <w:bookmarkStart w:id="0" w:name="_GoBack"/>
      <w:bookmarkEnd w:id="0"/>
      <w:r w:rsidR="00945A33" w:rsidRPr="00E279C2">
        <w:rPr>
          <w:rFonts w:ascii="Tw Cen MT" w:hAnsi="Tw Cen MT" w:cs="Times New Roman"/>
          <w:sz w:val="18"/>
          <w:szCs w:val="18"/>
        </w:rPr>
        <w:t xml:space="preserve">and antibiotics are needed to resolve the growing emergence of MDR-TB and XDR-TB and a far better approach is required to understand the various pathways involved for </w:t>
      </w:r>
      <w:proofErr w:type="spellStart"/>
      <w:r w:rsidR="00945A33" w:rsidRPr="00E279C2">
        <w:rPr>
          <w:rFonts w:ascii="Tw Cen MT" w:hAnsi="Tw Cen MT" w:cs="Times New Roman"/>
          <w:i/>
          <w:iCs/>
          <w:sz w:val="18"/>
          <w:szCs w:val="18"/>
        </w:rPr>
        <w:t>Mtb</w:t>
      </w:r>
      <w:r w:rsidR="00945A33" w:rsidRPr="00E279C2">
        <w:rPr>
          <w:rFonts w:ascii="Tw Cen MT" w:hAnsi="Tw Cen MT" w:cs="Times New Roman"/>
          <w:sz w:val="18"/>
          <w:szCs w:val="18"/>
        </w:rPr>
        <w:t>’s</w:t>
      </w:r>
      <w:proofErr w:type="spellEnd"/>
      <w:r w:rsidR="00945A33" w:rsidRPr="00E279C2">
        <w:rPr>
          <w:rFonts w:ascii="Tw Cen MT" w:hAnsi="Tw Cen MT" w:cs="Times New Roman"/>
          <w:sz w:val="18"/>
          <w:szCs w:val="18"/>
        </w:rPr>
        <w:t xml:space="preserve"> survival in the host. </w:t>
      </w:r>
      <w:r w:rsidRPr="00E279C2">
        <w:rPr>
          <w:rFonts w:ascii="Tw Cen MT" w:hAnsi="Tw Cen MT" w:cs="Times New Roman"/>
          <w:sz w:val="18"/>
          <w:szCs w:val="18"/>
        </w:rPr>
        <w:t xml:space="preserve">This work aims to provide the structural information as how the enzyme MmaA3 functions to regulate the biosynthesis pathway of mycolic acid. This study will improve our understanding of the enzyme (MmaA3) mechanism of action, and administer a rational approach to design an inhibitor against this bacterium and offer an in-depth perspective on how the </w:t>
      </w:r>
      <w:proofErr w:type="spellStart"/>
      <w:r w:rsidRPr="00E279C2">
        <w:rPr>
          <w:rFonts w:ascii="Tw Cen MT" w:hAnsi="Tw Cen MT" w:cs="Times New Roman"/>
          <w:i/>
          <w:iCs/>
          <w:sz w:val="18"/>
          <w:szCs w:val="18"/>
        </w:rPr>
        <w:t>Mtb</w:t>
      </w:r>
      <w:proofErr w:type="spellEnd"/>
      <w:r w:rsidRPr="00E279C2">
        <w:rPr>
          <w:rFonts w:ascii="Tw Cen MT" w:hAnsi="Tw Cen MT" w:cs="Times New Roman"/>
          <w:sz w:val="18"/>
          <w:szCs w:val="18"/>
        </w:rPr>
        <w:t xml:space="preserve"> in the host cells develop drug resistance</w:t>
      </w:r>
      <w:r w:rsidRPr="00E279C2">
        <w:rPr>
          <w:rFonts w:ascii="Tw Cen MT" w:hAnsi="Tw Cen MT" w:cs="Times New Roman"/>
          <w:sz w:val="18"/>
          <w:szCs w:val="18"/>
          <w:shd w:val="clear" w:color="auto" w:fill="FFFFFF"/>
        </w:rPr>
        <w:t>.</w:t>
      </w:r>
    </w:p>
    <w:p w14:paraId="1CD0B565" w14:textId="77777777" w:rsidR="007E61B1" w:rsidRDefault="007E61B1" w:rsidP="00E279C2">
      <w:pPr>
        <w:shd w:val="clear" w:color="auto" w:fill="FFFFFF"/>
        <w:spacing w:after="0" w:line="240" w:lineRule="auto"/>
        <w:ind w:right="4789"/>
        <w:jc w:val="both"/>
        <w:rPr>
          <w:rFonts w:ascii="Times New Roman" w:hAnsi="Times New Roman" w:cs="Times New Roman"/>
          <w:iCs/>
          <w:sz w:val="36"/>
          <w:szCs w:val="36"/>
        </w:rPr>
      </w:pPr>
    </w:p>
    <w:p w14:paraId="1B0D5C04" w14:textId="77777777" w:rsidR="00E279C2" w:rsidRDefault="00F5667F" w:rsidP="002F580F">
      <w:pPr>
        <w:shd w:val="clear" w:color="auto" w:fill="FFFFFF"/>
        <w:spacing w:after="0"/>
        <w:ind w:right="4789"/>
        <w:rPr>
          <w:rFonts w:ascii="Tw Cen MT" w:hAnsi="Tw Cen MT" w:cs="Times New Roman"/>
          <w:sz w:val="18"/>
          <w:szCs w:val="18"/>
        </w:rPr>
      </w:pPr>
      <w:r w:rsidRPr="00E279C2">
        <w:rPr>
          <w:rFonts w:ascii="Arial" w:hAnsi="Arial" w:cs="Arial"/>
          <w:b/>
          <w:bCs/>
          <w:sz w:val="20"/>
          <w:szCs w:val="20"/>
        </w:rPr>
        <w:t>Keywords</w:t>
      </w:r>
      <w:r>
        <w:t xml:space="preserve">- </w:t>
      </w:r>
      <w:r w:rsidRPr="00E279C2">
        <w:rPr>
          <w:rFonts w:ascii="Tw Cen MT" w:hAnsi="Tw Cen MT" w:cs="Times New Roman"/>
          <w:sz w:val="18"/>
          <w:szCs w:val="18"/>
        </w:rPr>
        <w:t>Inhibitor</w:t>
      </w:r>
      <w:r w:rsidRPr="00E279C2">
        <w:rPr>
          <w:rFonts w:ascii="Tw Cen MT" w:hAnsi="Tw Cen MT" w:cs="Times New Roman"/>
          <w:i/>
          <w:iCs/>
          <w:sz w:val="18"/>
          <w:szCs w:val="18"/>
        </w:rPr>
        <w:t>, Mycobacterium tuberculosis</w:t>
      </w:r>
      <w:r w:rsidRPr="00E279C2">
        <w:rPr>
          <w:rFonts w:ascii="Tw Cen MT" w:hAnsi="Tw Cen MT" w:cs="Times New Roman"/>
          <w:sz w:val="18"/>
          <w:szCs w:val="18"/>
        </w:rPr>
        <w:t>, Mycolic Acid, Tuberculosi</w:t>
      </w:r>
      <w:r w:rsidR="00E279C2">
        <w:rPr>
          <w:rFonts w:ascii="Tw Cen MT" w:hAnsi="Tw Cen MT" w:cs="Times New Roman"/>
          <w:sz w:val="18"/>
          <w:szCs w:val="18"/>
        </w:rPr>
        <w:t>s</w:t>
      </w:r>
    </w:p>
    <w:p w14:paraId="279C49CA" w14:textId="77777777" w:rsidR="00E279C2" w:rsidRDefault="00E279C2" w:rsidP="002F580F">
      <w:pPr>
        <w:shd w:val="clear" w:color="auto" w:fill="FFFFFF"/>
        <w:spacing w:after="0"/>
        <w:ind w:right="5072"/>
        <w:rPr>
          <w:rFonts w:ascii="Tw Cen MT" w:hAnsi="Tw Cen MT" w:cs="Times New Roman"/>
          <w:sz w:val="18"/>
          <w:szCs w:val="18"/>
        </w:rPr>
      </w:pPr>
    </w:p>
    <w:p w14:paraId="16EA9AF5" w14:textId="0EA96870" w:rsidR="00E279C2" w:rsidRDefault="00E279C2" w:rsidP="002F580F">
      <w:pPr>
        <w:shd w:val="clear" w:color="auto" w:fill="FFFFFF"/>
        <w:spacing w:after="0" w:line="240" w:lineRule="auto"/>
        <w:ind w:right="5072"/>
        <w:rPr>
          <w:rFonts w:ascii="Tw Cen MT" w:hAnsi="Tw Cen MT" w:cs="Times New Roman"/>
          <w:sz w:val="18"/>
          <w:szCs w:val="18"/>
        </w:rPr>
      </w:pPr>
      <w:r>
        <w:rPr>
          <w:rFonts w:ascii="Tw Cen MT" w:hAnsi="Tw Cen MT" w:cs="Times New Roman"/>
          <w:noProof/>
          <w:sz w:val="18"/>
          <w:szCs w:val="18"/>
        </w:rPr>
        <mc:AlternateContent>
          <mc:Choice Requires="wps">
            <w:drawing>
              <wp:anchor distT="0" distB="0" distL="114300" distR="114300" simplePos="0" relativeHeight="251659264" behindDoc="0" locked="0" layoutInCell="1" allowOverlap="1" wp14:anchorId="34971CAD" wp14:editId="5B6EC8A6">
                <wp:simplePos x="0" y="0"/>
                <wp:positionH relativeFrom="column">
                  <wp:posOffset>1257300</wp:posOffset>
                </wp:positionH>
                <wp:positionV relativeFrom="paragraph">
                  <wp:posOffset>198755</wp:posOffset>
                </wp:positionV>
                <wp:extent cx="384048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384048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B500B6" id="Straight Connector 7"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9pt,15.65pt" to="401.4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" strokecolor="#4472c4 [3204]" strokeweight="1.5pt">
                <v:stroke joinstyle="miter"/>
              </v:line>
            </w:pict>
          </mc:Fallback>
        </mc:AlternateContent>
      </w:r>
      <w:r w:rsidR="002F580F">
        <w:rPr>
          <w:rFonts w:ascii="Tw Cen MT" w:hAnsi="Tw Cen MT" w:cs="Times New Roman"/>
          <w:sz w:val="18"/>
          <w:szCs w:val="18"/>
        </w:rPr>
        <w:t xml:space="preserve">    </w:t>
      </w:r>
    </w:p>
    <w:p w14:paraId="70DE7131" w14:textId="1146AA4D" w:rsidR="002F580F" w:rsidRDefault="002F580F" w:rsidP="002F580F">
      <w:pPr>
        <w:shd w:val="clear" w:color="auto" w:fill="FFFFFF"/>
        <w:spacing w:after="0" w:line="240" w:lineRule="auto"/>
        <w:ind w:right="5072"/>
        <w:rPr>
          <w:rFonts w:ascii="Tw Cen MT" w:hAnsi="Tw Cen MT" w:cs="Times New Roman"/>
          <w:sz w:val="18"/>
          <w:szCs w:val="18"/>
        </w:rPr>
      </w:pPr>
    </w:p>
    <w:p w14:paraId="5F0018C6" w14:textId="0561799F" w:rsidR="002F580F" w:rsidRDefault="002F580F" w:rsidP="002F580F">
      <w:pPr>
        <w:shd w:val="clear" w:color="auto" w:fill="FFFFFF"/>
        <w:spacing w:after="0" w:line="240" w:lineRule="auto"/>
        <w:ind w:right="5072"/>
        <w:rPr>
          <w:rFonts w:ascii="Tw Cen MT" w:hAnsi="Tw Cen MT" w:cs="Times New Roman"/>
          <w:sz w:val="18"/>
          <w:szCs w:val="18"/>
        </w:rPr>
      </w:pPr>
    </w:p>
    <w:p w14:paraId="271D2A17" w14:textId="20FFD3CE" w:rsidR="002F580F" w:rsidRPr="002F580F" w:rsidRDefault="002F580F" w:rsidP="002F580F">
      <w:pPr>
        <w:shd w:val="clear" w:color="auto" w:fill="FFFFFF"/>
        <w:spacing w:after="0" w:line="240" w:lineRule="auto"/>
        <w:ind w:right="5072"/>
        <w:rPr>
          <w:rFonts w:ascii="Tw Cen MT" w:hAnsi="Tw Cen MT" w:cs="Times New Roman"/>
          <w:sz w:val="18"/>
          <w:szCs w:val="18"/>
        </w:rPr>
      </w:pPr>
      <w:r>
        <w:rPr>
          <w:rFonts w:ascii="Times New Roman" w:hAnsi="Times New Roman" w:cs="Times New Roman"/>
          <w:i/>
          <w:noProof/>
          <w:sz w:val="24"/>
          <w:szCs w:val="24"/>
        </w:rPr>
        <w:t xml:space="preserve">      </w:t>
      </w:r>
      <w:r w:rsidRPr="00057F10">
        <w:rPr>
          <w:rFonts w:ascii="Times New Roman" w:hAnsi="Times New Roman" w:cs="Times New Roman"/>
          <w:i/>
          <w:noProof/>
          <w:sz w:val="24"/>
          <w:szCs w:val="24"/>
        </w:rPr>
        <w:drawing>
          <wp:inline distT="0" distB="0" distL="0" distR="0" wp14:anchorId="5CA557E7" wp14:editId="7BBD0D7F">
            <wp:extent cx="769620" cy="833094"/>
            <wp:effectExtent l="0" t="0" r="0" b="5715"/>
            <wp:docPr id="4" name="Picture 3">
              <a:extLst xmlns:a="http://schemas.openxmlformats.org/drawingml/2006/main">
                <a:ext uri="{FF2B5EF4-FFF2-40B4-BE49-F238E27FC236}">
                  <a16:creationId xmlns:a16="http://schemas.microsoft.com/office/drawing/2014/main" id="{3383CF88-03BD-4F65-8B33-99814586E4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3383CF88-03BD-4F65-8B33-99814586E4D1}"/>
                        </a:ext>
                      </a:extLst>
                    </pic:cNvPr>
                    <pic:cNvPicPr>
                      <a:picLocks noChangeAspect="1"/>
                    </pic:cNvPicPr>
                  </pic:nvPicPr>
                  <pic:blipFill rotWithShape="1">
                    <a:blip r:embed="rId4" cstate="print">
                      <a:extLst>
                        <a:ext uri="{28A0092B-C50C-407E-A947-70E740481C1C}">
                          <a14:useLocalDpi xmlns:a14="http://schemas.microsoft.com/office/drawing/2010/main" val="0"/>
                        </a:ext>
                      </a:extLst>
                    </a:blip>
                    <a:srcRect l="32298" t="28940" r="27270" b="12707"/>
                    <a:stretch/>
                  </pic:blipFill>
                  <pic:spPr bwMode="auto">
                    <a:xfrm>
                      <a:off x="0" y="0"/>
                      <a:ext cx="824748" cy="892769"/>
                    </a:xfrm>
                    <a:prstGeom prst="rect">
                      <a:avLst/>
                    </a:prstGeom>
                    <a:ln>
                      <a:noFill/>
                    </a:ln>
                    <a:extLst>
                      <a:ext uri="{53640926-AAD7-44D8-BBD7-CCE9431645EC}">
                        <a14:shadowObscured xmlns:a14="http://schemas.microsoft.com/office/drawing/2010/main"/>
                      </a:ext>
                    </a:extLst>
                  </pic:spPr>
                </pic:pic>
              </a:graphicData>
            </a:graphic>
          </wp:inline>
        </w:drawing>
      </w:r>
      <w:r>
        <w:rPr>
          <w:rFonts w:ascii="Tw Cen MT" w:hAnsi="Tw Cen MT" w:cs="Times New Roman"/>
          <w:sz w:val="18"/>
          <w:szCs w:val="18"/>
        </w:rPr>
        <w:t xml:space="preserve"> </w:t>
      </w:r>
      <w:r w:rsidRPr="002F580F">
        <w:rPr>
          <w:rFonts w:ascii="Arial" w:hAnsi="Arial" w:cs="Arial"/>
          <w:b/>
          <w:bCs/>
          <w:shd w:val="clear" w:color="auto" w:fill="FFFFFF"/>
        </w:rPr>
        <w:t>Biography</w:t>
      </w:r>
    </w:p>
    <w:p w14:paraId="24E487E7" w14:textId="27B788C3" w:rsidR="002F580F" w:rsidRPr="002F580F" w:rsidRDefault="002F580F" w:rsidP="002F580F">
      <w:pPr>
        <w:shd w:val="clear" w:color="auto" w:fill="FFFFFF"/>
        <w:spacing w:after="0"/>
        <w:jc w:val="both"/>
        <w:rPr>
          <w:rFonts w:ascii="Arial" w:hAnsi="Arial" w:cs="Arial"/>
          <w:sz w:val="14"/>
          <w:szCs w:val="14"/>
        </w:rPr>
      </w:pPr>
      <w:r w:rsidRPr="002F580F">
        <w:rPr>
          <w:rFonts w:ascii="Arial" w:hAnsi="Arial" w:cs="Arial"/>
          <w:sz w:val="14"/>
          <w:szCs w:val="14"/>
        </w:rPr>
        <w:t xml:space="preserve">Bhawna Chaudhary has completed her Masters in Microbial Biotechnology from MDU, Haryana and now she is pursuing her PhD degree from TERI, School of Advanced Studies (SAS), India since 2017. She has </w:t>
      </w:r>
      <w:proofErr w:type="spellStart"/>
      <w:r w:rsidRPr="002F580F">
        <w:rPr>
          <w:rFonts w:ascii="Arial" w:hAnsi="Arial" w:cs="Arial"/>
          <w:sz w:val="14"/>
          <w:szCs w:val="14"/>
        </w:rPr>
        <w:t>experties</w:t>
      </w:r>
      <w:proofErr w:type="spellEnd"/>
      <w:r w:rsidRPr="002F580F">
        <w:rPr>
          <w:rFonts w:ascii="Arial" w:hAnsi="Arial" w:cs="Arial"/>
          <w:sz w:val="14"/>
          <w:szCs w:val="14"/>
        </w:rPr>
        <w:t xml:space="preserve"> in Proteomics and currently she is working on few proteins from </w:t>
      </w:r>
      <w:proofErr w:type="spellStart"/>
      <w:r w:rsidRPr="002F580F">
        <w:rPr>
          <w:rFonts w:ascii="Arial" w:hAnsi="Arial" w:cs="Arial"/>
          <w:i/>
          <w:iCs/>
          <w:sz w:val="14"/>
          <w:szCs w:val="14"/>
        </w:rPr>
        <w:t>Mtb</w:t>
      </w:r>
      <w:proofErr w:type="spellEnd"/>
      <w:r w:rsidRPr="002F580F">
        <w:rPr>
          <w:rFonts w:ascii="Arial" w:hAnsi="Arial" w:cs="Arial"/>
          <w:i/>
          <w:iCs/>
          <w:sz w:val="14"/>
          <w:szCs w:val="14"/>
        </w:rPr>
        <w:t xml:space="preserve">. </w:t>
      </w:r>
      <w:r w:rsidRPr="002F580F">
        <w:rPr>
          <w:rFonts w:ascii="Arial" w:hAnsi="Arial" w:cs="Arial"/>
          <w:sz w:val="14"/>
          <w:szCs w:val="14"/>
        </w:rPr>
        <w:t>She has hands on experience in the purification of protein along with that she knows the Bioinformatics tools for modelling and docking studies of protein and so on.</w:t>
      </w:r>
    </w:p>
    <w:p w14:paraId="5F577B4E" w14:textId="3372D8F9" w:rsidR="002F580F" w:rsidRDefault="002F580F" w:rsidP="002F580F">
      <w:pPr>
        <w:shd w:val="clear" w:color="auto" w:fill="FFFFFF"/>
        <w:spacing w:after="0"/>
        <w:ind w:right="5072"/>
        <w:rPr>
          <w:rFonts w:ascii="Tw Cen MT" w:hAnsi="Tw Cen MT" w:cs="Times New Roman"/>
          <w:sz w:val="18"/>
          <w:szCs w:val="18"/>
        </w:rPr>
      </w:pPr>
      <w:r>
        <w:rPr>
          <w:rFonts w:ascii="Tw Cen MT" w:hAnsi="Tw Cen MT" w:cs="Times New Roman"/>
          <w:sz w:val="18"/>
          <w:szCs w:val="18"/>
        </w:rPr>
        <w:t xml:space="preserve"> </w:t>
      </w:r>
    </w:p>
    <w:p w14:paraId="6C3B7D7F" w14:textId="57FAA3B8" w:rsidR="002F580F" w:rsidRPr="00E279C2" w:rsidRDefault="003848E2" w:rsidP="003848E2">
      <w:pPr>
        <w:shd w:val="clear" w:color="auto" w:fill="FFFFFF"/>
        <w:spacing w:after="0"/>
        <w:ind w:right="5072"/>
        <w:jc w:val="both"/>
        <w:rPr>
          <w:rFonts w:ascii="Tw Cen MT" w:hAnsi="Tw Cen MT" w:cs="Times New Roman"/>
          <w:sz w:val="18"/>
          <w:szCs w:val="18"/>
        </w:rPr>
      </w:pPr>
      <w:r>
        <w:rPr>
          <w:rFonts w:ascii="Tw Cen MT" w:hAnsi="Tw Cen MT" w:cs="Times New Roman"/>
          <w:noProof/>
          <w:sz w:val="18"/>
          <w:szCs w:val="18"/>
        </w:rPr>
        <mc:AlternateContent>
          <mc:Choice Requires="wps">
            <w:drawing>
              <wp:anchor distT="0" distB="0" distL="114300" distR="114300" simplePos="0" relativeHeight="251661312" behindDoc="0" locked="0" layoutInCell="1" allowOverlap="1" wp14:anchorId="725A3CED" wp14:editId="4DE5C4E8">
                <wp:simplePos x="0" y="0"/>
                <wp:positionH relativeFrom="column">
                  <wp:posOffset>1402080</wp:posOffset>
                </wp:positionH>
                <wp:positionV relativeFrom="paragraph">
                  <wp:posOffset>248920</wp:posOffset>
                </wp:positionV>
                <wp:extent cx="3886200" cy="53340"/>
                <wp:effectExtent l="0" t="0" r="19050" b="22860"/>
                <wp:wrapNone/>
                <wp:docPr id="10" name="Straight Connector 10"/>
                <wp:cNvGraphicFramePr/>
                <a:graphic xmlns:a="http://schemas.openxmlformats.org/drawingml/2006/main">
                  <a:graphicData uri="http://schemas.microsoft.com/office/word/2010/wordprocessingShape">
                    <wps:wsp>
                      <wps:cNvCnPr/>
                      <wps:spPr>
                        <a:xfrm flipV="1">
                          <a:off x="0" y="0"/>
                          <a:ext cx="3886200" cy="5334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AC0EAF" id="Straight Connector 10"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0.4pt,19.6pt" to="416.4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" strokecolor="black [3200]" strokeweight=".5pt">
                <v:stroke joinstyle="miter"/>
              </v:line>
            </w:pict>
          </mc:Fallback>
        </mc:AlternateContent>
      </w:r>
      <w:r>
        <w:rPr>
          <w:rFonts w:ascii="Tw Cen MT" w:hAnsi="Tw Cen MT" w:cs="Times New Roman"/>
          <w:sz w:val="18"/>
          <w:szCs w:val="18"/>
        </w:rPr>
        <w:t>Email: chaudharybhawna1991@gmail.com</w:t>
      </w:r>
    </w:p>
    <w:sectPr w:rsidR="002F580F" w:rsidRPr="00E279C2" w:rsidSect="007E61B1">
      <w:pgSz w:w="11906" w:h="16838"/>
      <w:pgMar w:top="1009" w:right="936" w:bottom="1009" w:left="93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1E4"/>
    <w:rsid w:val="00094B4A"/>
    <w:rsid w:val="002F580F"/>
    <w:rsid w:val="003848E2"/>
    <w:rsid w:val="003907EF"/>
    <w:rsid w:val="007E61B1"/>
    <w:rsid w:val="00945A33"/>
    <w:rsid w:val="009B61E4"/>
    <w:rsid w:val="00CB69AE"/>
    <w:rsid w:val="00E279C2"/>
    <w:rsid w:val="00F5667F"/>
    <w:rsid w:val="00FA346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FA60A"/>
  <w15:chartTrackingRefBased/>
  <w15:docId w15:val="{DAF10E6D-BCC1-4BE0-B653-5EA582355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67F"/>
    <w:pPr>
      <w:spacing w:after="200" w:line="276" w:lineRule="auto"/>
    </w:pPr>
    <w:rPr>
      <w:rFonts w:eastAsiaTheme="minorEastAsia"/>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Pages>
  <Words>412</Words>
  <Characters>2352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Bhawna Chaudhary</dc:creator>
  <cp:keywords/>
  <dc:description/>
  <cp:lastModifiedBy>Bhawna Chaudhary</cp:lastModifiedBy>
  <cp:revision>6</cp:revision>
  <dcterms:created xsi:type="dcterms:W3CDTF">2020-02-25T17:28:00Z</dcterms:created>
  <dcterms:modified xsi:type="dcterms:W3CDTF">2020-02-27T16:29:00Z</dcterms:modified>
</cp:coreProperties>
</file>