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CB778B" w14:textId="4CD9C4CA" w:rsidR="00AE3E37" w:rsidRPr="002761B9" w:rsidRDefault="002761B9" w:rsidP="00494130">
      <w:pPr>
        <w:pStyle w:val="1"/>
        <w:spacing w:before="170"/>
        <w:ind w:left="0"/>
      </w:pPr>
      <w:r w:rsidRPr="002761B9">
        <w:rPr>
          <w:color w:val="337AB7"/>
        </w:rPr>
        <w:t>Differentiati</w:t>
      </w:r>
      <w:r w:rsidR="002B0A97">
        <w:rPr>
          <w:color w:val="337AB7"/>
        </w:rPr>
        <w:t>ve</w:t>
      </w:r>
      <w:r w:rsidRPr="002761B9">
        <w:rPr>
          <w:color w:val="337AB7"/>
        </w:rPr>
        <w:t xml:space="preserve"> trajectory of hippocampal neural stem cells and interneurons by snRNA-and </w:t>
      </w:r>
      <w:proofErr w:type="spellStart"/>
      <w:r w:rsidRPr="002761B9">
        <w:rPr>
          <w:color w:val="337AB7"/>
        </w:rPr>
        <w:t>scRNA</w:t>
      </w:r>
      <w:proofErr w:type="spellEnd"/>
      <w:r w:rsidRPr="002761B9">
        <w:rPr>
          <w:color w:val="337AB7"/>
        </w:rPr>
        <w:t>-sequencing</w:t>
      </w:r>
    </w:p>
    <w:p w14:paraId="565F6BFB" w14:textId="363AF9F0" w:rsidR="00992BA2" w:rsidRDefault="00992BA2" w:rsidP="005973B9">
      <w:pPr>
        <w:pStyle w:val="a3"/>
        <w:spacing w:before="73" w:line="198" w:lineRule="exact"/>
        <w:ind w:left="100" w:right="5987"/>
        <w:rPr>
          <w:rFonts w:ascii="Arial"/>
        </w:rPr>
      </w:pPr>
      <w:r w:rsidRPr="002761B9">
        <w:rPr>
          <w:rFonts w:ascii="Arial"/>
        </w:rPr>
        <w:t xml:space="preserve">Tingting Sun </w:t>
      </w:r>
      <w:r w:rsidR="005973B9" w:rsidRPr="002761B9">
        <w:rPr>
          <w:rFonts w:ascii="Arial"/>
        </w:rPr>
        <w:t xml:space="preserve">PhD, </w:t>
      </w:r>
      <w:proofErr w:type="spellStart"/>
      <w:r w:rsidR="00187B2F" w:rsidRPr="002761B9">
        <w:rPr>
          <w:rFonts w:ascii="Arial"/>
        </w:rPr>
        <w:t>Zaozhuang</w:t>
      </w:r>
      <w:proofErr w:type="spellEnd"/>
      <w:r w:rsidR="00187B2F" w:rsidRPr="002761B9">
        <w:rPr>
          <w:rFonts w:ascii="Arial"/>
        </w:rPr>
        <w:t xml:space="preserve"> Key Laboratory of Research in Neurodegenerative Diseases and</w:t>
      </w:r>
      <w:r w:rsidR="00187B2F" w:rsidRPr="00187B2F">
        <w:rPr>
          <w:rFonts w:ascii="Arial"/>
        </w:rPr>
        <w:t xml:space="preserve"> Development of </w:t>
      </w:r>
      <w:proofErr w:type="spellStart"/>
      <w:r w:rsidR="00187B2F" w:rsidRPr="00187B2F">
        <w:rPr>
          <w:rFonts w:ascii="Arial"/>
        </w:rPr>
        <w:t>Neuropharmaceuticals</w:t>
      </w:r>
      <w:proofErr w:type="spellEnd"/>
      <w:r w:rsidR="00187B2F" w:rsidRPr="00187B2F">
        <w:rPr>
          <w:rFonts w:ascii="Arial"/>
        </w:rPr>
        <w:t xml:space="preserve">, </w:t>
      </w:r>
      <w:proofErr w:type="spellStart"/>
      <w:r w:rsidR="00187B2F" w:rsidRPr="00187B2F">
        <w:rPr>
          <w:rFonts w:ascii="Arial"/>
        </w:rPr>
        <w:t>Zaozhuang</w:t>
      </w:r>
      <w:proofErr w:type="spellEnd"/>
      <w:r w:rsidR="00187B2F" w:rsidRPr="00187B2F">
        <w:rPr>
          <w:rFonts w:ascii="Arial"/>
        </w:rPr>
        <w:t xml:space="preserve"> University</w:t>
      </w:r>
    </w:p>
    <w:p w14:paraId="660E103B" w14:textId="77777777" w:rsidR="00AE3E37" w:rsidRDefault="00AE3E37">
      <w:pPr>
        <w:pStyle w:val="a3"/>
        <w:rPr>
          <w:rFonts w:ascii="Arial"/>
          <w:sz w:val="20"/>
        </w:rPr>
      </w:pPr>
    </w:p>
    <w:p w14:paraId="44918578"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1DBA24DD" w14:textId="55D58128" w:rsidR="00AE3E37" w:rsidRDefault="00A9710C">
      <w:pPr>
        <w:pStyle w:val="3"/>
        <w:spacing w:before="147"/>
        <w:jc w:val="both"/>
        <w:rPr>
          <w:color w:val="BF5A14"/>
        </w:rPr>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7AC8C27B" w14:textId="7258803A" w:rsidR="001F4E30" w:rsidRPr="00C05F89" w:rsidRDefault="009462A4" w:rsidP="00C05F89">
      <w:pPr>
        <w:pStyle w:val="3"/>
        <w:spacing w:before="147" w:line="360" w:lineRule="auto"/>
        <w:jc w:val="both"/>
        <w:rPr>
          <w:b w:val="0"/>
          <w:bCs w:val="0"/>
        </w:rPr>
      </w:pPr>
      <w:r w:rsidRPr="00C05F89">
        <w:rPr>
          <w:b w:val="0"/>
          <w:bCs w:val="0"/>
        </w:rPr>
        <w:t xml:space="preserve">Alzheimer’s disease (AD) is a normal degenerative disease with deficit in adult neurogenesis. However, </w:t>
      </w:r>
      <w:r w:rsidR="00062604" w:rsidRPr="00C05F89">
        <w:rPr>
          <w:b w:val="0"/>
          <w:bCs w:val="0"/>
        </w:rPr>
        <w:t xml:space="preserve">there is </w:t>
      </w:r>
      <w:r w:rsidR="00675FA1" w:rsidRPr="00C05F89">
        <w:rPr>
          <w:b w:val="0"/>
          <w:bCs w:val="0"/>
        </w:rPr>
        <w:t xml:space="preserve">a </w:t>
      </w:r>
      <w:r w:rsidR="00062604" w:rsidRPr="00C05F89">
        <w:rPr>
          <w:b w:val="0"/>
          <w:bCs w:val="0"/>
        </w:rPr>
        <w:t>severe conflict in</w:t>
      </w:r>
      <w:r w:rsidRPr="00C05F89">
        <w:rPr>
          <w:b w:val="0"/>
          <w:bCs w:val="0"/>
        </w:rPr>
        <w:t xml:space="preserve"> adult </w:t>
      </w:r>
      <w:r w:rsidR="00062604" w:rsidRPr="00C05F89">
        <w:rPr>
          <w:b w:val="0"/>
          <w:bCs w:val="0"/>
        </w:rPr>
        <w:t xml:space="preserve">AD </w:t>
      </w:r>
      <w:r w:rsidRPr="00C05F89">
        <w:rPr>
          <w:b w:val="0"/>
          <w:bCs w:val="0"/>
        </w:rPr>
        <w:t>neurogenesis. To draw the panoramic view of adult neurogenesis in the process, and to reveal the effect of adult neurogenesis on AD process, we traced the neuronal progenitors, neuroblast and neural stem cell (NSC) pool from postnatal 17 to 12 months of APP/PS1 transgenic mice. NSC differentiative trajectory was depicted based on single cell sequencing, which included five sequential stages from quiescent to activation. Further, we found an obvious alteration of topologic-specific cell diversity and gene expression in hippocampus, and based on these, we found significant changes in interneurons diversity, especially in hippocampal dentate gyrus and CA3 regions. The further gene set enrichment analysis</w:t>
      </w:r>
      <w:r w:rsidR="00CE0337" w:rsidRPr="00C05F89">
        <w:rPr>
          <w:b w:val="0"/>
          <w:bCs w:val="0"/>
        </w:rPr>
        <w:t xml:space="preserve">, </w:t>
      </w:r>
      <w:proofErr w:type="spellStart"/>
      <w:r w:rsidRPr="00C05F89">
        <w:rPr>
          <w:b w:val="0"/>
          <w:bCs w:val="0"/>
        </w:rPr>
        <w:t>qRT</w:t>
      </w:r>
      <w:proofErr w:type="spellEnd"/>
      <w:r w:rsidRPr="00C05F89">
        <w:rPr>
          <w:b w:val="0"/>
          <w:bCs w:val="0"/>
        </w:rPr>
        <w:t>-PCR</w:t>
      </w:r>
      <w:r w:rsidR="00CE0337" w:rsidRPr="00C05F89">
        <w:rPr>
          <w:b w:val="0"/>
          <w:bCs w:val="0"/>
        </w:rPr>
        <w:t>, immunofluorescence</w:t>
      </w:r>
      <w:r w:rsidR="00204BE2">
        <w:rPr>
          <w:b w:val="0"/>
          <w:bCs w:val="0"/>
        </w:rPr>
        <w:t xml:space="preserve"> and </w:t>
      </w:r>
      <w:r w:rsidR="00CE0337" w:rsidRPr="00C05F89">
        <w:rPr>
          <w:b w:val="0"/>
          <w:bCs w:val="0"/>
        </w:rPr>
        <w:t xml:space="preserve">immunoprecipitation </w:t>
      </w:r>
      <w:r w:rsidRPr="00C05F89">
        <w:rPr>
          <w:b w:val="0"/>
          <w:bCs w:val="0"/>
        </w:rPr>
        <w:t xml:space="preserve">detected the significant expression alteration of proliferation-related and cytoskeleton-related genes during AD process. These indicated the proliferation and cytoskeleton-related factors probably participate </w:t>
      </w:r>
      <w:r w:rsidR="00686DE5" w:rsidRPr="00C05F89">
        <w:rPr>
          <w:rFonts w:asciiTheme="minorEastAsia" w:eastAsiaTheme="minorEastAsia" w:hAnsiTheme="minorEastAsia" w:hint="eastAsia"/>
          <w:b w:val="0"/>
          <w:bCs w:val="0"/>
          <w:lang w:eastAsia="zh-CN"/>
        </w:rPr>
        <w:t>in</w:t>
      </w:r>
      <w:r w:rsidR="00686DE5" w:rsidRPr="00C05F89">
        <w:rPr>
          <w:b w:val="0"/>
          <w:bCs w:val="0"/>
        </w:rPr>
        <w:t xml:space="preserve"> </w:t>
      </w:r>
      <w:r w:rsidRPr="00C05F89">
        <w:rPr>
          <w:b w:val="0"/>
          <w:bCs w:val="0"/>
        </w:rPr>
        <w:t xml:space="preserve">the NSC </w:t>
      </w:r>
      <w:r w:rsidR="004972F3" w:rsidRPr="00C05F89">
        <w:rPr>
          <w:b w:val="0"/>
          <w:bCs w:val="0"/>
        </w:rPr>
        <w:t xml:space="preserve">and interneuron </w:t>
      </w:r>
      <w:r w:rsidRPr="00C05F89">
        <w:rPr>
          <w:b w:val="0"/>
          <w:bCs w:val="0"/>
        </w:rPr>
        <w:t>differentiation process and involved in the disease process.</w:t>
      </w:r>
    </w:p>
    <w:p w14:paraId="6766FD52" w14:textId="77777777" w:rsidR="00AE3E37" w:rsidRDefault="00A9710C">
      <w:pPr>
        <w:pStyle w:val="3"/>
        <w:spacing w:before="74"/>
      </w:pPr>
      <w:r>
        <w:rPr>
          <w:b w:val="0"/>
        </w:rPr>
        <w:br w:type="column"/>
      </w:r>
      <w:r>
        <w:rPr>
          <w:color w:val="BF5A14"/>
        </w:rPr>
        <w:t>Image</w:t>
      </w:r>
    </w:p>
    <w:p w14:paraId="75111F82" w14:textId="61107DDE" w:rsidR="00AE3E37" w:rsidRDefault="0032613E">
      <w:pPr>
        <w:pStyle w:val="a3"/>
        <w:spacing w:before="2"/>
        <w:rPr>
          <w:rFonts w:ascii="Arial"/>
          <w:b/>
          <w:sz w:val="16"/>
        </w:rPr>
      </w:pPr>
      <w:r>
        <w:rPr>
          <w:rFonts w:ascii="Arial"/>
          <w:b/>
          <w:noProof/>
          <w:sz w:val="16"/>
        </w:rPr>
        <w:drawing>
          <wp:inline distT="0" distB="0" distL="0" distR="0" wp14:anchorId="50B99619" wp14:editId="1FF343B4">
            <wp:extent cx="3165475" cy="1953260"/>
            <wp:effectExtent l="0" t="0" r="0"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65475" cy="1953260"/>
                    </a:xfrm>
                    <a:prstGeom prst="rect">
                      <a:avLst/>
                    </a:prstGeom>
                  </pic:spPr>
                </pic:pic>
              </a:graphicData>
            </a:graphic>
          </wp:inline>
        </w:drawing>
      </w:r>
    </w:p>
    <w:p w14:paraId="2CF2AD92" w14:textId="77777777" w:rsidR="005973B9" w:rsidRDefault="005973B9" w:rsidP="005973B9">
      <w:pPr>
        <w:spacing w:line="204" w:lineRule="exact"/>
        <w:rPr>
          <w:rFonts w:ascii="Arial"/>
          <w:b/>
          <w:sz w:val="20"/>
        </w:rPr>
      </w:pPr>
      <w:r>
        <w:rPr>
          <w:rFonts w:ascii="Arial"/>
          <w:b/>
          <w:color w:val="BF5A14"/>
          <w:sz w:val="20"/>
        </w:rPr>
        <w:br/>
        <w:t>Recent Publications (minimum 5)</w:t>
      </w:r>
    </w:p>
    <w:p w14:paraId="74F990E1" w14:textId="05FD521F" w:rsidR="005973B9" w:rsidRDefault="00916C58" w:rsidP="005973B9">
      <w:pPr>
        <w:pStyle w:val="a5"/>
        <w:numPr>
          <w:ilvl w:val="0"/>
          <w:numId w:val="3"/>
        </w:numPr>
        <w:tabs>
          <w:tab w:val="left" w:pos="384"/>
        </w:tabs>
        <w:spacing w:before="103" w:line="216" w:lineRule="exact"/>
        <w:ind w:right="138" w:hanging="283"/>
        <w:rPr>
          <w:sz w:val="18"/>
        </w:rPr>
      </w:pPr>
      <w:r w:rsidRPr="00916C58">
        <w:rPr>
          <w:sz w:val="18"/>
        </w:rPr>
        <w:t>Li T, Dong</w:t>
      </w:r>
      <w:r>
        <w:rPr>
          <w:sz w:val="18"/>
        </w:rPr>
        <w:t xml:space="preserve"> </w:t>
      </w:r>
      <w:proofErr w:type="spellStart"/>
      <w:r w:rsidRPr="00916C58">
        <w:rPr>
          <w:sz w:val="18"/>
        </w:rPr>
        <w:t>Sh</w:t>
      </w:r>
      <w:proofErr w:type="spellEnd"/>
      <w:r w:rsidRPr="00916C58">
        <w:rPr>
          <w:sz w:val="18"/>
        </w:rPr>
        <w:t>, He</w:t>
      </w:r>
      <w:r>
        <w:rPr>
          <w:sz w:val="18"/>
        </w:rPr>
        <w:t xml:space="preserve"> </w:t>
      </w:r>
      <w:r w:rsidRPr="00916C58">
        <w:rPr>
          <w:sz w:val="18"/>
        </w:rPr>
        <w:t>Ch, Yang</w:t>
      </w:r>
      <w:r>
        <w:rPr>
          <w:sz w:val="18"/>
        </w:rPr>
        <w:t xml:space="preserve"> </w:t>
      </w:r>
      <w:r w:rsidRPr="00916C58">
        <w:rPr>
          <w:sz w:val="18"/>
        </w:rPr>
        <w:t>J, Li</w:t>
      </w:r>
      <w:r>
        <w:rPr>
          <w:sz w:val="18"/>
        </w:rPr>
        <w:t xml:space="preserve"> </w:t>
      </w:r>
      <w:r w:rsidRPr="00916C58">
        <w:rPr>
          <w:sz w:val="18"/>
        </w:rPr>
        <w:t>W, Li</w:t>
      </w:r>
      <w:r>
        <w:rPr>
          <w:sz w:val="18"/>
        </w:rPr>
        <w:t xml:space="preserve"> </w:t>
      </w:r>
      <w:proofErr w:type="spellStart"/>
      <w:r w:rsidRPr="00916C58">
        <w:rPr>
          <w:sz w:val="18"/>
        </w:rPr>
        <w:t>Sh</w:t>
      </w:r>
      <w:proofErr w:type="spellEnd"/>
      <w:r w:rsidRPr="00916C58">
        <w:rPr>
          <w:sz w:val="18"/>
        </w:rPr>
        <w:t>, Li J, Du X, Hou</w:t>
      </w:r>
      <w:r>
        <w:rPr>
          <w:sz w:val="18"/>
        </w:rPr>
        <w:t xml:space="preserve"> </w:t>
      </w:r>
      <w:proofErr w:type="spellStart"/>
      <w:r w:rsidRPr="00916C58">
        <w:rPr>
          <w:sz w:val="18"/>
        </w:rPr>
        <w:t>Zh</w:t>
      </w:r>
      <w:proofErr w:type="spellEnd"/>
      <w:r w:rsidRPr="00916C58">
        <w:rPr>
          <w:sz w:val="18"/>
        </w:rPr>
        <w:t>, Li</w:t>
      </w:r>
      <w:r>
        <w:rPr>
          <w:sz w:val="18"/>
        </w:rPr>
        <w:t xml:space="preserve"> </w:t>
      </w:r>
      <w:r w:rsidRPr="00916C58">
        <w:rPr>
          <w:sz w:val="18"/>
        </w:rPr>
        <w:t>L, Li</w:t>
      </w:r>
      <w:r>
        <w:rPr>
          <w:sz w:val="18"/>
        </w:rPr>
        <w:t xml:space="preserve"> </w:t>
      </w:r>
      <w:r w:rsidRPr="00916C58">
        <w:rPr>
          <w:sz w:val="18"/>
        </w:rPr>
        <w:t>S, Huang</w:t>
      </w:r>
      <w:r>
        <w:rPr>
          <w:sz w:val="18"/>
        </w:rPr>
        <w:t xml:space="preserve"> </w:t>
      </w:r>
      <w:proofErr w:type="spellStart"/>
      <w:r w:rsidRPr="00916C58">
        <w:rPr>
          <w:sz w:val="18"/>
        </w:rPr>
        <w:t>Zh</w:t>
      </w:r>
      <w:proofErr w:type="spellEnd"/>
      <w:r w:rsidRPr="00916C58">
        <w:rPr>
          <w:sz w:val="18"/>
        </w:rPr>
        <w:t>, Sun</w:t>
      </w:r>
      <w:r>
        <w:rPr>
          <w:sz w:val="18"/>
        </w:rPr>
        <w:t xml:space="preserve"> </w:t>
      </w:r>
      <w:r w:rsidRPr="00916C58">
        <w:rPr>
          <w:sz w:val="18"/>
        </w:rPr>
        <w:t>T</w:t>
      </w:r>
      <w:r w:rsidR="00DF51AC">
        <w:rPr>
          <w:sz w:val="18"/>
        </w:rPr>
        <w:t xml:space="preserve"> (2022) </w:t>
      </w:r>
      <w:r w:rsidRPr="00916C58">
        <w:rPr>
          <w:sz w:val="18"/>
        </w:rPr>
        <w:t xml:space="preserve">Apoptosis, rather than neurogenesis, induces significant hippocampal-dependent learning and memory impairment in chronic low Cd </w:t>
      </w:r>
      <w:r w:rsidRPr="00262236">
        <w:rPr>
          <w:sz w:val="18"/>
          <w:vertAlign w:val="superscript"/>
        </w:rPr>
        <w:t>2+</w:t>
      </w:r>
      <w:r w:rsidRPr="00916C58">
        <w:rPr>
          <w:sz w:val="18"/>
        </w:rPr>
        <w:t xml:space="preserve"> exposure</w:t>
      </w:r>
      <w:r w:rsidR="006663BA">
        <w:rPr>
          <w:sz w:val="18"/>
        </w:rPr>
        <w:t>.</w:t>
      </w:r>
      <w:r w:rsidRPr="00916C58">
        <w:rPr>
          <w:sz w:val="18"/>
        </w:rPr>
        <w:t xml:space="preserve"> Environ </w:t>
      </w:r>
      <w:proofErr w:type="spellStart"/>
      <w:r w:rsidRPr="00916C58">
        <w:rPr>
          <w:sz w:val="18"/>
        </w:rPr>
        <w:t>Toxicol</w:t>
      </w:r>
      <w:proofErr w:type="spellEnd"/>
      <w:r w:rsidRPr="00916C58">
        <w:rPr>
          <w:sz w:val="18"/>
        </w:rPr>
        <w:t xml:space="preserve">, </w:t>
      </w:r>
      <w:proofErr w:type="spellStart"/>
      <w:r w:rsidRPr="00916C58">
        <w:rPr>
          <w:sz w:val="18"/>
        </w:rPr>
        <w:t>doi</w:t>
      </w:r>
      <w:proofErr w:type="spellEnd"/>
      <w:r w:rsidRPr="00916C58">
        <w:rPr>
          <w:sz w:val="18"/>
        </w:rPr>
        <w:t>: 10.1002/tox.23445.</w:t>
      </w:r>
    </w:p>
    <w:p w14:paraId="2537F596" w14:textId="6A1B0829" w:rsidR="005973B9" w:rsidRDefault="00327C78" w:rsidP="005973B9">
      <w:pPr>
        <w:pStyle w:val="a5"/>
        <w:numPr>
          <w:ilvl w:val="0"/>
          <w:numId w:val="3"/>
        </w:numPr>
        <w:tabs>
          <w:tab w:val="left" w:pos="384"/>
        </w:tabs>
        <w:spacing w:line="216" w:lineRule="exact"/>
        <w:ind w:right="137" w:hanging="283"/>
        <w:rPr>
          <w:sz w:val="18"/>
        </w:rPr>
      </w:pPr>
      <w:r w:rsidRPr="00327C78">
        <w:rPr>
          <w:sz w:val="18"/>
        </w:rPr>
        <w:t>Sun</w:t>
      </w:r>
      <w:r w:rsidR="00DF51AC">
        <w:rPr>
          <w:sz w:val="18"/>
        </w:rPr>
        <w:t xml:space="preserve"> </w:t>
      </w:r>
      <w:r w:rsidRPr="00327C78">
        <w:rPr>
          <w:sz w:val="18"/>
        </w:rPr>
        <w:t>T</w:t>
      </w:r>
      <w:r w:rsidR="00DF51AC">
        <w:rPr>
          <w:rFonts w:ascii="宋体" w:eastAsia="宋体" w:hAnsi="宋体" w:cs="宋体" w:hint="eastAsia"/>
          <w:sz w:val="18"/>
          <w:lang w:eastAsia="zh-CN"/>
        </w:rPr>
        <w:t>,</w:t>
      </w:r>
      <w:r w:rsidR="00DF51AC">
        <w:rPr>
          <w:rFonts w:ascii="宋体" w:eastAsia="宋体" w:hAnsi="宋体" w:cs="宋体"/>
          <w:sz w:val="18"/>
          <w:lang w:eastAsia="zh-CN"/>
        </w:rPr>
        <w:t xml:space="preserve"> </w:t>
      </w:r>
      <w:r w:rsidRPr="00327C78">
        <w:rPr>
          <w:sz w:val="18"/>
        </w:rPr>
        <w:t>Li</w:t>
      </w:r>
      <w:r w:rsidR="00DF51AC">
        <w:rPr>
          <w:sz w:val="18"/>
        </w:rPr>
        <w:t xml:space="preserve"> </w:t>
      </w:r>
      <w:r w:rsidRPr="00327C78">
        <w:rPr>
          <w:sz w:val="18"/>
        </w:rPr>
        <w:t>T</w:t>
      </w:r>
      <w:r w:rsidR="00DF51AC">
        <w:rPr>
          <w:sz w:val="18"/>
        </w:rPr>
        <w:t xml:space="preserve">, </w:t>
      </w:r>
      <w:r w:rsidRPr="00327C78">
        <w:rPr>
          <w:sz w:val="18"/>
        </w:rPr>
        <w:t>Yi</w:t>
      </w:r>
      <w:r w:rsidR="00DF51AC">
        <w:rPr>
          <w:sz w:val="18"/>
        </w:rPr>
        <w:t xml:space="preserve"> </w:t>
      </w:r>
      <w:r w:rsidRPr="00327C78">
        <w:rPr>
          <w:sz w:val="18"/>
        </w:rPr>
        <w:t>K</w:t>
      </w:r>
      <w:r w:rsidR="00DF51AC">
        <w:rPr>
          <w:rFonts w:ascii="宋体" w:eastAsia="宋体" w:hAnsi="宋体" w:cs="宋体" w:hint="eastAsia"/>
          <w:sz w:val="18"/>
          <w:lang w:eastAsia="zh-CN"/>
        </w:rPr>
        <w:t>,</w:t>
      </w:r>
      <w:r w:rsidR="00DF51AC">
        <w:rPr>
          <w:rFonts w:ascii="宋体" w:eastAsia="宋体" w:hAnsi="宋体" w:cs="宋体"/>
          <w:sz w:val="18"/>
          <w:lang w:eastAsia="zh-CN"/>
        </w:rPr>
        <w:t xml:space="preserve"> </w:t>
      </w:r>
      <w:r w:rsidRPr="00327C78">
        <w:rPr>
          <w:sz w:val="18"/>
        </w:rPr>
        <w:t>Yan</w:t>
      </w:r>
      <w:r w:rsidR="00DF51AC">
        <w:rPr>
          <w:sz w:val="18"/>
        </w:rPr>
        <w:t xml:space="preserve"> </w:t>
      </w:r>
      <w:r w:rsidRPr="00327C78">
        <w:rPr>
          <w:sz w:val="18"/>
        </w:rPr>
        <w:t>G</w:t>
      </w:r>
      <w:r w:rsidR="00DF51AC">
        <w:rPr>
          <w:sz w:val="18"/>
        </w:rPr>
        <w:t>,</w:t>
      </w:r>
      <w:r w:rsidRPr="00327C78">
        <w:rPr>
          <w:sz w:val="18"/>
        </w:rPr>
        <w:t xml:space="preserve"> Gao</w:t>
      </w:r>
      <w:r w:rsidR="00DF51AC">
        <w:rPr>
          <w:sz w:val="18"/>
        </w:rPr>
        <w:t xml:space="preserve"> </w:t>
      </w:r>
      <w:r w:rsidRPr="00327C78">
        <w:rPr>
          <w:sz w:val="18"/>
        </w:rPr>
        <w:t>X</w:t>
      </w:r>
      <w:r w:rsidR="00DF51AC">
        <w:rPr>
          <w:sz w:val="18"/>
        </w:rPr>
        <w:t xml:space="preserve"> (2021) </w:t>
      </w:r>
      <w:r w:rsidRPr="00327C78">
        <w:rPr>
          <w:sz w:val="18"/>
        </w:rPr>
        <w:t>Fluorescent protein variant generated by reassembly between skeleton and chromophore</w:t>
      </w:r>
      <w:r w:rsidR="006663BA">
        <w:rPr>
          <w:sz w:val="18"/>
        </w:rPr>
        <w:t>.</w:t>
      </w:r>
      <w:r w:rsidRPr="00327C78">
        <w:rPr>
          <w:sz w:val="18"/>
        </w:rPr>
        <w:t xml:space="preserve"> ACS Omega</w:t>
      </w:r>
      <w:r w:rsidR="00251021">
        <w:rPr>
          <w:sz w:val="18"/>
        </w:rPr>
        <w:t xml:space="preserve"> </w:t>
      </w:r>
      <w:r w:rsidRPr="00327C78">
        <w:rPr>
          <w:sz w:val="18"/>
        </w:rPr>
        <w:t>6(4)</w:t>
      </w:r>
      <w:r w:rsidR="00DF51AC">
        <w:rPr>
          <w:rFonts w:ascii="宋体" w:eastAsia="宋体" w:hAnsi="宋体" w:cs="宋体" w:hint="eastAsia"/>
          <w:sz w:val="18"/>
          <w:lang w:eastAsia="zh-CN"/>
        </w:rPr>
        <w:t>:</w:t>
      </w:r>
      <w:r w:rsidRPr="00327C78">
        <w:rPr>
          <w:sz w:val="18"/>
        </w:rPr>
        <w:t>2925</w:t>
      </w:r>
      <w:r w:rsidR="00DF51AC">
        <w:rPr>
          <w:sz w:val="18"/>
        </w:rPr>
        <w:t>-</w:t>
      </w:r>
      <w:r w:rsidRPr="00327C78">
        <w:rPr>
          <w:sz w:val="18"/>
        </w:rPr>
        <w:t>2933.</w:t>
      </w:r>
    </w:p>
    <w:p w14:paraId="5A917AC0" w14:textId="3DBDC86B" w:rsidR="006663BA" w:rsidRDefault="00750366" w:rsidP="005973B9">
      <w:pPr>
        <w:pStyle w:val="a5"/>
        <w:numPr>
          <w:ilvl w:val="0"/>
          <w:numId w:val="3"/>
        </w:numPr>
        <w:tabs>
          <w:tab w:val="left" w:pos="384"/>
        </w:tabs>
        <w:spacing w:before="92" w:line="218" w:lineRule="exact"/>
        <w:ind w:hanging="283"/>
        <w:rPr>
          <w:sz w:val="18"/>
        </w:rPr>
      </w:pPr>
      <w:r w:rsidRPr="00750366">
        <w:rPr>
          <w:sz w:val="18"/>
        </w:rPr>
        <w:t>Sun</w:t>
      </w:r>
      <w:r w:rsidR="006663BA">
        <w:rPr>
          <w:sz w:val="18"/>
        </w:rPr>
        <w:t xml:space="preserve"> </w:t>
      </w:r>
      <w:r w:rsidRPr="00750366">
        <w:rPr>
          <w:sz w:val="18"/>
        </w:rPr>
        <w:t>T</w:t>
      </w:r>
      <w:r w:rsidR="006663BA">
        <w:rPr>
          <w:rFonts w:ascii="宋体" w:eastAsia="宋体" w:hAnsi="宋体" w:cs="宋体" w:hint="eastAsia"/>
          <w:sz w:val="18"/>
          <w:lang w:eastAsia="zh-CN"/>
        </w:rPr>
        <w:t>,</w:t>
      </w:r>
      <w:r w:rsidR="006663BA">
        <w:rPr>
          <w:rFonts w:ascii="宋体" w:eastAsia="宋体" w:hAnsi="宋体" w:cs="宋体"/>
          <w:sz w:val="18"/>
          <w:lang w:eastAsia="zh-CN"/>
        </w:rPr>
        <w:t xml:space="preserve"> </w:t>
      </w:r>
      <w:r w:rsidRPr="00750366">
        <w:rPr>
          <w:sz w:val="18"/>
        </w:rPr>
        <w:t>Li</w:t>
      </w:r>
      <w:r w:rsidR="006663BA">
        <w:rPr>
          <w:sz w:val="18"/>
        </w:rPr>
        <w:t xml:space="preserve"> </w:t>
      </w:r>
      <w:r w:rsidRPr="00750366">
        <w:rPr>
          <w:sz w:val="18"/>
        </w:rPr>
        <w:t>T</w:t>
      </w:r>
      <w:r w:rsidR="006663BA">
        <w:rPr>
          <w:sz w:val="18"/>
        </w:rPr>
        <w:t xml:space="preserve">, </w:t>
      </w:r>
      <w:r w:rsidRPr="00750366">
        <w:rPr>
          <w:sz w:val="18"/>
        </w:rPr>
        <w:t>Yi</w:t>
      </w:r>
      <w:r w:rsidR="006663BA">
        <w:rPr>
          <w:sz w:val="18"/>
        </w:rPr>
        <w:t xml:space="preserve"> </w:t>
      </w:r>
      <w:r w:rsidRPr="00750366">
        <w:rPr>
          <w:sz w:val="18"/>
        </w:rPr>
        <w:t>K</w:t>
      </w:r>
      <w:r w:rsidR="006663BA">
        <w:rPr>
          <w:sz w:val="18"/>
        </w:rPr>
        <w:t xml:space="preserve">, </w:t>
      </w:r>
      <w:r w:rsidRPr="00750366">
        <w:rPr>
          <w:sz w:val="18"/>
        </w:rPr>
        <w:t>Gao</w:t>
      </w:r>
      <w:r w:rsidR="006663BA">
        <w:rPr>
          <w:sz w:val="18"/>
        </w:rPr>
        <w:t xml:space="preserve"> </w:t>
      </w:r>
      <w:r w:rsidRPr="00750366">
        <w:rPr>
          <w:sz w:val="18"/>
        </w:rPr>
        <w:t>X</w:t>
      </w:r>
      <w:r w:rsidR="006663BA">
        <w:rPr>
          <w:sz w:val="18"/>
        </w:rPr>
        <w:t xml:space="preserve"> (2020)</w:t>
      </w:r>
      <w:r w:rsidRPr="00750366">
        <w:rPr>
          <w:sz w:val="18"/>
        </w:rPr>
        <w:t xml:space="preserve"> Structure-guided evolution of Green2 toward photostability and quantum yield enhancement by F145Y </w:t>
      </w:r>
      <w:r w:rsidR="006663BA" w:rsidRPr="00750366">
        <w:rPr>
          <w:sz w:val="18"/>
        </w:rPr>
        <w:t>substitution</w:t>
      </w:r>
      <w:r w:rsidR="006663BA">
        <w:rPr>
          <w:rFonts w:ascii="宋体" w:eastAsia="宋体" w:hAnsi="宋体" w:cs="宋体"/>
          <w:sz w:val="18"/>
          <w:lang w:eastAsia="zh-CN"/>
        </w:rPr>
        <w:t>.</w:t>
      </w:r>
      <w:r w:rsidR="006663BA" w:rsidRPr="00750366">
        <w:rPr>
          <w:sz w:val="18"/>
        </w:rPr>
        <w:t xml:space="preserve"> Protein</w:t>
      </w:r>
      <w:r w:rsidRPr="00750366">
        <w:rPr>
          <w:sz w:val="18"/>
        </w:rPr>
        <w:t xml:space="preserve"> Sci</w:t>
      </w:r>
      <w:r w:rsidR="006663BA">
        <w:rPr>
          <w:rFonts w:ascii="宋体" w:eastAsia="宋体" w:hAnsi="宋体" w:cs="宋体" w:hint="eastAsia"/>
          <w:sz w:val="18"/>
          <w:lang w:eastAsia="zh-CN"/>
        </w:rPr>
        <w:t xml:space="preserve"> </w:t>
      </w:r>
      <w:r w:rsidRPr="00750366">
        <w:rPr>
          <w:sz w:val="18"/>
        </w:rPr>
        <w:t>29</w:t>
      </w:r>
      <w:r w:rsidR="00CE61C4">
        <w:rPr>
          <w:rFonts w:ascii="宋体" w:eastAsia="宋体" w:hAnsi="宋体" w:cs="宋体" w:hint="eastAsia"/>
          <w:sz w:val="18"/>
          <w:lang w:eastAsia="zh-CN"/>
        </w:rPr>
        <w:t>:</w:t>
      </w:r>
      <w:r w:rsidRPr="00750366">
        <w:rPr>
          <w:sz w:val="18"/>
        </w:rPr>
        <w:t>1964</w:t>
      </w:r>
      <w:r w:rsidR="006663BA">
        <w:rPr>
          <w:sz w:val="18"/>
        </w:rPr>
        <w:t>-</w:t>
      </w:r>
      <w:r w:rsidRPr="00750366">
        <w:rPr>
          <w:sz w:val="18"/>
        </w:rPr>
        <w:t>1974</w:t>
      </w:r>
      <w:r w:rsidR="006663BA">
        <w:rPr>
          <w:sz w:val="18"/>
        </w:rPr>
        <w:t>.</w:t>
      </w:r>
    </w:p>
    <w:p w14:paraId="56278713" w14:textId="31CCA286" w:rsidR="00CE61C4" w:rsidRPr="00A90CED" w:rsidRDefault="00CE61C4" w:rsidP="00A90CED">
      <w:pPr>
        <w:pStyle w:val="a5"/>
        <w:numPr>
          <w:ilvl w:val="0"/>
          <w:numId w:val="3"/>
        </w:numPr>
        <w:tabs>
          <w:tab w:val="left" w:pos="384"/>
        </w:tabs>
        <w:spacing w:before="92" w:line="218" w:lineRule="exact"/>
        <w:ind w:hanging="283"/>
        <w:rPr>
          <w:sz w:val="18"/>
        </w:rPr>
      </w:pPr>
      <w:r w:rsidRPr="00A90CED">
        <w:rPr>
          <w:sz w:val="18"/>
        </w:rPr>
        <w:t xml:space="preserve">Sun T, Li W, Ling </w:t>
      </w:r>
      <w:proofErr w:type="spellStart"/>
      <w:proofErr w:type="gramStart"/>
      <w:r w:rsidRPr="00A90CED">
        <w:rPr>
          <w:sz w:val="18"/>
        </w:rPr>
        <w:t>Sh</w:t>
      </w:r>
      <w:proofErr w:type="spellEnd"/>
      <w:r w:rsidRPr="00A90CED">
        <w:rPr>
          <w:rFonts w:hint="eastAsia"/>
          <w:sz w:val="18"/>
        </w:rPr>
        <w:t>(</w:t>
      </w:r>
      <w:proofErr w:type="gramEnd"/>
      <w:r w:rsidRPr="00A90CED">
        <w:rPr>
          <w:sz w:val="18"/>
        </w:rPr>
        <w:t xml:space="preserve">2016)miR-30c and </w:t>
      </w:r>
      <w:proofErr w:type="spellStart"/>
      <w:r w:rsidRPr="00A90CED">
        <w:rPr>
          <w:sz w:val="18"/>
        </w:rPr>
        <w:t>semaphorin</w:t>
      </w:r>
      <w:proofErr w:type="spellEnd"/>
      <w:r w:rsidRPr="00A90CED">
        <w:rPr>
          <w:sz w:val="18"/>
        </w:rPr>
        <w:t xml:space="preserve"> 3A determine adult neurogenesis by regulating proliferation and differentiation of stem cells in the subventricular zones of mouse.</w:t>
      </w:r>
      <w:r w:rsidR="00235780" w:rsidRPr="00A90CED">
        <w:rPr>
          <w:sz w:val="18"/>
        </w:rPr>
        <w:t xml:space="preserve"> </w:t>
      </w:r>
      <w:r w:rsidRPr="00A90CED">
        <w:rPr>
          <w:sz w:val="18"/>
        </w:rPr>
        <w:t xml:space="preserve">Cell </w:t>
      </w:r>
      <w:proofErr w:type="spellStart"/>
      <w:r w:rsidRPr="00A90CED">
        <w:rPr>
          <w:sz w:val="18"/>
        </w:rPr>
        <w:t>Prolif</w:t>
      </w:r>
      <w:proofErr w:type="spellEnd"/>
      <w:r w:rsidRPr="00A90CED">
        <w:rPr>
          <w:rFonts w:hint="eastAsia"/>
          <w:sz w:val="18"/>
        </w:rPr>
        <w:t>.</w:t>
      </w:r>
      <w:r w:rsidRPr="00A90CED">
        <w:rPr>
          <w:sz w:val="18"/>
        </w:rPr>
        <w:t xml:space="preserve"> 49</w:t>
      </w:r>
      <w:r w:rsidRPr="00A90CED">
        <w:rPr>
          <w:rFonts w:hint="eastAsia"/>
          <w:sz w:val="18"/>
        </w:rPr>
        <w:t>(</w:t>
      </w:r>
      <w:r w:rsidRPr="00A90CED">
        <w:rPr>
          <w:sz w:val="18"/>
        </w:rPr>
        <w:t>3</w:t>
      </w:r>
      <w:r w:rsidRPr="00A90CED">
        <w:rPr>
          <w:rFonts w:hint="eastAsia"/>
          <w:sz w:val="18"/>
        </w:rPr>
        <w:t>):</w:t>
      </w:r>
      <w:r w:rsidRPr="00A90CED">
        <w:rPr>
          <w:sz w:val="18"/>
        </w:rPr>
        <w:t>270-280.</w:t>
      </w:r>
    </w:p>
    <w:p w14:paraId="2ECEC590" w14:textId="75730291" w:rsidR="00AE3E37" w:rsidRPr="00BA3412" w:rsidRDefault="00424ABA" w:rsidP="00BA3412">
      <w:pPr>
        <w:pStyle w:val="a5"/>
        <w:numPr>
          <w:ilvl w:val="0"/>
          <w:numId w:val="3"/>
        </w:numPr>
        <w:tabs>
          <w:tab w:val="left" w:pos="384"/>
        </w:tabs>
        <w:spacing w:before="92" w:line="218" w:lineRule="exact"/>
        <w:ind w:hanging="283"/>
        <w:rPr>
          <w:sz w:val="18"/>
        </w:rPr>
      </w:pPr>
      <w:r w:rsidRPr="00BA3412">
        <w:rPr>
          <w:sz w:val="18"/>
        </w:rPr>
        <w:t xml:space="preserve">Sun </w:t>
      </w:r>
      <w:proofErr w:type="spellStart"/>
      <w:proofErr w:type="gramStart"/>
      <w:r w:rsidRPr="00BA3412">
        <w:rPr>
          <w:sz w:val="18"/>
        </w:rPr>
        <w:t>T</w:t>
      </w:r>
      <w:r w:rsidRPr="00BA3412">
        <w:rPr>
          <w:rFonts w:hint="eastAsia"/>
          <w:sz w:val="18"/>
        </w:rPr>
        <w:t>,</w:t>
      </w:r>
      <w:r w:rsidRPr="00BA3412">
        <w:rPr>
          <w:sz w:val="18"/>
        </w:rPr>
        <w:t>Li</w:t>
      </w:r>
      <w:proofErr w:type="spellEnd"/>
      <w:proofErr w:type="gramEnd"/>
      <w:r w:rsidRPr="00BA3412">
        <w:rPr>
          <w:sz w:val="18"/>
        </w:rPr>
        <w:t xml:space="preserve"> </w:t>
      </w:r>
      <w:proofErr w:type="spellStart"/>
      <w:r w:rsidRPr="00BA3412">
        <w:rPr>
          <w:sz w:val="18"/>
        </w:rPr>
        <w:t>T</w:t>
      </w:r>
      <w:r w:rsidRPr="00BA3412">
        <w:rPr>
          <w:rFonts w:hint="eastAsia"/>
          <w:sz w:val="18"/>
        </w:rPr>
        <w:t>,</w:t>
      </w:r>
      <w:r w:rsidRPr="00BA3412">
        <w:rPr>
          <w:sz w:val="18"/>
        </w:rPr>
        <w:t>Davies</w:t>
      </w:r>
      <w:proofErr w:type="spellEnd"/>
      <w:r w:rsidRPr="00BA3412">
        <w:rPr>
          <w:sz w:val="18"/>
        </w:rPr>
        <w:t xml:space="preserve"> H</w:t>
      </w:r>
      <w:r w:rsidRPr="00BA3412">
        <w:rPr>
          <w:rFonts w:hint="eastAsia"/>
          <w:sz w:val="18"/>
        </w:rPr>
        <w:t>,</w:t>
      </w:r>
      <w:r w:rsidRPr="00BA3412">
        <w:rPr>
          <w:sz w:val="18"/>
        </w:rPr>
        <w:t xml:space="preserve"> Li W, Yang J, Li </w:t>
      </w:r>
      <w:proofErr w:type="spellStart"/>
      <w:r w:rsidRPr="00BA3412">
        <w:rPr>
          <w:sz w:val="18"/>
        </w:rPr>
        <w:t>Sh</w:t>
      </w:r>
      <w:proofErr w:type="spellEnd"/>
      <w:r w:rsidRPr="00BA3412">
        <w:rPr>
          <w:rFonts w:hint="eastAsia"/>
          <w:sz w:val="18"/>
        </w:rPr>
        <w:t>,</w:t>
      </w:r>
      <w:r w:rsidRPr="00BA3412">
        <w:rPr>
          <w:sz w:val="18"/>
        </w:rPr>
        <w:t xml:space="preserve"> Ling </w:t>
      </w:r>
      <w:proofErr w:type="spellStart"/>
      <w:r w:rsidRPr="00BA3412">
        <w:rPr>
          <w:sz w:val="18"/>
        </w:rPr>
        <w:t>Sh</w:t>
      </w:r>
      <w:proofErr w:type="spellEnd"/>
      <w:r w:rsidRPr="00BA3412">
        <w:rPr>
          <w:sz w:val="18"/>
        </w:rPr>
        <w:t xml:space="preserve">(2016) Altered Morphologies and Functions of the Olfactory Bulb and Hippocampus Induced by miR-30c.Front </w:t>
      </w:r>
      <w:proofErr w:type="spellStart"/>
      <w:r w:rsidRPr="00BA3412">
        <w:rPr>
          <w:sz w:val="18"/>
        </w:rPr>
        <w:t>Neurosci</w:t>
      </w:r>
      <w:proofErr w:type="spellEnd"/>
      <w:r w:rsidRPr="00BA3412">
        <w:rPr>
          <w:rFonts w:hint="eastAsia"/>
          <w:sz w:val="18"/>
        </w:rPr>
        <w:t xml:space="preserve"> </w:t>
      </w:r>
      <w:r w:rsidRPr="00BA3412">
        <w:rPr>
          <w:sz w:val="18"/>
        </w:rPr>
        <w:t>10</w:t>
      </w:r>
      <w:r w:rsidRPr="00BA3412">
        <w:rPr>
          <w:rFonts w:ascii="宋体" w:eastAsia="宋体" w:hAnsi="宋体" w:cs="宋体" w:hint="eastAsia"/>
          <w:sz w:val="18"/>
        </w:rPr>
        <w:t>：</w:t>
      </w:r>
      <w:r w:rsidRPr="00BA3412">
        <w:rPr>
          <w:sz w:val="18"/>
        </w:rPr>
        <w:t>207.</w:t>
      </w:r>
    </w:p>
    <w:p w14:paraId="4D7DDF28"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70E6E40F" w14:textId="77777777" w:rsidR="00AE3E37" w:rsidRDefault="00AE3E37">
      <w:pPr>
        <w:pStyle w:val="a3"/>
        <w:rPr>
          <w:rFonts w:ascii="Calibri"/>
          <w:sz w:val="20"/>
        </w:rPr>
      </w:pPr>
    </w:p>
    <w:p w14:paraId="64C80E2E" w14:textId="77777777" w:rsidR="00AE3E37" w:rsidRDefault="00292ED9">
      <w:pPr>
        <w:pStyle w:val="a3"/>
        <w:spacing w:line="40" w:lineRule="exact"/>
        <w:ind w:left="2202"/>
        <w:rPr>
          <w:rFonts w:ascii="Calibri"/>
          <w:sz w:val="4"/>
        </w:rPr>
      </w:pPr>
      <w:r>
        <w:rPr>
          <w:rFonts w:ascii="Calibri"/>
          <w:noProof/>
          <w:sz w:val="4"/>
        </w:rPr>
        <mc:AlternateContent>
          <mc:Choice Requires="wpg">
            <w:drawing>
              <wp:inline distT="0" distB="0" distL="0" distR="0" wp14:anchorId="6C9680D2" wp14:editId="64D8F84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098DD5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9D4E8EE" w14:textId="345299DD" w:rsidR="00AE3E37" w:rsidRDefault="00A52075" w:rsidP="00404E5B">
      <w:pPr>
        <w:spacing w:before="92"/>
        <w:ind w:right="4234"/>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72B92BD5" wp14:editId="58B525C8">
                <wp:simplePos x="0" y="0"/>
                <wp:positionH relativeFrom="column">
                  <wp:posOffset>5652770</wp:posOffset>
                </wp:positionH>
                <wp:positionV relativeFrom="paragraph">
                  <wp:posOffset>60325</wp:posOffset>
                </wp:positionV>
                <wp:extent cx="697230" cy="570230"/>
                <wp:effectExtent l="19050" t="19050" r="2667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23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4439604" w14:textId="461DC0CD" w:rsidR="00A52075" w:rsidRDefault="00C9558A" w:rsidP="00A52075">
                            <w:pPr>
                              <w:rPr>
                                <w:b/>
                                <w:color w:val="0000FF"/>
                                <w:lang w:val="en-IN"/>
                              </w:rPr>
                            </w:pPr>
                            <w:r>
                              <w:rPr>
                                <w:b/>
                                <w:noProof/>
                                <w:color w:val="0000FF"/>
                                <w:lang w:val="en-IN"/>
                              </w:rPr>
                              <w:drawing>
                                <wp:inline distT="0" distB="0" distL="0" distR="0" wp14:anchorId="7E7A5934" wp14:editId="68F1D53D">
                                  <wp:extent cx="403860" cy="40386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pic:nvPicPr>
                                        <pic:blipFill>
                                          <a:blip r:embed="rId9">
                                            <a:extLst>
                                              <a:ext uri="{28A0092B-C50C-407E-A947-70E740481C1C}">
                                                <a14:useLocalDpi xmlns:a14="http://schemas.microsoft.com/office/drawing/2010/main" val="0"/>
                                              </a:ext>
                                            </a:extLst>
                                          </a:blip>
                                          <a:stretch>
                                            <a:fillRect/>
                                          </a:stretch>
                                        </pic:blipFill>
                                        <pic:spPr>
                                          <a:xfrm>
                                            <a:off x="0" y="0"/>
                                            <a:ext cx="403860" cy="40386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2B92BD5" id="Rounded Rectangle 2" o:spid="_x0000_s1026" style="position:absolute;margin-left:445.1pt;margin-top:4.75pt;width:54.9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" strokecolor="#9bbb59" strokeweight="2.5pt">
                <v:shadow color="#868686"/>
                <v:textbox>
                  <w:txbxContent>
                    <w:p w14:paraId="64439604" w14:textId="461DC0CD" w:rsidR="00A52075" w:rsidRDefault="00C9558A" w:rsidP="00A52075">
                      <w:pPr>
                        <w:rPr>
                          <w:b/>
                          <w:color w:val="0000FF"/>
                          <w:lang w:val="en-IN"/>
                        </w:rPr>
                      </w:pPr>
                      <w:r>
                        <w:rPr>
                          <w:b/>
                          <w:noProof/>
                          <w:color w:val="0000FF"/>
                          <w:lang w:val="en-IN"/>
                        </w:rPr>
                        <w:drawing>
                          <wp:inline distT="0" distB="0" distL="0" distR="0" wp14:anchorId="7E7A5934" wp14:editId="68F1D53D">
                            <wp:extent cx="403860" cy="40386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pic:nvPicPr>
                                  <pic:blipFill>
                                    <a:blip r:embed="rId9">
                                      <a:extLst>
                                        <a:ext uri="{28A0092B-C50C-407E-A947-70E740481C1C}">
                                          <a14:useLocalDpi xmlns:a14="http://schemas.microsoft.com/office/drawing/2010/main" val="0"/>
                                        </a:ext>
                                      </a:extLst>
                                    </a:blip>
                                    <a:stretch>
                                      <a:fillRect/>
                                    </a:stretch>
                                  </pic:blipFill>
                                  <pic:spPr>
                                    <a:xfrm>
                                      <a:off x="0" y="0"/>
                                      <a:ext cx="403860" cy="403860"/>
                                    </a:xfrm>
                                    <a:prstGeom prst="rect">
                                      <a:avLst/>
                                    </a:prstGeom>
                                  </pic:spPr>
                                </pic:pic>
                              </a:graphicData>
                            </a:graphic>
                          </wp:inline>
                        </w:drawing>
                      </w:r>
                    </w:p>
                  </w:txbxContent>
                </v:textbox>
              </v:roundrect>
            </w:pict>
          </mc:Fallback>
        </mc:AlternateContent>
      </w:r>
      <w:r w:rsidR="008756E6">
        <w:rPr>
          <w:noProof/>
        </w:rPr>
        <w:t xml:space="preserve">              </w:t>
      </w:r>
      <w:r w:rsidR="00AA328F">
        <w:rPr>
          <w:rFonts w:ascii="Arial"/>
          <w:noProof/>
          <w:color w:val="BF5A14"/>
        </w:rPr>
        <w:drawing>
          <wp:inline distT="0" distB="0" distL="0" distR="0" wp14:anchorId="29C8673B" wp14:editId="55238C1F">
            <wp:extent cx="736092" cy="1051560"/>
            <wp:effectExtent l="0" t="0" r="698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45767" cy="1065381"/>
                    </a:xfrm>
                    <a:prstGeom prst="rect">
                      <a:avLst/>
                    </a:prstGeom>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r w:rsidRPr="00A52075">
        <w:rPr>
          <w:rFonts w:ascii="Times New Roman" w:hAnsi="Times New Roman" w:cs="Times New Roman"/>
          <w:sz w:val="24"/>
          <w:szCs w:val="24"/>
        </w:rPr>
        <w:t xml:space="preserve"> </w:t>
      </w:r>
    </w:p>
    <w:p w14:paraId="02810308" w14:textId="77777777" w:rsidR="002D6BD4" w:rsidRPr="002D6BD4" w:rsidRDefault="002D6BD4" w:rsidP="002D6BD4">
      <w:pPr>
        <w:adjustRightInd w:val="0"/>
        <w:snapToGrid w:val="0"/>
        <w:rPr>
          <w:rFonts w:ascii="Arial" w:hAnsi="Arial" w:cs="Arial"/>
          <w:sz w:val="14"/>
          <w:szCs w:val="14"/>
        </w:rPr>
      </w:pPr>
      <w:r w:rsidRPr="002D6BD4">
        <w:rPr>
          <w:rFonts w:ascii="Arial" w:hAnsi="Arial" w:cs="Arial"/>
          <w:sz w:val="14"/>
          <w:szCs w:val="14"/>
        </w:rPr>
        <w:t>Dr. Tingting Sun has been engaged in the research on the mechanism of neurodegenerative diseases and neurogenesis. In the past five years, she has presided over one youth project of the National Natural Science Foundation of China, one key project of the natural science foundation of Shandong Province, participated in three projects of the National Natural Science Foundation of China, and applied for one international PCT and one domestic invention patent. She is a communication review expert of the National Natural Science foundation of China, Expert of science and technology expert database of Shandong Province and Guangdong Province, special commissioner of science and technology of Shandong Province.</w:t>
      </w:r>
    </w:p>
    <w:p w14:paraId="03216CAB" w14:textId="77777777" w:rsidR="002D6BD4" w:rsidRDefault="002D6BD4">
      <w:pPr>
        <w:spacing w:before="62"/>
        <w:ind w:left="4217" w:right="4235"/>
        <w:jc w:val="center"/>
        <w:rPr>
          <w:rFonts w:ascii="Arial"/>
          <w:sz w:val="14"/>
        </w:rPr>
      </w:pPr>
    </w:p>
    <w:p w14:paraId="0FDF0AD8" w14:textId="36E0C14F" w:rsidR="00AE3E37" w:rsidRDefault="00A9710C">
      <w:pPr>
        <w:spacing w:before="62"/>
        <w:ind w:left="4217" w:right="4235"/>
        <w:jc w:val="center"/>
        <w:rPr>
          <w:rFonts w:ascii="Arial"/>
          <w:sz w:val="14"/>
        </w:rPr>
      </w:pPr>
      <w:r>
        <w:rPr>
          <w:rFonts w:ascii="Arial"/>
          <w:sz w:val="14"/>
        </w:rPr>
        <w:t xml:space="preserve">Email: </w:t>
      </w:r>
      <w:hyperlink r:id="rId11" w:history="1">
        <w:r w:rsidR="00765BAD" w:rsidRPr="00AA12E2">
          <w:rPr>
            <w:rStyle w:val="ac"/>
            <w:rFonts w:ascii="Arial"/>
            <w:sz w:val="14"/>
          </w:rPr>
          <w:t>suntingting@uzz.edu.cn</w:t>
        </w:r>
      </w:hyperlink>
    </w:p>
    <w:p w14:paraId="7AAFC181" w14:textId="77777777" w:rsidR="00AE3E37" w:rsidRDefault="00292ED9">
      <w:pPr>
        <w:pStyle w:val="a3"/>
        <w:spacing w:before="2"/>
        <w:rPr>
          <w:rFonts w:ascii="Arial"/>
          <w:sz w:val="19"/>
        </w:rPr>
      </w:pPr>
      <w:r>
        <w:rPr>
          <w:noProof/>
        </w:rPr>
        <mc:AlternateContent>
          <mc:Choice Requires="wps">
            <w:drawing>
              <wp:anchor distT="0" distB="0" distL="0" distR="0" simplePos="0" relativeHeight="1072" behindDoc="0" locked="0" layoutInCell="1" allowOverlap="1" wp14:anchorId="77B494DD" wp14:editId="65BFCC3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0CFC11"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439F652E" w14:textId="77777777" w:rsidR="00AE3E37" w:rsidRDefault="00AE3E37">
      <w:pPr>
        <w:pStyle w:val="a3"/>
        <w:rPr>
          <w:rFonts w:ascii="Arial"/>
          <w:sz w:val="20"/>
        </w:rPr>
      </w:pPr>
    </w:p>
    <w:p w14:paraId="406B44F3" w14:textId="77777777" w:rsidR="00AE3E37" w:rsidRPr="00B21A57" w:rsidRDefault="00A9710C">
      <w:pPr>
        <w:spacing w:before="39"/>
        <w:ind w:left="100"/>
        <w:rPr>
          <w:rFonts w:ascii="Minion Pro"/>
          <w:b/>
          <w:sz w:val="20"/>
        </w:rPr>
      </w:pPr>
      <w:r w:rsidRPr="00B21A57">
        <w:rPr>
          <w:rFonts w:ascii="Minion Pro"/>
          <w:b/>
          <w:sz w:val="20"/>
        </w:rPr>
        <w:t>Notes/Comments:</w:t>
      </w:r>
    </w:p>
    <w:p w14:paraId="6E40E262" w14:textId="77777777" w:rsidR="00AE3E37" w:rsidRDefault="00AE3E37">
      <w:pPr>
        <w:rPr>
          <w:rFonts w:ascii="Minion Pro"/>
          <w:sz w:val="24"/>
        </w:rPr>
        <w:sectPr w:rsidR="00AE3E37" w:rsidSect="008E5477">
          <w:type w:val="continuous"/>
          <w:pgSz w:w="11910" w:h="16840"/>
          <w:pgMar w:top="995" w:right="600" w:bottom="840" w:left="620" w:header="720" w:footer="720" w:gutter="0"/>
          <w:cols w:space="720"/>
        </w:sectPr>
      </w:pPr>
    </w:p>
    <w:p w14:paraId="4A39CE13" w14:textId="77777777" w:rsidR="00F046EA" w:rsidRPr="0013708E" w:rsidRDefault="00F046EA" w:rsidP="00F046EA">
      <w:pPr>
        <w:jc w:val="both"/>
        <w:rPr>
          <w:b/>
        </w:rPr>
      </w:pPr>
      <w:r w:rsidRPr="0013708E">
        <w:rPr>
          <w:b/>
        </w:rPr>
        <w:lastRenderedPageBreak/>
        <w:t xml:space="preserve">Presenting author details </w:t>
      </w:r>
    </w:p>
    <w:p w14:paraId="26A38E23" w14:textId="3140FD12" w:rsidR="00F046EA" w:rsidRPr="0013708E" w:rsidRDefault="00F046EA" w:rsidP="00F046EA">
      <w:pPr>
        <w:jc w:val="both"/>
      </w:pPr>
      <w:r w:rsidRPr="0013708E">
        <w:t xml:space="preserve">Full name: </w:t>
      </w:r>
      <w:r w:rsidR="003D2718">
        <w:t>T</w:t>
      </w:r>
      <w:r w:rsidR="003D2718">
        <w:rPr>
          <w:rFonts w:asciiTheme="minorEastAsia" w:eastAsiaTheme="minorEastAsia" w:hAnsiTheme="minorEastAsia" w:hint="eastAsia"/>
          <w:lang w:eastAsia="zh-CN"/>
        </w:rPr>
        <w:t>ing</w:t>
      </w:r>
      <w:r w:rsidR="003D2718">
        <w:t>ting Sun</w:t>
      </w:r>
    </w:p>
    <w:p w14:paraId="6B90A962" w14:textId="353B9884" w:rsidR="00F046EA" w:rsidRDefault="00F046EA" w:rsidP="00F046EA">
      <w:pPr>
        <w:jc w:val="both"/>
      </w:pPr>
      <w:r w:rsidRPr="0013708E">
        <w:t>Contact number:</w:t>
      </w:r>
      <w:r w:rsidR="003D2718">
        <w:t xml:space="preserve"> </w:t>
      </w:r>
      <w:r w:rsidR="00AD29CB">
        <w:t>+86-0632-</w:t>
      </w:r>
      <w:r w:rsidR="001F3AA3">
        <w:t>3786399</w:t>
      </w:r>
    </w:p>
    <w:p w14:paraId="27BEF82F" w14:textId="7EFFE763" w:rsidR="00F046EA" w:rsidRPr="0013708E" w:rsidRDefault="00F046EA" w:rsidP="00F046EA">
      <w:pPr>
        <w:jc w:val="both"/>
      </w:pPr>
      <w:r>
        <w:t xml:space="preserve">Mail id: </w:t>
      </w:r>
      <w:r w:rsidR="003D2718">
        <w:t>suntingting@uzz.edu.cn</w:t>
      </w:r>
    </w:p>
    <w:p w14:paraId="6443E5FC" w14:textId="096AE86B" w:rsidR="00F046EA" w:rsidRDefault="00F046EA" w:rsidP="00F046EA">
      <w:pPr>
        <w:jc w:val="both"/>
      </w:pPr>
      <w:r w:rsidRPr="0013708E">
        <w:t xml:space="preserve">Category: (Oral presentation/ </w:t>
      </w:r>
      <w:r w:rsidR="00586544">
        <w:rPr>
          <w:rFonts w:asciiTheme="minorEastAsia" w:eastAsiaTheme="minorEastAsia" w:hAnsiTheme="minorEastAsia" w:hint="eastAsia"/>
          <w:lang w:eastAsia="zh-CN"/>
        </w:rPr>
        <w:t>√</w:t>
      </w:r>
      <w:r w:rsidRPr="0013708E">
        <w:t>Poster presentation)</w:t>
      </w:r>
      <w:r>
        <w:t xml:space="preserve"> </w:t>
      </w:r>
    </w:p>
    <w:p w14:paraId="1BDAD642" w14:textId="77777777" w:rsidR="00AE3E37" w:rsidRDefault="00AE3E37">
      <w:pPr>
        <w:pStyle w:val="a3"/>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6FD2E3" w14:textId="77777777" w:rsidR="006060AC" w:rsidRDefault="006060AC">
      <w:r>
        <w:separator/>
      </w:r>
    </w:p>
  </w:endnote>
  <w:endnote w:type="continuationSeparator" w:id="0">
    <w:p w14:paraId="52AEB30B" w14:textId="77777777" w:rsidR="006060AC" w:rsidRDefault="006060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panose1 w:val="02040503050201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3B28C" w14:textId="77777777" w:rsidR="00AE3E37" w:rsidRDefault="00292ED9">
    <w:pPr>
      <w:pStyle w:val="a3"/>
      <w:spacing w:line="14" w:lineRule="auto"/>
      <w:rPr>
        <w:sz w:val="20"/>
      </w:rPr>
    </w:pPr>
    <w:r>
      <w:rPr>
        <w:noProof/>
      </w:rPr>
      <mc:AlternateContent>
        <mc:Choice Requires="wps">
          <w:drawing>
            <wp:anchor distT="0" distB="0" distL="114300" distR="114300" simplePos="0" relativeHeight="503311928" behindDoc="1" locked="0" layoutInCell="1" allowOverlap="1" wp14:anchorId="3AA5C5CE" wp14:editId="04A24DC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5F711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282F47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A5C5C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125F711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282F47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18F5C68" wp14:editId="53D8DEB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3D8CB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64CED7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8F5C68"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0A3D8CB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64CED7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1E40F22" wp14:editId="6525553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CB66E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F382CC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E40F22"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6DCB66E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F382CC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888F0C" w14:textId="77777777" w:rsidR="006060AC" w:rsidRDefault="006060AC">
      <w:r>
        <w:separator/>
      </w:r>
    </w:p>
  </w:footnote>
  <w:footnote w:type="continuationSeparator" w:id="0">
    <w:p w14:paraId="24C95B4C" w14:textId="77777777" w:rsidR="006060AC" w:rsidRDefault="006060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116EC"/>
    <w:rsid w:val="00062604"/>
    <w:rsid w:val="000E2911"/>
    <w:rsid w:val="000E48B8"/>
    <w:rsid w:val="000F6D82"/>
    <w:rsid w:val="00125921"/>
    <w:rsid w:val="001263DF"/>
    <w:rsid w:val="00167C77"/>
    <w:rsid w:val="00187B2F"/>
    <w:rsid w:val="001A5AA5"/>
    <w:rsid w:val="001A611A"/>
    <w:rsid w:val="001B351B"/>
    <w:rsid w:val="001B576A"/>
    <w:rsid w:val="001F3AA3"/>
    <w:rsid w:val="001F4E30"/>
    <w:rsid w:val="00204BE2"/>
    <w:rsid w:val="00206D18"/>
    <w:rsid w:val="0023270F"/>
    <w:rsid w:val="00235780"/>
    <w:rsid w:val="00240A28"/>
    <w:rsid w:val="00251021"/>
    <w:rsid w:val="00262236"/>
    <w:rsid w:val="002761B9"/>
    <w:rsid w:val="002770E1"/>
    <w:rsid w:val="002832C6"/>
    <w:rsid w:val="00292ED9"/>
    <w:rsid w:val="002A7E78"/>
    <w:rsid w:val="002B0A97"/>
    <w:rsid w:val="002D6BD4"/>
    <w:rsid w:val="002F334F"/>
    <w:rsid w:val="0032613E"/>
    <w:rsid w:val="00327C78"/>
    <w:rsid w:val="00351D9B"/>
    <w:rsid w:val="00380299"/>
    <w:rsid w:val="00387E56"/>
    <w:rsid w:val="003D2718"/>
    <w:rsid w:val="004011E3"/>
    <w:rsid w:val="00404E5B"/>
    <w:rsid w:val="00414F7B"/>
    <w:rsid w:val="0042294D"/>
    <w:rsid w:val="00424ABA"/>
    <w:rsid w:val="00426A6F"/>
    <w:rsid w:val="004355DC"/>
    <w:rsid w:val="00435E7C"/>
    <w:rsid w:val="00452406"/>
    <w:rsid w:val="004547ED"/>
    <w:rsid w:val="004749B4"/>
    <w:rsid w:val="00481DA7"/>
    <w:rsid w:val="00494130"/>
    <w:rsid w:val="004972F3"/>
    <w:rsid w:val="004F3523"/>
    <w:rsid w:val="005330E3"/>
    <w:rsid w:val="00545547"/>
    <w:rsid w:val="00565450"/>
    <w:rsid w:val="00576FC0"/>
    <w:rsid w:val="00585843"/>
    <w:rsid w:val="00586544"/>
    <w:rsid w:val="005879DB"/>
    <w:rsid w:val="005973B9"/>
    <w:rsid w:val="005B3A56"/>
    <w:rsid w:val="005E79F3"/>
    <w:rsid w:val="00600924"/>
    <w:rsid w:val="006060AC"/>
    <w:rsid w:val="006060CE"/>
    <w:rsid w:val="0061505C"/>
    <w:rsid w:val="0062444D"/>
    <w:rsid w:val="0063497F"/>
    <w:rsid w:val="00634E67"/>
    <w:rsid w:val="006403D3"/>
    <w:rsid w:val="00641991"/>
    <w:rsid w:val="006663BA"/>
    <w:rsid w:val="00666AEF"/>
    <w:rsid w:val="006679A6"/>
    <w:rsid w:val="00674ED9"/>
    <w:rsid w:val="00675FA1"/>
    <w:rsid w:val="00686DE5"/>
    <w:rsid w:val="00690A23"/>
    <w:rsid w:val="00714354"/>
    <w:rsid w:val="00716943"/>
    <w:rsid w:val="00747B24"/>
    <w:rsid w:val="00750366"/>
    <w:rsid w:val="00765BAD"/>
    <w:rsid w:val="0086553B"/>
    <w:rsid w:val="00873DF0"/>
    <w:rsid w:val="008756E6"/>
    <w:rsid w:val="00897EC5"/>
    <w:rsid w:val="008E5477"/>
    <w:rsid w:val="00916C58"/>
    <w:rsid w:val="009462A4"/>
    <w:rsid w:val="00947F76"/>
    <w:rsid w:val="009623BE"/>
    <w:rsid w:val="00992BA2"/>
    <w:rsid w:val="009B2D44"/>
    <w:rsid w:val="009E45D4"/>
    <w:rsid w:val="009F44BE"/>
    <w:rsid w:val="00A07E82"/>
    <w:rsid w:val="00A33E2F"/>
    <w:rsid w:val="00A52075"/>
    <w:rsid w:val="00A72829"/>
    <w:rsid w:val="00A90CED"/>
    <w:rsid w:val="00A9710C"/>
    <w:rsid w:val="00AA0D0C"/>
    <w:rsid w:val="00AA328F"/>
    <w:rsid w:val="00AD1A66"/>
    <w:rsid w:val="00AD29CB"/>
    <w:rsid w:val="00AE3E37"/>
    <w:rsid w:val="00B00F93"/>
    <w:rsid w:val="00B21A57"/>
    <w:rsid w:val="00B24777"/>
    <w:rsid w:val="00B7417C"/>
    <w:rsid w:val="00BA3412"/>
    <w:rsid w:val="00BB6F65"/>
    <w:rsid w:val="00C05F89"/>
    <w:rsid w:val="00C229C2"/>
    <w:rsid w:val="00C33602"/>
    <w:rsid w:val="00C409E9"/>
    <w:rsid w:val="00C47046"/>
    <w:rsid w:val="00C56C74"/>
    <w:rsid w:val="00C63CA8"/>
    <w:rsid w:val="00C84E4C"/>
    <w:rsid w:val="00C9558A"/>
    <w:rsid w:val="00C95939"/>
    <w:rsid w:val="00CC4D2B"/>
    <w:rsid w:val="00CD6F55"/>
    <w:rsid w:val="00CE0337"/>
    <w:rsid w:val="00CE61C4"/>
    <w:rsid w:val="00D22CD8"/>
    <w:rsid w:val="00D26723"/>
    <w:rsid w:val="00D32D6A"/>
    <w:rsid w:val="00D44A68"/>
    <w:rsid w:val="00D6217D"/>
    <w:rsid w:val="00D83853"/>
    <w:rsid w:val="00D90DB2"/>
    <w:rsid w:val="00DC1316"/>
    <w:rsid w:val="00DC5D44"/>
    <w:rsid w:val="00DE0D9E"/>
    <w:rsid w:val="00DE3104"/>
    <w:rsid w:val="00DE6170"/>
    <w:rsid w:val="00DF51AC"/>
    <w:rsid w:val="00E031DE"/>
    <w:rsid w:val="00E12E33"/>
    <w:rsid w:val="00E23EC1"/>
    <w:rsid w:val="00E30AAC"/>
    <w:rsid w:val="00E55AB7"/>
    <w:rsid w:val="00E95D97"/>
    <w:rsid w:val="00EC770C"/>
    <w:rsid w:val="00ED3F0F"/>
    <w:rsid w:val="00EE671E"/>
    <w:rsid w:val="00F046EA"/>
    <w:rsid w:val="00F05DE0"/>
    <w:rsid w:val="00F125E4"/>
    <w:rsid w:val="00F30A82"/>
    <w:rsid w:val="00F72EEA"/>
    <w:rsid w:val="00F74DFB"/>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68F080"/>
  <w15:docId w15:val="{3C15740A-135C-4C98-B11E-D51CED1FC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页眉 字符"/>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页脚 字符"/>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批注框文本 字符"/>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正文文本 字符"/>
    <w:basedOn w:val="a0"/>
    <w:link w:val="a3"/>
    <w:uiPriority w:val="1"/>
    <w:rsid w:val="005973B9"/>
    <w:rPr>
      <w:rFonts w:ascii="Tw Cen MT" w:eastAsia="Tw Cen MT" w:hAnsi="Tw Cen MT" w:cs="Tw Cen MT"/>
      <w:sz w:val="18"/>
      <w:szCs w:val="18"/>
    </w:rPr>
  </w:style>
  <w:style w:type="character" w:styleId="ad">
    <w:name w:val="Unresolved Mention"/>
    <w:basedOn w:val="a0"/>
    <w:uiPriority w:val="99"/>
    <w:semiHidden/>
    <w:unhideWhenUsed/>
    <w:rsid w:val="002832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ntingting@uzz.edu.cn" TargetMode="Externa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292</TotalTime>
  <Pages>2</Pages>
  <Words>528</Words>
  <Characters>3013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Lenovo 。。</cp:lastModifiedBy>
  <cp:revision>605</cp:revision>
  <dcterms:created xsi:type="dcterms:W3CDTF">2016-08-31T12:08:00Z</dcterms:created>
  <dcterms:modified xsi:type="dcterms:W3CDTF">2022-01-19T14:30:00Z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