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0B48E8" w:rsidRPr="000B48E8" w:rsidRDefault="000B48E8" w:rsidP="00DF04E3">
      <w:pPr>
        <w:pStyle w:val="HTMLPreformatted"/>
        <w:jc w:val="center"/>
        <w:rPr>
          <w:rFonts w:ascii="Times New Roman" w:hAnsi="Times New Roman" w:cs="Times New Roman"/>
          <w:sz w:val="24"/>
          <w:u w:val="single"/>
        </w:rPr>
      </w:pPr>
      <w:r w:rsidRPr="000B48E8">
        <w:rPr>
          <w:rFonts w:ascii="Times New Roman" w:hAnsi="Times New Roman" w:cs="Times New Roman"/>
          <w:sz w:val="24"/>
          <w:u w:val="single"/>
        </w:rPr>
        <w:t xml:space="preserve">Amira </w:t>
      </w:r>
      <w:proofErr w:type="spellStart"/>
      <w:r w:rsidRPr="000B48E8">
        <w:rPr>
          <w:rFonts w:ascii="Times New Roman" w:hAnsi="Times New Roman" w:cs="Times New Roman"/>
          <w:sz w:val="24"/>
          <w:u w:val="single"/>
        </w:rPr>
        <w:t>Hamed</w:t>
      </w:r>
      <w:proofErr w:type="spellEnd"/>
      <w:r w:rsidRPr="000B48E8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 w:rsidRPr="000B48E8">
        <w:rPr>
          <w:rFonts w:ascii="Times New Roman" w:hAnsi="Times New Roman" w:cs="Times New Roman"/>
          <w:sz w:val="24"/>
          <w:u w:val="single"/>
        </w:rPr>
        <w:t>Darwish</w:t>
      </w:r>
      <w:proofErr w:type="spellEnd"/>
      <w:r w:rsidRPr="000B48E8">
        <w:rPr>
          <w:rFonts w:ascii="Times New Roman" w:hAnsi="Times New Roman" w:cs="Times New Roman"/>
          <w:sz w:val="24"/>
          <w:u w:val="single"/>
        </w:rPr>
        <w:t>, MD</w:t>
      </w:r>
    </w:p>
    <w:p w:rsidR="0028059F" w:rsidRPr="000B48E8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</w:pPr>
    </w:p>
    <w:p w:rsidR="000B48E8" w:rsidRPr="000B48E8" w:rsidRDefault="000B48E8" w:rsidP="000B48E8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</w:pPr>
      <w:proofErr w:type="spellStart"/>
      <w:r w:rsidRPr="000B48E8"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  <w:t>Pediatric</w:t>
      </w:r>
      <w:proofErr w:type="spellEnd"/>
      <w:r w:rsidRPr="000B48E8"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  <w:t xml:space="preserve"> Neurology Unit, Department of Pediatrics, Faculty of Medicine,</w:t>
      </w:r>
    </w:p>
    <w:p w:rsidR="000B48E8" w:rsidRPr="00435234" w:rsidRDefault="000B48E8" w:rsidP="000B48E8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</w:rPr>
        <w:t>(</w:t>
      </w:r>
      <w:r w:rsidRPr="000B48E8">
        <w:rPr>
          <w:rFonts w:ascii="Times New Roman" w:hAnsi="Times New Roman" w:cs="Times New Roman"/>
          <w:i/>
          <w:iCs/>
          <w:sz w:val="24"/>
        </w:rPr>
        <w:t>Tanta University Hospital, Egypt</w:t>
      </w:r>
      <w:r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0B48E8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9F389E" w:rsidRDefault="009F389E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AdvPAC5A" w:hAnsi="AdvPAC5A" w:cs="AdvPAC5A"/>
          <w:lang w:val="en-US"/>
        </w:rPr>
        <w:t xml:space="preserve">Aim: </w:t>
      </w:r>
      <w:r>
        <w:rPr>
          <w:rFonts w:ascii="AdvPAC59" w:hAnsi="AdvPAC59" w:cs="AdvPAC59"/>
          <w:lang w:val="en-US"/>
        </w:rPr>
        <w:t>To evaluate clinical and radiologic presentation, and neurologic outcome of pediatric posterior reversible encephalopathy</w:t>
      </w:r>
      <w:r>
        <w:rPr>
          <w:rFonts w:ascii="AdvPAC59" w:hAnsi="AdvPAC59" w:cs="AdvPAC59"/>
          <w:lang w:val="en-US"/>
        </w:rPr>
        <w:t xml:space="preserve"> </w:t>
      </w:r>
      <w:r>
        <w:rPr>
          <w:rFonts w:ascii="AdvPAC59" w:hAnsi="AdvPAC59" w:cs="AdvPAC59"/>
          <w:lang w:val="en-US"/>
        </w:rPr>
        <w:t xml:space="preserve">syndrome (PRES). </w:t>
      </w:r>
      <w:r>
        <w:rPr>
          <w:rFonts w:ascii="AdvPAC5A" w:hAnsi="AdvPAC5A" w:cs="AdvPAC5A"/>
          <w:lang w:val="en-US"/>
        </w:rPr>
        <w:t xml:space="preserve">Patients and Methods: </w:t>
      </w:r>
      <w:r>
        <w:rPr>
          <w:rFonts w:ascii="AdvPAC59" w:hAnsi="AdvPAC59" w:cs="AdvPAC59"/>
          <w:lang w:val="en-US"/>
        </w:rPr>
        <w:t>The study included 24 children (14 males and 10 females) diagnosed with PRES who</w:t>
      </w:r>
      <w:r>
        <w:rPr>
          <w:rFonts w:ascii="AdvPAC59" w:hAnsi="AdvPAC59" w:cs="AdvPAC59"/>
          <w:lang w:val="en-US"/>
        </w:rPr>
        <w:t xml:space="preserve"> </w:t>
      </w:r>
      <w:proofErr w:type="gramStart"/>
      <w:r>
        <w:rPr>
          <w:rFonts w:ascii="AdvPAC59" w:hAnsi="AdvPAC59" w:cs="AdvPAC59"/>
          <w:lang w:val="en-US"/>
        </w:rPr>
        <w:t>were prospectively followed</w:t>
      </w:r>
      <w:proofErr w:type="gramEnd"/>
      <w:r>
        <w:rPr>
          <w:rFonts w:ascii="AdvPAC59" w:hAnsi="AdvPAC59" w:cs="AdvPAC59"/>
          <w:lang w:val="en-US"/>
        </w:rPr>
        <w:t xml:space="preserve"> for 2 years. They were evaluated using Wechsler Intelligence Scale, electroencephalograph (EEG),</w:t>
      </w:r>
      <w:r>
        <w:rPr>
          <w:rFonts w:ascii="AdvPAC59" w:hAnsi="AdvPAC59" w:cs="AdvPAC59"/>
          <w:lang w:val="en-US"/>
        </w:rPr>
        <w:t xml:space="preserve"> </w:t>
      </w:r>
      <w:r>
        <w:rPr>
          <w:rFonts w:ascii="AdvPAC59" w:hAnsi="AdvPAC59" w:cs="AdvPAC59"/>
          <w:lang w:val="en-US"/>
        </w:rPr>
        <w:t xml:space="preserve">and brain magnetic resonance imaging (MRI). </w:t>
      </w:r>
      <w:r>
        <w:rPr>
          <w:rFonts w:ascii="AdvPAC5A" w:hAnsi="AdvPAC5A" w:cs="AdvPAC5A"/>
          <w:lang w:val="en-US"/>
        </w:rPr>
        <w:t xml:space="preserve">Results: </w:t>
      </w:r>
      <w:r>
        <w:rPr>
          <w:rFonts w:ascii="AdvPAC59" w:hAnsi="AdvPAC59" w:cs="AdvPAC59"/>
          <w:lang w:val="en-US"/>
        </w:rPr>
        <w:t>The mean age of the studied patients at the time of diagnosis of PRES was</w:t>
      </w:r>
      <w:r>
        <w:rPr>
          <w:rFonts w:ascii="AdvPAC59" w:hAnsi="AdvPAC59" w:cs="AdvPAC59"/>
          <w:lang w:val="en-US"/>
        </w:rPr>
        <w:t xml:space="preserve"> </w:t>
      </w:r>
      <w:r>
        <w:rPr>
          <w:rFonts w:ascii="AdvPAC59" w:hAnsi="AdvPAC59" w:cs="AdvPAC59"/>
          <w:lang w:val="en-US"/>
        </w:rPr>
        <w:t>6 years (</w:t>
      </w:r>
      <w:r>
        <w:rPr>
          <w:rFonts w:ascii="AdvPi1" w:hAnsi="AdvPi1" w:cs="AdvPi1"/>
          <w:lang w:val="en-US"/>
        </w:rPr>
        <w:t>+</w:t>
      </w:r>
      <w:r>
        <w:rPr>
          <w:rFonts w:ascii="AdvPAC59" w:hAnsi="AdvPAC59" w:cs="AdvPAC59"/>
          <w:lang w:val="en-US"/>
        </w:rPr>
        <w:t>2.2). Chemotherapy for cancer represented 66.7% of the causes of PRES in the studied children, followed by renal</w:t>
      </w:r>
      <w:r>
        <w:rPr>
          <w:rFonts w:ascii="AdvPAC59" w:hAnsi="AdvPAC59" w:cs="AdvPAC59"/>
          <w:lang w:val="en-US"/>
        </w:rPr>
        <w:t xml:space="preserve"> </w:t>
      </w:r>
      <w:r>
        <w:rPr>
          <w:rFonts w:ascii="AdvPAC59" w:hAnsi="AdvPAC59" w:cs="AdvPAC59"/>
          <w:lang w:val="en-US"/>
        </w:rPr>
        <w:t>disorders and immunosuppressive agents for hematopoietic stem cell transplantation. Twenty-seven attacks of PRES were</w:t>
      </w:r>
      <w:r>
        <w:rPr>
          <w:rFonts w:ascii="AdvPAC59" w:hAnsi="AdvPAC59" w:cs="AdvPAC59"/>
          <w:lang w:val="en-US"/>
        </w:rPr>
        <w:t xml:space="preserve"> </w:t>
      </w:r>
      <w:r>
        <w:rPr>
          <w:rFonts w:ascii="AdvPAC59" w:hAnsi="AdvPAC59" w:cs="AdvPAC59"/>
          <w:lang w:val="en-US"/>
        </w:rPr>
        <w:t xml:space="preserve">reported as </w:t>
      </w:r>
      <w:proofErr w:type="gramStart"/>
      <w:r>
        <w:rPr>
          <w:rFonts w:ascii="AdvPAC59" w:hAnsi="AdvPAC59" w:cs="AdvPAC59"/>
          <w:lang w:val="en-US"/>
        </w:rPr>
        <w:t>3</w:t>
      </w:r>
      <w:proofErr w:type="gramEnd"/>
      <w:r>
        <w:rPr>
          <w:rFonts w:ascii="AdvPAC59" w:hAnsi="AdvPAC59" w:cs="AdvPAC59"/>
          <w:lang w:val="en-US"/>
        </w:rPr>
        <w:t xml:space="preserve"> children developed a second attack of PRES. Normal intelligence quotient was found in 95.8% of studied children</w:t>
      </w:r>
      <w:r>
        <w:rPr>
          <w:rFonts w:ascii="AdvPAC59" w:hAnsi="AdvPAC59" w:cs="AdvPAC59"/>
          <w:lang w:val="en-US"/>
        </w:rPr>
        <w:t xml:space="preserve"> </w:t>
      </w:r>
      <w:r>
        <w:rPr>
          <w:rFonts w:ascii="AdvPAC59" w:hAnsi="AdvPAC59" w:cs="AdvPAC59"/>
          <w:lang w:val="en-US"/>
        </w:rPr>
        <w:t>after PRES. Residual abnormalities in follow-up MRI were demonstrated in 3 children. Epilepsy and residual MRI lesions were</w:t>
      </w:r>
      <w:r>
        <w:rPr>
          <w:rFonts w:ascii="AdvPAC59" w:hAnsi="AdvPAC59" w:cs="AdvPAC59"/>
          <w:lang w:val="en-US"/>
        </w:rPr>
        <w:t xml:space="preserve"> </w:t>
      </w:r>
      <w:r>
        <w:rPr>
          <w:rFonts w:ascii="AdvPAC59" w:hAnsi="AdvPAC59" w:cs="AdvPAC59"/>
          <w:lang w:val="en-US"/>
        </w:rPr>
        <w:t xml:space="preserve">reported in </w:t>
      </w:r>
      <w:proofErr w:type="gramStart"/>
      <w:r>
        <w:rPr>
          <w:rFonts w:ascii="AdvPAC59" w:hAnsi="AdvPAC59" w:cs="AdvPAC59"/>
          <w:lang w:val="en-US"/>
        </w:rPr>
        <w:t>2</w:t>
      </w:r>
      <w:proofErr w:type="gramEnd"/>
      <w:r>
        <w:rPr>
          <w:rFonts w:ascii="AdvPAC59" w:hAnsi="AdvPAC59" w:cs="AdvPAC59"/>
          <w:lang w:val="en-US"/>
        </w:rPr>
        <w:t xml:space="preserve"> of the 3 children with recurrent PRES. Residual lesions in follow-up MRI and epilepsy were more significantly</w:t>
      </w:r>
      <w:r>
        <w:rPr>
          <w:rFonts w:ascii="AdvPAC59" w:hAnsi="AdvPAC59" w:cs="AdvPAC59"/>
          <w:lang w:val="en-US"/>
        </w:rPr>
        <w:t xml:space="preserve"> </w:t>
      </w:r>
      <w:r>
        <w:rPr>
          <w:rFonts w:ascii="AdvPAC59" w:hAnsi="AdvPAC59" w:cs="AdvPAC59"/>
          <w:lang w:val="en-US"/>
        </w:rPr>
        <w:t>reported after recurrent PRES (</w:t>
      </w:r>
      <w:r>
        <w:rPr>
          <w:rFonts w:ascii="AdvPAC5B" w:hAnsi="AdvPAC5B" w:cs="AdvPAC5B"/>
          <w:lang w:val="en-US"/>
        </w:rPr>
        <w:t xml:space="preserve">P </w:t>
      </w:r>
      <w:r>
        <w:rPr>
          <w:rFonts w:ascii="AdvPAC59" w:hAnsi="AdvPAC59" w:cs="AdvPAC59"/>
          <w:lang w:val="en-US"/>
        </w:rPr>
        <w:t xml:space="preserve">&lt; .05). </w:t>
      </w:r>
      <w:r>
        <w:rPr>
          <w:rFonts w:ascii="AdvPAC5A" w:hAnsi="AdvPAC5A" w:cs="AdvPAC5A"/>
          <w:lang w:val="en-US"/>
        </w:rPr>
        <w:t xml:space="preserve">Conclusions: </w:t>
      </w:r>
      <w:r>
        <w:rPr>
          <w:rFonts w:ascii="AdvPAC59" w:hAnsi="AdvPAC59" w:cs="AdvPAC59"/>
          <w:lang w:val="en-US"/>
        </w:rPr>
        <w:t>Neoplastic, renal disorders and hematopoietic stem cell transplantation</w:t>
      </w:r>
      <w:r>
        <w:rPr>
          <w:rFonts w:ascii="AdvPAC59" w:hAnsi="AdvPAC59" w:cs="AdvPAC59"/>
          <w:lang w:val="en-US"/>
        </w:rPr>
        <w:t xml:space="preserve"> </w:t>
      </w:r>
      <w:r>
        <w:rPr>
          <w:rFonts w:ascii="AdvPAC59" w:hAnsi="AdvPAC59" w:cs="AdvPAC59"/>
          <w:lang w:val="en-US"/>
        </w:rPr>
        <w:t xml:space="preserve">represent the main disorders associated with PRES in children. Chemotherapeutic drugs, </w:t>
      </w:r>
      <w:proofErr w:type="spellStart"/>
      <w:r>
        <w:rPr>
          <w:rFonts w:ascii="AdvPAC59" w:hAnsi="AdvPAC59" w:cs="AdvPAC59"/>
          <w:lang w:val="en-US"/>
        </w:rPr>
        <w:t>immunosuppressants</w:t>
      </w:r>
      <w:proofErr w:type="spellEnd"/>
      <w:r>
        <w:rPr>
          <w:rFonts w:ascii="AdvPAC59" w:hAnsi="AdvPAC59" w:cs="AdvPAC59"/>
          <w:lang w:val="en-US"/>
        </w:rPr>
        <w:t>, and hypertension</w:t>
      </w:r>
      <w:r>
        <w:rPr>
          <w:rFonts w:ascii="AdvPAC59" w:hAnsi="AdvPAC59" w:cs="AdvPAC59"/>
          <w:lang w:val="en-US"/>
        </w:rPr>
        <w:t xml:space="preserve"> </w:t>
      </w:r>
      <w:r>
        <w:rPr>
          <w:rFonts w:ascii="AdvPAC59" w:hAnsi="AdvPAC59" w:cs="AdvPAC59"/>
          <w:lang w:val="en-US"/>
        </w:rPr>
        <w:t xml:space="preserve">are the main risk factors for pediatric PRES. The outcome of pediatric PRES is good, but long-term neurologic </w:t>
      </w:r>
      <w:proofErr w:type="spellStart"/>
      <w:r>
        <w:rPr>
          <w:rFonts w:ascii="AdvPAC59" w:hAnsi="AdvPAC59" w:cs="AdvPAC59"/>
          <w:lang w:val="en-US"/>
        </w:rPr>
        <w:t>sequelae</w:t>
      </w:r>
      <w:proofErr w:type="spellEnd"/>
      <w:r>
        <w:rPr>
          <w:rFonts w:ascii="AdvPAC59" w:hAnsi="AdvPAC59" w:cs="AdvPAC59"/>
          <w:lang w:val="en-US"/>
        </w:rPr>
        <w:t xml:space="preserve"> can occur,</w:t>
      </w:r>
      <w:r>
        <w:rPr>
          <w:rFonts w:ascii="AdvPAC59" w:hAnsi="AdvPAC59" w:cs="AdvPAC59"/>
          <w:lang w:val="en-US"/>
        </w:rPr>
        <w:t xml:space="preserve"> </w:t>
      </w:r>
      <w:r>
        <w:rPr>
          <w:rFonts w:ascii="AdvPAC59" w:hAnsi="AdvPAC59" w:cs="AdvPAC59"/>
          <w:lang w:val="en-US"/>
        </w:rPr>
        <w:t xml:space="preserve">mainly epilepsy and residual MRI abnormalities. Recurrence of PRES </w:t>
      </w:r>
      <w:proofErr w:type="gramStart"/>
      <w:r>
        <w:rPr>
          <w:rFonts w:ascii="AdvPAC59" w:hAnsi="AdvPAC59" w:cs="AdvPAC59"/>
          <w:lang w:val="en-US"/>
        </w:rPr>
        <w:t>is infrequently reported</w:t>
      </w:r>
      <w:proofErr w:type="gramEnd"/>
      <w:r>
        <w:rPr>
          <w:rFonts w:ascii="AdvPAC59" w:hAnsi="AdvPAC59" w:cs="AdvPAC59"/>
          <w:lang w:val="en-US"/>
        </w:rPr>
        <w:t xml:space="preserve"> in children receiving chemotherapeutic</w:t>
      </w:r>
      <w:r>
        <w:rPr>
          <w:rFonts w:ascii="AdvPAC59" w:hAnsi="AdvPAC59" w:cs="AdvPAC59"/>
          <w:lang w:val="en-US"/>
        </w:rPr>
        <w:t xml:space="preserve"> </w:t>
      </w:r>
      <w:r>
        <w:rPr>
          <w:rFonts w:ascii="AdvPAC59" w:hAnsi="AdvPAC59" w:cs="AdvPAC59"/>
          <w:lang w:val="en-US"/>
        </w:rPr>
        <w:t xml:space="preserve">or immunosuppressive drugs. Recurrent PRES is a risk factor for long-term neurologic </w:t>
      </w:r>
      <w:proofErr w:type="spellStart"/>
      <w:r>
        <w:rPr>
          <w:rFonts w:ascii="AdvPAC59" w:hAnsi="AdvPAC59" w:cs="AdvPAC59"/>
          <w:lang w:val="en-US"/>
        </w:rPr>
        <w:t>sequelae</w:t>
      </w:r>
      <w:proofErr w:type="spellEnd"/>
      <w:r>
        <w:rPr>
          <w:rFonts w:ascii="AdvPAC59" w:hAnsi="AdvPAC59" w:cs="AdvPAC59"/>
          <w:lang w:val="en-US"/>
        </w:rPr>
        <w:t>.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</w:p>
    <w:p w:rsidR="00DF04E3" w:rsidRPr="009F389E" w:rsidRDefault="0028059F" w:rsidP="009F389E">
      <w:pPr>
        <w:pStyle w:val="HTMLPreformatted"/>
        <w:jc w:val="both"/>
        <w:rPr>
          <w:rFonts w:ascii="Times New Roman" w:hAnsi="Times New Roman" w:cs="Times New Roman"/>
          <w:i/>
          <w:iCs/>
          <w:sz w:val="24"/>
          <w:lang w:val="en-US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9F389E" w:rsidRPr="009F389E">
        <w:rPr>
          <w:rFonts w:ascii="AdvPAC59" w:hAnsi="AdvPAC59" w:cs="AdvPAC59"/>
          <w:lang w:val="en-US"/>
        </w:rPr>
        <w:t xml:space="preserve"> </w:t>
      </w:r>
      <w:r w:rsidR="009F389E">
        <w:rPr>
          <w:rFonts w:ascii="AdvPAC59" w:hAnsi="AdvPAC59" w:cs="AdvPAC59"/>
          <w:lang w:val="en-US"/>
        </w:rPr>
        <w:t xml:space="preserve">chemotherapy, neurologic </w:t>
      </w:r>
      <w:proofErr w:type="spellStart"/>
      <w:r w:rsidR="009F389E">
        <w:rPr>
          <w:rFonts w:ascii="AdvPAC59" w:hAnsi="AdvPAC59" w:cs="AdvPAC59"/>
          <w:lang w:val="en-US"/>
        </w:rPr>
        <w:t>sequelae</w:t>
      </w:r>
      <w:proofErr w:type="spellEnd"/>
      <w:r w:rsidR="009F389E">
        <w:rPr>
          <w:rFonts w:ascii="AdvPAC59" w:hAnsi="AdvPAC59" w:cs="AdvPAC59"/>
          <w:lang w:val="en-US"/>
        </w:rPr>
        <w:t>, outcome</w:t>
      </w:r>
      <w:r w:rsidR="009F389E">
        <w:rPr>
          <w:rFonts w:ascii="AdvPAC59" w:hAnsi="AdvPAC59" w:cs="AdvPAC59"/>
          <w:lang w:val="en-US"/>
        </w:rPr>
        <w:t xml:space="preserve">, </w:t>
      </w:r>
      <w:r w:rsidR="009F389E">
        <w:rPr>
          <w:rFonts w:ascii="AdvPAC59" w:hAnsi="AdvPAC59" w:cs="AdvPAC59"/>
          <w:lang w:val="en-US"/>
        </w:rPr>
        <w:t>PRES</w:t>
      </w:r>
      <w:r w:rsidR="009F389E">
        <w:rPr>
          <w:rFonts w:ascii="AdvPAC59" w:hAnsi="AdvPAC59" w:cs="AdvPAC59"/>
          <w:lang w:val="en-US"/>
        </w:rPr>
        <w:t>.</w:t>
      </w:r>
      <w:r w:rsidR="009F389E">
        <w:rPr>
          <w:rFonts w:ascii="AdvPAC59" w:hAnsi="AdvPAC59" w:cs="AdvPAC59"/>
          <w:lang w:val="en-US"/>
        </w:rPr>
        <w:t xml:space="preserve"> </w:t>
      </w: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C76E42" w:rsidP="00D81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</w:rPr>
      </w:pPr>
      <w:r w:rsidRPr="00D819A6">
        <w:rPr>
          <w:rFonts w:ascii="Times New Roman" w:hAnsi="Times New Roman" w:cs="Times New Roman"/>
          <w:iCs/>
          <w:sz w:val="24"/>
        </w:rPr>
        <w:t xml:space="preserve">Amira </w:t>
      </w:r>
      <w:proofErr w:type="spellStart"/>
      <w:r w:rsidRPr="00D819A6">
        <w:rPr>
          <w:rFonts w:ascii="Times New Roman" w:hAnsi="Times New Roman" w:cs="Times New Roman"/>
          <w:iCs/>
          <w:sz w:val="24"/>
        </w:rPr>
        <w:t>Hamed</w:t>
      </w:r>
      <w:proofErr w:type="spellEnd"/>
      <w:r w:rsidRPr="00D819A6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D819A6">
        <w:rPr>
          <w:rFonts w:ascii="Times New Roman" w:hAnsi="Times New Roman" w:cs="Times New Roman"/>
          <w:iCs/>
          <w:sz w:val="24"/>
        </w:rPr>
        <w:t>Darwish</w:t>
      </w:r>
      <w:proofErr w:type="spellEnd"/>
      <w:r w:rsidRPr="00D819A6">
        <w:rPr>
          <w:rFonts w:ascii="Times New Roman" w:hAnsi="Times New Roman" w:cs="Times New Roman"/>
          <w:iCs/>
          <w:sz w:val="24"/>
        </w:rPr>
        <w:t xml:space="preserve"> </w:t>
      </w:r>
      <w:r w:rsidR="00DF04E3" w:rsidRPr="00DF04E3">
        <w:rPr>
          <w:rFonts w:ascii="Times New Roman" w:hAnsi="Times New Roman" w:cs="Times New Roman"/>
          <w:iCs/>
          <w:sz w:val="24"/>
        </w:rPr>
        <w:t>has completed h</w:t>
      </w:r>
      <w:r>
        <w:rPr>
          <w:rFonts w:ascii="Times New Roman" w:hAnsi="Times New Roman" w:cs="Times New Roman"/>
          <w:iCs/>
          <w:sz w:val="24"/>
        </w:rPr>
        <w:t>er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M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D at the age of </w:t>
      </w:r>
      <w:r w:rsidR="002F4DF0">
        <w:rPr>
          <w:rFonts w:ascii="Times New Roman" w:hAnsi="Times New Roman" w:cs="Times New Roman"/>
          <w:iCs/>
          <w:sz w:val="24"/>
        </w:rPr>
        <w:t>3</w:t>
      </w:r>
      <w:r>
        <w:rPr>
          <w:rFonts w:ascii="Times New Roman" w:hAnsi="Times New Roman" w:cs="Times New Roman"/>
          <w:iCs/>
          <w:sz w:val="24"/>
        </w:rPr>
        <w:t>5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 w:rsidRPr="00D819A6">
        <w:rPr>
          <w:rFonts w:ascii="Times New Roman" w:hAnsi="Times New Roman" w:cs="Times New Roman"/>
          <w:iCs/>
          <w:sz w:val="24"/>
        </w:rPr>
        <w:t>Faculty of Medicine,</w:t>
      </w:r>
      <w:r w:rsidR="00D819A6" w:rsidRPr="00D819A6">
        <w:rPr>
          <w:rFonts w:ascii="Times New Roman" w:hAnsi="Times New Roman" w:cs="Times New Roman"/>
          <w:iCs/>
          <w:sz w:val="24"/>
        </w:rPr>
        <w:t xml:space="preserve"> </w:t>
      </w:r>
      <w:r w:rsidRPr="00D819A6">
        <w:rPr>
          <w:rFonts w:ascii="Times New Roman" w:hAnsi="Times New Roman" w:cs="Times New Roman"/>
          <w:iCs/>
          <w:sz w:val="24"/>
        </w:rPr>
        <w:t>(Tanta University Hospital, Egypt)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and postdoctoral studies from</w:t>
      </w:r>
      <w:r w:rsidR="00D819A6" w:rsidRPr="00D819A6">
        <w:rPr>
          <w:rFonts w:ascii="Times New Roman" w:hAnsi="Times New Roman" w:cs="Times New Roman"/>
          <w:iCs/>
          <w:sz w:val="24"/>
        </w:rPr>
        <w:t xml:space="preserve"> Tanta University</w:t>
      </w:r>
      <w:proofErr w:type="gramStart"/>
      <w:r w:rsidR="00D819A6" w:rsidRPr="00D819A6">
        <w:rPr>
          <w:rFonts w:ascii="Times New Roman" w:hAnsi="Times New Roman" w:cs="Times New Roman"/>
          <w:iCs/>
          <w:sz w:val="24"/>
        </w:rPr>
        <w:t xml:space="preserve">,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School</w:t>
      </w:r>
      <w:proofErr w:type="gramEnd"/>
      <w:r w:rsidR="00DF04E3" w:rsidRPr="00DF04E3">
        <w:rPr>
          <w:rFonts w:ascii="Times New Roman" w:hAnsi="Times New Roman" w:cs="Times New Roman"/>
          <w:iCs/>
          <w:sz w:val="24"/>
        </w:rPr>
        <w:t xml:space="preserve"> of Medicine. </w:t>
      </w:r>
      <w:r w:rsidR="00DF04E3">
        <w:rPr>
          <w:rFonts w:ascii="Times New Roman" w:hAnsi="Times New Roman" w:cs="Times New Roman"/>
          <w:iCs/>
          <w:sz w:val="24"/>
        </w:rPr>
        <w:t>She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is </w:t>
      </w:r>
      <w:r>
        <w:rPr>
          <w:rFonts w:ascii="Times New Roman" w:hAnsi="Times New Roman" w:cs="Times New Roman"/>
          <w:iCs/>
          <w:sz w:val="24"/>
        </w:rPr>
        <w:t xml:space="preserve">an associate professor of </w:t>
      </w:r>
      <w:proofErr w:type="spellStart"/>
      <w:r>
        <w:rPr>
          <w:rFonts w:ascii="Times New Roman" w:hAnsi="Times New Roman" w:cs="Times New Roman"/>
          <w:iCs/>
          <w:sz w:val="24"/>
        </w:rPr>
        <w:t>Pediatrics</w:t>
      </w:r>
      <w:proofErr w:type="spellEnd"/>
      <w:r w:rsidR="00DF04E3" w:rsidRPr="00DF04E3">
        <w:rPr>
          <w:rFonts w:ascii="Times New Roman" w:hAnsi="Times New Roman" w:cs="Times New Roman"/>
          <w:iCs/>
          <w:sz w:val="24"/>
        </w:rPr>
        <w:t xml:space="preserve">. </w:t>
      </w:r>
      <w:r w:rsidR="00D819A6">
        <w:rPr>
          <w:rFonts w:ascii="Times New Roman" w:hAnsi="Times New Roman" w:cs="Times New Roman"/>
          <w:iCs/>
          <w:sz w:val="24"/>
        </w:rPr>
        <w:t>Sh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e has published </w:t>
      </w:r>
      <w:r>
        <w:rPr>
          <w:rFonts w:ascii="Times New Roman" w:hAnsi="Times New Roman" w:cs="Times New Roman"/>
          <w:iCs/>
          <w:sz w:val="24"/>
        </w:rPr>
        <w:t>10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papers in reputed journals and has been serving as a</w:t>
      </w:r>
      <w:r>
        <w:rPr>
          <w:rFonts w:ascii="Times New Roman" w:hAnsi="Times New Roman" w:cs="Times New Roman"/>
          <w:iCs/>
          <w:sz w:val="24"/>
        </w:rPr>
        <w:t xml:space="preserve"> reviewer in many international journals</w:t>
      </w:r>
      <w:r w:rsidR="00DF04E3" w:rsidRPr="00DF04E3">
        <w:rPr>
          <w:rFonts w:ascii="Times New Roman" w:hAnsi="Times New Roman" w:cs="Times New Roman"/>
          <w:iCs/>
          <w:sz w:val="24"/>
        </w:rPr>
        <w:t>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661958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661958">
        <w:rPr>
          <w:noProof/>
          <w:lang w:val="en-US"/>
        </w:rPr>
        <w:drawing>
          <wp:inline distT="0" distB="0" distL="0" distR="0">
            <wp:extent cx="612000" cy="1377000"/>
            <wp:effectExtent l="0" t="0" r="0" b="0"/>
            <wp:docPr id="3" name="Picture 3" descr="C:\Users\Professional\IMG_٢٠١٩١١١٨_٠٧٢١٣١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ofessional\IMG_٢٠١٩١١١٨_٠٧٢١٣١[1]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54" t="12398" r="31436" b="10465"/>
                    <a:stretch/>
                  </pic:blipFill>
                  <pic:spPr bwMode="auto">
                    <a:xfrm>
                      <a:off x="0" y="0"/>
                      <a:ext cx="612000" cy="137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1958">
        <w:rPr>
          <w:noProof/>
          <w:lang w:val="en-US"/>
        </w:rPr>
        <w:t xml:space="preserve"> </w:t>
      </w:r>
      <w:r w:rsidR="00B3082B">
        <w:rPr>
          <w:noProof/>
          <w:lang w:val="en-US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7C58DE" w:rsidRDefault="00B3082B" w:rsidP="007C58DE">
      <w:pPr>
        <w:pStyle w:val="HTMLPreformatted"/>
        <w:jc w:val="right"/>
        <w:rPr>
          <w:rFonts w:ascii="Times New Roman" w:hAnsi="Times New Roman" w:cs="Times New Roman"/>
          <w:iCs/>
          <w:sz w:val="24"/>
          <w:lang w:val="en-US"/>
        </w:rPr>
      </w:pPr>
      <w:r w:rsidRPr="00B6703B">
        <w:rPr>
          <w:rFonts w:ascii="Times New Roman" w:hAnsi="Times New Roman" w:cs="Times New Roman"/>
          <w:iCs/>
          <w:sz w:val="24"/>
        </w:rPr>
        <w:t>Email Id</w:t>
      </w:r>
      <w:proofErr w:type="gramStart"/>
      <w:r w:rsidRPr="00B6703B">
        <w:rPr>
          <w:rFonts w:ascii="Times New Roman" w:hAnsi="Times New Roman" w:cs="Times New Roman"/>
          <w:iCs/>
          <w:sz w:val="24"/>
        </w:rPr>
        <w:t>:</w:t>
      </w:r>
      <w:r w:rsidR="007C58DE">
        <w:rPr>
          <w:rFonts w:ascii="AdvPAC59" w:hAnsi="AdvPAC59" w:cs="AdvPAC59"/>
          <w:sz w:val="16"/>
          <w:szCs w:val="16"/>
          <w:lang w:val="en-US"/>
        </w:rPr>
        <w:t>:</w:t>
      </w:r>
      <w:proofErr w:type="gramEnd"/>
      <w:r w:rsidR="007C58DE">
        <w:rPr>
          <w:rFonts w:ascii="AdvPAC59" w:hAnsi="AdvPAC59" w:cs="AdvPAC59"/>
          <w:sz w:val="16"/>
          <w:szCs w:val="16"/>
          <w:lang w:val="en-US"/>
        </w:rPr>
        <w:t xml:space="preserve"> amira.darwish@med.tanta.edu.eg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</w:p>
    <w:bookmarkEnd w:id="0"/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72E6" w:rsidRDefault="00AD72E6" w:rsidP="00495C76">
      <w:pPr>
        <w:spacing w:after="0" w:line="240" w:lineRule="auto"/>
      </w:pPr>
      <w:r>
        <w:separator/>
      </w:r>
    </w:p>
  </w:endnote>
  <w:endnote w:type="continuationSeparator" w:id="0">
    <w:p w:rsidR="00AD72E6" w:rsidRDefault="00AD72E6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dvPAC5A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PAC59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Pi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PAC5B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72E6" w:rsidRDefault="00AD72E6" w:rsidP="00495C76">
      <w:pPr>
        <w:spacing w:after="0" w:line="240" w:lineRule="auto"/>
      </w:pPr>
      <w:r>
        <w:separator/>
      </w:r>
    </w:p>
  </w:footnote>
  <w:footnote w:type="continuationSeparator" w:id="0">
    <w:p w:rsidR="00AD72E6" w:rsidRDefault="00AD72E6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0B48E8"/>
    <w:rsid w:val="002350BC"/>
    <w:rsid w:val="0028059F"/>
    <w:rsid w:val="002A63DA"/>
    <w:rsid w:val="002F4DF0"/>
    <w:rsid w:val="00333E31"/>
    <w:rsid w:val="0038483D"/>
    <w:rsid w:val="00435234"/>
    <w:rsid w:val="00495C76"/>
    <w:rsid w:val="00627419"/>
    <w:rsid w:val="00661958"/>
    <w:rsid w:val="007C58DE"/>
    <w:rsid w:val="009F389E"/>
    <w:rsid w:val="00AD72E6"/>
    <w:rsid w:val="00B3082B"/>
    <w:rsid w:val="00B6703B"/>
    <w:rsid w:val="00BA654F"/>
    <w:rsid w:val="00C76E42"/>
    <w:rsid w:val="00CE511D"/>
    <w:rsid w:val="00D819A6"/>
    <w:rsid w:val="00D9156C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DB6AB97F-AE1E-48DC-BB4E-FF8064D41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amira.darwish@med.tanta.edu.eg</cp:lastModifiedBy>
  <cp:revision>16</cp:revision>
  <dcterms:created xsi:type="dcterms:W3CDTF">2017-03-28T12:12:00Z</dcterms:created>
  <dcterms:modified xsi:type="dcterms:W3CDTF">2020-01-18T20:10:00Z</dcterms:modified>
</cp:coreProperties>
</file>