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C029E" w:rsidRPr="0079577D" w:rsidRDefault="000C029E" w:rsidP="000C029E">
      <w:pPr>
        <w:pStyle w:val="MDPI12title"/>
        <w:rPr>
          <w:rFonts w:ascii="Palatino Linotype" w:hAnsi="Palatino Linotype"/>
          <w:sz w:val="28"/>
          <w:szCs w:val="28"/>
        </w:rPr>
      </w:pPr>
      <w:r w:rsidRPr="0079577D">
        <w:rPr>
          <w:rFonts w:ascii="Palatino Linotype" w:hAnsi="Palatino Linotype"/>
          <w:sz w:val="28"/>
          <w:szCs w:val="28"/>
        </w:rPr>
        <w:t>CRISPR-Cas technology: emerging applications in clinical microbiology and infectious diseases</w:t>
      </w:r>
    </w:p>
    <w:p w:rsidR="00AE3E37" w:rsidRDefault="000C029E" w:rsidP="000C029E">
      <w:pPr>
        <w:rPr>
          <w:rFonts w:ascii="Palatino Linotype" w:hAnsi="Palatino Linotype"/>
          <w:sz w:val="16"/>
          <w:szCs w:val="16"/>
          <w:lang w:val="pt-PT"/>
        </w:rPr>
      </w:pPr>
      <w:r w:rsidRPr="0079577D">
        <w:rPr>
          <w:rFonts w:ascii="Palatino Linotype" w:hAnsi="Palatino Linotype"/>
          <w:sz w:val="16"/>
          <w:szCs w:val="16"/>
          <w:lang w:val="pt-PT"/>
        </w:rPr>
        <w:t>Sahar Serajian, Ehsan Ahmadpour, Sonia M. Rodrigues Oliveira, Maria de Lourdes Pereira</w:t>
      </w:r>
      <w:r w:rsidR="0079577D" w:rsidRPr="0079577D">
        <w:rPr>
          <w:rFonts w:ascii="Palatino Linotype" w:hAnsi="Palatino Linotype"/>
          <w:sz w:val="16"/>
          <w:szCs w:val="16"/>
          <w:vertAlign w:val="superscript"/>
          <w:lang w:val="pt-PT"/>
        </w:rPr>
        <w:t xml:space="preserve"> </w:t>
      </w:r>
      <w:r w:rsidRPr="0079577D">
        <w:rPr>
          <w:rFonts w:ascii="Palatino Linotype" w:hAnsi="Palatino Linotype"/>
          <w:sz w:val="16"/>
          <w:szCs w:val="16"/>
          <w:lang w:val="pt-PT"/>
        </w:rPr>
        <w:t>and Siamak Heidarzadeh</w:t>
      </w:r>
    </w:p>
    <w:p w:rsidR="00426B03" w:rsidRDefault="00426B03" w:rsidP="00426B03">
      <w:pPr>
        <w:pStyle w:val="MDPI16affiliation"/>
        <w:ind w:left="2608" w:firstLine="0"/>
        <w:rPr>
          <w:rFonts w:ascii="Palatino Linotype" w:hAnsi="Palatino Linotype"/>
        </w:rPr>
      </w:pPr>
      <w:r>
        <w:rPr>
          <w:rFonts w:ascii="Palatino Linotype" w:hAnsi="Palatino Linotype"/>
          <w:vertAlign w:val="superscript"/>
        </w:rPr>
        <w:t>1</w:t>
      </w:r>
      <w:r>
        <w:rPr>
          <w:rFonts w:ascii="Palatino Linotype" w:hAnsi="Palatino Linotype"/>
        </w:rPr>
        <w:t xml:space="preserve"> Department of Molecular Systems Biology, Cell Science Research Center, </w:t>
      </w:r>
      <w:proofErr w:type="spellStart"/>
      <w:r>
        <w:rPr>
          <w:rFonts w:ascii="Palatino Linotype" w:hAnsi="Palatino Linotype"/>
        </w:rPr>
        <w:t>Royan</w:t>
      </w:r>
      <w:proofErr w:type="spellEnd"/>
      <w:r>
        <w:rPr>
          <w:rFonts w:ascii="Palatino Linotype" w:hAnsi="Palatino Linotype"/>
        </w:rPr>
        <w:t xml:space="preserve"> Institute for Stem Cell Biology and Technology, ACECR, Tehran, Iran.</w:t>
      </w:r>
    </w:p>
    <w:p w:rsidR="00426B03" w:rsidRDefault="00426B03" w:rsidP="00426B03">
      <w:pPr>
        <w:pStyle w:val="MDPI16affiliation"/>
        <w:ind w:left="2608" w:firstLine="0"/>
        <w:rPr>
          <w:rFonts w:ascii="Palatino Linotype" w:hAnsi="Palatino Linotype"/>
        </w:rPr>
      </w:pPr>
      <w:r>
        <w:rPr>
          <w:rFonts w:ascii="Palatino Linotype" w:hAnsi="Palatino Linotype"/>
          <w:vertAlign w:val="superscript"/>
        </w:rPr>
        <w:t>2</w:t>
      </w:r>
      <w:r>
        <w:rPr>
          <w:rFonts w:ascii="Palatino Linotype" w:hAnsi="Palatino Linotype"/>
        </w:rPr>
        <w:t xml:space="preserve"> Infectious and Tropical Diseases Research Center, Tabriz University of Medical Sciences, Tabriz, Iran.</w:t>
      </w:r>
    </w:p>
    <w:p w:rsidR="00426B03" w:rsidRDefault="00426B03" w:rsidP="00426B03">
      <w:pPr>
        <w:pStyle w:val="MDPI16affiliation"/>
        <w:ind w:left="2608" w:firstLine="0"/>
        <w:rPr>
          <w:rFonts w:ascii="Palatino Linotype" w:hAnsi="Palatino Linotype"/>
        </w:rPr>
      </w:pPr>
      <w:r>
        <w:rPr>
          <w:rFonts w:ascii="Palatino Linotype" w:hAnsi="Palatino Linotype"/>
          <w:vertAlign w:val="superscript"/>
        </w:rPr>
        <w:t>3</w:t>
      </w:r>
      <w:r>
        <w:rPr>
          <w:rFonts w:ascii="Palatino Linotype" w:hAnsi="Palatino Linotype"/>
        </w:rPr>
        <w:t xml:space="preserve"> Immunology Research Center, Tabriz University of Medical Sciences, Tabriz, Iran</w:t>
      </w:r>
    </w:p>
    <w:p w:rsidR="00426B03" w:rsidRDefault="00426B03" w:rsidP="00426B03">
      <w:pPr>
        <w:pStyle w:val="MDPI16affiliation"/>
        <w:ind w:left="2608" w:firstLine="0"/>
        <w:rPr>
          <w:rFonts w:ascii="Palatino Linotype" w:hAnsi="Palatino Linotype"/>
          <w:lang w:val="pt-PT"/>
        </w:rPr>
      </w:pPr>
      <w:r>
        <w:rPr>
          <w:rFonts w:ascii="Palatino Linotype" w:hAnsi="Palatino Linotype"/>
          <w:vertAlign w:val="superscript"/>
          <w:lang w:val="pt-PT"/>
        </w:rPr>
        <w:t>4</w:t>
      </w:r>
      <w:r>
        <w:rPr>
          <w:rFonts w:ascii="Palatino Linotype" w:hAnsi="Palatino Linotype"/>
          <w:lang w:val="pt-PT"/>
        </w:rPr>
        <w:t xml:space="preserve"> CICECO - Aveiro Institute of Materials, University of Aveiro, 3810-193 Aveiro, Portugal</w:t>
      </w:r>
    </w:p>
    <w:p w:rsidR="00426B03" w:rsidRDefault="00426B03" w:rsidP="00426B03">
      <w:pPr>
        <w:pStyle w:val="MDPI16affiliation"/>
        <w:ind w:left="2608" w:firstLine="0"/>
        <w:rPr>
          <w:rFonts w:ascii="Palatino Linotype" w:hAnsi="Palatino Linotype"/>
        </w:rPr>
      </w:pPr>
      <w:r>
        <w:rPr>
          <w:rFonts w:ascii="Palatino Linotype" w:hAnsi="Palatino Linotype"/>
          <w:vertAlign w:val="superscript"/>
        </w:rPr>
        <w:t>5</w:t>
      </w:r>
      <w:r>
        <w:rPr>
          <w:rFonts w:ascii="Palatino Linotype" w:hAnsi="Palatino Linotype"/>
        </w:rPr>
        <w:t xml:space="preserve"> Hunter Medical Research Institute, New Lambton, NSW 2305, Australia</w:t>
      </w:r>
    </w:p>
    <w:p w:rsidR="00426B03" w:rsidRDefault="00426B03" w:rsidP="00426B03">
      <w:pPr>
        <w:pStyle w:val="MDPI16affiliation"/>
        <w:ind w:left="2608" w:firstLine="0"/>
        <w:rPr>
          <w:rFonts w:ascii="Palatino Linotype" w:hAnsi="Palatino Linotype"/>
        </w:rPr>
      </w:pPr>
      <w:r>
        <w:rPr>
          <w:rFonts w:ascii="Palatino Linotype" w:hAnsi="Palatino Linotype"/>
          <w:vertAlign w:val="superscript"/>
        </w:rPr>
        <w:t>6</w:t>
      </w:r>
      <w:r>
        <w:rPr>
          <w:rFonts w:ascii="Palatino Linotype" w:hAnsi="Palatino Linotype"/>
        </w:rPr>
        <w:t xml:space="preserve"> Department of Medical Sciences, University of Aveiro, 3810-193 Aveiro, Portugal</w:t>
      </w:r>
    </w:p>
    <w:p w:rsidR="00426B03" w:rsidRDefault="00426B03" w:rsidP="00426B03">
      <w:pPr>
        <w:pStyle w:val="MDPI16affiliation"/>
        <w:ind w:left="2608" w:firstLine="0"/>
        <w:rPr>
          <w:rFonts w:ascii="Palatino Linotype" w:hAnsi="Palatino Linotype"/>
        </w:rPr>
      </w:pPr>
      <w:r>
        <w:rPr>
          <w:rFonts w:ascii="Palatino Linotype" w:hAnsi="Palatino Linotype"/>
          <w:vertAlign w:val="superscript"/>
        </w:rPr>
        <w:t>7</w:t>
      </w:r>
      <w:r>
        <w:rPr>
          <w:rFonts w:ascii="Palatino Linotype" w:hAnsi="Palatino Linotype"/>
        </w:rPr>
        <w:t xml:space="preserve"> Department of Microbiology and Virology, School of Medicine, </w:t>
      </w:r>
      <w:proofErr w:type="spellStart"/>
      <w:r>
        <w:rPr>
          <w:rFonts w:ascii="Palatino Linotype" w:hAnsi="Palatino Linotype"/>
        </w:rPr>
        <w:t>Zanjan</w:t>
      </w:r>
      <w:proofErr w:type="spellEnd"/>
      <w:r>
        <w:rPr>
          <w:rFonts w:ascii="Palatino Linotype" w:hAnsi="Palatino Linotype"/>
        </w:rPr>
        <w:t xml:space="preserve"> University of Medical Sciences, </w:t>
      </w:r>
      <w:proofErr w:type="spellStart"/>
      <w:r>
        <w:rPr>
          <w:rFonts w:ascii="Palatino Linotype" w:hAnsi="Palatino Linotype"/>
        </w:rPr>
        <w:t>Zanjan</w:t>
      </w:r>
      <w:proofErr w:type="spellEnd"/>
      <w:r>
        <w:rPr>
          <w:rFonts w:ascii="Palatino Linotype" w:hAnsi="Palatino Linotype"/>
        </w:rPr>
        <w:t>, Iran</w:t>
      </w:r>
    </w:p>
    <w:p w:rsidR="00426B03" w:rsidRPr="0079577D" w:rsidRDefault="00426B03" w:rsidP="000C029E">
      <w:pPr>
        <w:rPr>
          <w:rFonts w:ascii="Arial"/>
          <w:sz w:val="16"/>
          <w:szCs w:val="16"/>
        </w:rPr>
        <w:sectPr w:rsidR="00426B03" w:rsidRPr="0079577D">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rsidR="00867240" w:rsidRPr="00867240" w:rsidRDefault="00867240" w:rsidP="00867240">
      <w:pPr>
        <w:rPr>
          <w:rFonts w:asciiTheme="majorBidi" w:hAnsiTheme="majorBidi" w:cstheme="majorBidi"/>
          <w:sz w:val="20"/>
          <w:szCs w:val="20"/>
        </w:rPr>
      </w:pPr>
      <w:r w:rsidRPr="00867240">
        <w:rPr>
          <w:rFonts w:asciiTheme="majorBidi" w:hAnsiTheme="majorBidi" w:cstheme="majorBidi"/>
          <w:sz w:val="20"/>
          <w:szCs w:val="20"/>
        </w:rPr>
        <w:t>Through the years, many promising tools for gene editing have been developed including zinc-finger nucleases (ZFNs), transcription activator-like effector nucleases (TALENs), CRISPR-associated protein 9 (Cas9), and homing endonucleases (HEs). These novel technologies are now leading new scientific advancements and practical applications at an inimitable speed. While most work has been performed in eukaryotes, CRISPR systems also enable tools to understand and engineer bacteria. The increase in the number of multi-drug resistant strains highlights a necessity for more innovative approaches to the diagnosis and treatment of infections. CRISPR has given scientists a glimmer of hope in this area that can provide a novel tool to fight against antimicrobial resistance. This system can provide useful information about the functions of genes and aid us to find potential targets for antimicrobials. In this way, several obstacles such as the efficiency of CRISPR- Cas systems delivery, developing resistance against CRISPR-Cas, and Legislation of CRISPR-Cas-Based Antimicrobials are still major concerns.</w:t>
      </w:r>
    </w:p>
    <w:p w:rsidR="00867240" w:rsidRPr="00867240" w:rsidRDefault="00867240" w:rsidP="00867240">
      <w:pPr>
        <w:rPr>
          <w:rFonts w:asciiTheme="majorBidi" w:hAnsiTheme="majorBidi" w:cstheme="majorBidi"/>
          <w:sz w:val="20"/>
          <w:szCs w:val="20"/>
        </w:rPr>
      </w:pPr>
      <w:r w:rsidRPr="00867240">
        <w:rPr>
          <w:rFonts w:asciiTheme="majorBidi" w:hAnsiTheme="majorBidi" w:cstheme="majorBidi"/>
          <w:sz w:val="20"/>
          <w:szCs w:val="20"/>
        </w:rPr>
        <w:t>This paper discusses the emerging use of CRISPR-Cas systems in the fields of clinical microbiology and infectious diseases with a particular emphasis on future prospects.</w:t>
      </w:r>
    </w:p>
    <w:p w:rsidR="00867240" w:rsidRDefault="00867240" w:rsidP="00867240">
      <w:pPr>
        <w:tabs>
          <w:tab w:val="left" w:pos="5565"/>
        </w:tabs>
        <w:rPr>
          <w:rFonts w:ascii="Cambria" w:hAnsi="Cambria" w:cstheme="majorBidi"/>
          <w:sz w:val="28"/>
          <w:szCs w:val="28"/>
        </w:rPr>
      </w:pPr>
    </w:p>
    <w:p w:rsidR="000B4DA9" w:rsidRDefault="000B4DA9" w:rsidP="000B4DA9">
      <w:pPr>
        <w:tabs>
          <w:tab w:val="left" w:pos="5565"/>
        </w:tabs>
        <w:rPr>
          <w:rFonts w:ascii="Arial"/>
          <w:b/>
          <w:color w:val="BF5A14"/>
          <w:sz w:val="20"/>
        </w:rPr>
      </w:pPr>
      <w:r>
        <w:rPr>
          <w:rFonts w:ascii="Arial"/>
          <w:b/>
          <w:color w:val="BF5A14"/>
          <w:sz w:val="20"/>
        </w:rPr>
        <w:t>Image</w:t>
      </w:r>
    </w:p>
    <w:p w:rsidR="000B4DA9" w:rsidRDefault="000B4DA9" w:rsidP="000B4DA9">
      <w:pPr>
        <w:tabs>
          <w:tab w:val="left" w:pos="5565"/>
        </w:tabs>
        <w:rPr>
          <w:rFonts w:ascii="Arial"/>
          <w:b/>
          <w:color w:val="BF5A14"/>
          <w:sz w:val="20"/>
        </w:rPr>
      </w:pPr>
    </w:p>
    <w:p w:rsidR="000B4DA9" w:rsidRPr="000B4DA9" w:rsidRDefault="000B4DA9" w:rsidP="000B4DA9">
      <w:pPr>
        <w:tabs>
          <w:tab w:val="left" w:pos="5565"/>
        </w:tabs>
        <w:rPr>
          <w:rFonts w:ascii="Cambria" w:hAnsi="Cambria" w:cstheme="majorBidi"/>
          <w:sz w:val="28"/>
          <w:szCs w:val="28"/>
        </w:rPr>
      </w:pPr>
      <w:bookmarkStart w:id="0" w:name="_GoBack"/>
      <w:r>
        <w:rPr>
          <w:noProof/>
        </w:rPr>
        <w:drawing>
          <wp:inline distT="0" distB="0" distL="0" distR="0">
            <wp:extent cx="2926080" cy="2373543"/>
            <wp:effectExtent l="0" t="0" r="762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4169" cy="2388216"/>
                    </a:xfrm>
                    <a:prstGeom prst="rect">
                      <a:avLst/>
                    </a:prstGeom>
                    <a:noFill/>
                    <a:ln>
                      <a:noFill/>
                    </a:ln>
                  </pic:spPr>
                </pic:pic>
              </a:graphicData>
            </a:graphic>
          </wp:inline>
        </w:drawing>
      </w:r>
      <w:bookmarkEnd w:id="0"/>
    </w:p>
    <w:p w:rsidR="002362C4" w:rsidRDefault="002362C4" w:rsidP="00867240">
      <w:pPr>
        <w:tabs>
          <w:tab w:val="left" w:pos="5565"/>
        </w:tabs>
        <w:rPr>
          <w:rFonts w:ascii="Cambria" w:hAnsi="Cambria" w:cstheme="majorBidi"/>
          <w:sz w:val="28"/>
          <w:szCs w:val="28"/>
        </w:rPr>
      </w:pPr>
    </w:p>
    <w:p w:rsidR="000B4DA9" w:rsidRDefault="00867240" w:rsidP="000B4DA9">
      <w:pPr>
        <w:tabs>
          <w:tab w:val="left" w:pos="5565"/>
        </w:tabs>
        <w:rPr>
          <w:rFonts w:ascii="Calibri" w:hAnsi="Calibri"/>
        </w:rPr>
      </w:pPr>
      <w:r w:rsidRPr="00AC4088">
        <w:rPr>
          <w:rFonts w:ascii="Cambria" w:hAnsi="Cambria" w:cstheme="majorBidi"/>
          <w:sz w:val="28"/>
          <w:szCs w:val="28"/>
        </w:rPr>
        <w:tab/>
      </w:r>
    </w:p>
    <w:p w:rsidR="000B4DA9" w:rsidRDefault="000B4DA9">
      <w:pPr>
        <w:spacing w:line="200" w:lineRule="exact"/>
        <w:jc w:val="both"/>
        <w:rPr>
          <w:rFonts w:ascii="Calibri" w:hAnsi="Calibri"/>
        </w:rPr>
      </w:pPr>
    </w:p>
    <w:p w:rsidR="000B4DA9" w:rsidRDefault="000B4DA9">
      <w:pPr>
        <w:spacing w:line="200" w:lineRule="exact"/>
        <w:jc w:val="both"/>
        <w:rPr>
          <w:rFonts w:ascii="Calibri" w:hAnsi="Calibri"/>
        </w:rPr>
      </w:pPr>
    </w:p>
    <w:p w:rsidR="000B4DA9" w:rsidRDefault="000B4DA9">
      <w:pPr>
        <w:spacing w:line="200" w:lineRule="exact"/>
        <w:jc w:val="both"/>
        <w:rPr>
          <w:rFonts w:ascii="Calibri" w:hAnsi="Calibri"/>
        </w:rPr>
      </w:pPr>
    </w:p>
    <w:p w:rsidR="000B4DA9" w:rsidRDefault="000B4DA9">
      <w:pPr>
        <w:spacing w:line="200" w:lineRule="exact"/>
        <w:jc w:val="both"/>
        <w:rPr>
          <w:rFonts w:ascii="Calibri" w:hAnsi="Calibri"/>
        </w:rPr>
      </w:pPr>
    </w:p>
    <w:p w:rsidR="000B4DA9" w:rsidRPr="000B4DA9" w:rsidRDefault="000B4DA9" w:rsidP="000B4DA9">
      <w:pPr>
        <w:tabs>
          <w:tab w:val="left" w:pos="5565"/>
        </w:tabs>
        <w:rPr>
          <w:rFonts w:ascii="Cambria" w:hAnsi="Cambria" w:cstheme="majorBidi"/>
          <w:sz w:val="28"/>
          <w:szCs w:val="28"/>
        </w:rPr>
      </w:pPr>
      <w:r>
        <w:rPr>
          <w:rFonts w:ascii="Arial"/>
          <w:b/>
          <w:color w:val="BF5A14"/>
          <w:sz w:val="20"/>
        </w:rPr>
        <w:t>Recent Publication</w:t>
      </w:r>
    </w:p>
    <w:p w:rsidR="000B4DA9" w:rsidRPr="000C029E" w:rsidRDefault="000B4DA9" w:rsidP="000B4DA9">
      <w:pPr>
        <w:pStyle w:val="ListParagraph"/>
        <w:numPr>
          <w:ilvl w:val="0"/>
          <w:numId w:val="3"/>
        </w:numPr>
        <w:tabs>
          <w:tab w:val="left" w:pos="384"/>
        </w:tabs>
        <w:spacing w:line="216" w:lineRule="exact"/>
        <w:ind w:right="137" w:hanging="283"/>
        <w:rPr>
          <w:rFonts w:asciiTheme="majorBidi" w:hAnsiTheme="majorBidi" w:cstheme="majorBidi"/>
          <w:sz w:val="18"/>
          <w:szCs w:val="18"/>
        </w:rPr>
      </w:pPr>
      <w:proofErr w:type="spellStart"/>
      <w:r w:rsidRPr="000C029E">
        <w:rPr>
          <w:rFonts w:asciiTheme="majorBidi" w:hAnsiTheme="majorBidi" w:cstheme="majorBidi"/>
          <w:color w:val="212121"/>
          <w:sz w:val="18"/>
          <w:szCs w:val="18"/>
          <w:shd w:val="clear" w:color="auto" w:fill="FFFFFF"/>
        </w:rPr>
        <w:t>Serajian</w:t>
      </w:r>
      <w:proofErr w:type="spellEnd"/>
      <w:r w:rsidRPr="000C029E">
        <w:rPr>
          <w:rFonts w:asciiTheme="majorBidi" w:hAnsiTheme="majorBidi" w:cstheme="majorBidi"/>
          <w:color w:val="212121"/>
          <w:sz w:val="18"/>
          <w:szCs w:val="18"/>
          <w:shd w:val="clear" w:color="auto" w:fill="FFFFFF"/>
        </w:rPr>
        <w:t xml:space="preserve"> S, </w:t>
      </w:r>
      <w:proofErr w:type="spellStart"/>
      <w:r w:rsidRPr="000C029E">
        <w:rPr>
          <w:rFonts w:asciiTheme="majorBidi" w:hAnsiTheme="majorBidi" w:cstheme="majorBidi"/>
          <w:color w:val="212121"/>
          <w:sz w:val="18"/>
          <w:szCs w:val="18"/>
          <w:shd w:val="clear" w:color="auto" w:fill="FFFFFF"/>
        </w:rPr>
        <w:t>Ahmadpour</w:t>
      </w:r>
      <w:proofErr w:type="spellEnd"/>
      <w:r w:rsidRPr="000C029E">
        <w:rPr>
          <w:rFonts w:asciiTheme="majorBidi" w:hAnsiTheme="majorBidi" w:cstheme="majorBidi"/>
          <w:color w:val="212121"/>
          <w:sz w:val="18"/>
          <w:szCs w:val="18"/>
          <w:shd w:val="clear" w:color="auto" w:fill="FFFFFF"/>
        </w:rPr>
        <w:t xml:space="preserve"> E, Oliveira SMR, Pereira ML, </w:t>
      </w:r>
      <w:proofErr w:type="spellStart"/>
      <w:r w:rsidRPr="000C029E">
        <w:rPr>
          <w:rFonts w:asciiTheme="majorBidi" w:hAnsiTheme="majorBidi" w:cstheme="majorBidi"/>
          <w:color w:val="212121"/>
          <w:sz w:val="18"/>
          <w:szCs w:val="18"/>
          <w:shd w:val="clear" w:color="auto" w:fill="FFFFFF"/>
        </w:rPr>
        <w:t>Heidarzadeh</w:t>
      </w:r>
      <w:proofErr w:type="spellEnd"/>
      <w:r w:rsidRPr="000C029E">
        <w:rPr>
          <w:rFonts w:asciiTheme="majorBidi" w:hAnsiTheme="majorBidi" w:cstheme="majorBidi"/>
          <w:color w:val="212121"/>
          <w:sz w:val="18"/>
          <w:szCs w:val="18"/>
          <w:shd w:val="clear" w:color="auto" w:fill="FFFFFF"/>
        </w:rPr>
        <w:t xml:space="preserve"> S. CRISPR-Cas Technology: Emerging Applications in Clinical Microbiology and Infectious Diseases. Pharmaceuticals (Basel). 2021 Nov 17;14(11):1171.</w:t>
      </w:r>
      <w:r w:rsidRPr="000C029E">
        <w:rPr>
          <w:rFonts w:asciiTheme="majorBidi" w:hAnsiTheme="majorBidi" w:cstheme="majorBidi"/>
          <w:sz w:val="18"/>
          <w:szCs w:val="18"/>
        </w:rPr>
        <w:t xml:space="preserve"> </w:t>
      </w:r>
    </w:p>
    <w:p w:rsidR="000B4DA9" w:rsidRPr="000C029E" w:rsidRDefault="000B4DA9" w:rsidP="000B4DA9">
      <w:pPr>
        <w:pStyle w:val="ListParagraph"/>
        <w:numPr>
          <w:ilvl w:val="0"/>
          <w:numId w:val="3"/>
        </w:numPr>
        <w:tabs>
          <w:tab w:val="left" w:pos="384"/>
        </w:tabs>
        <w:spacing w:before="92" w:line="218" w:lineRule="exact"/>
        <w:ind w:hanging="283"/>
        <w:rPr>
          <w:rFonts w:asciiTheme="majorBidi" w:hAnsiTheme="majorBidi" w:cstheme="majorBidi"/>
          <w:sz w:val="18"/>
          <w:szCs w:val="18"/>
        </w:rPr>
      </w:pPr>
      <w:proofErr w:type="spellStart"/>
      <w:r w:rsidRPr="000C029E">
        <w:rPr>
          <w:rFonts w:asciiTheme="majorBidi" w:eastAsiaTheme="minorHAnsi" w:hAnsiTheme="majorBidi" w:cstheme="majorBidi"/>
          <w:sz w:val="18"/>
          <w:szCs w:val="18"/>
        </w:rPr>
        <w:t>Serajian</w:t>
      </w:r>
      <w:proofErr w:type="spellEnd"/>
      <w:r w:rsidRPr="000C029E">
        <w:rPr>
          <w:rFonts w:asciiTheme="majorBidi" w:eastAsiaTheme="minorHAnsi" w:hAnsiTheme="majorBidi" w:cstheme="majorBidi"/>
          <w:sz w:val="18"/>
          <w:szCs w:val="18"/>
        </w:rPr>
        <w:t xml:space="preserve"> S, </w:t>
      </w:r>
      <w:proofErr w:type="spellStart"/>
      <w:r w:rsidRPr="000C029E">
        <w:rPr>
          <w:rFonts w:asciiTheme="majorBidi" w:eastAsiaTheme="minorHAnsi" w:hAnsiTheme="majorBidi" w:cstheme="majorBidi"/>
          <w:sz w:val="18"/>
          <w:szCs w:val="18"/>
        </w:rPr>
        <w:t>mohyeddin</w:t>
      </w:r>
      <w:proofErr w:type="spellEnd"/>
      <w:r w:rsidRPr="000C029E">
        <w:rPr>
          <w:rFonts w:asciiTheme="majorBidi" w:eastAsiaTheme="minorHAnsi" w:hAnsiTheme="majorBidi" w:cstheme="majorBidi"/>
          <w:sz w:val="18"/>
          <w:szCs w:val="18"/>
        </w:rPr>
        <w:t xml:space="preserve"> </w:t>
      </w:r>
      <w:proofErr w:type="spellStart"/>
      <w:r w:rsidRPr="000C029E">
        <w:rPr>
          <w:rFonts w:asciiTheme="majorBidi" w:eastAsiaTheme="minorHAnsi" w:hAnsiTheme="majorBidi" w:cstheme="majorBidi"/>
          <w:sz w:val="18"/>
          <w:szCs w:val="18"/>
        </w:rPr>
        <w:t>kazemeini</w:t>
      </w:r>
      <w:proofErr w:type="spellEnd"/>
      <w:r w:rsidRPr="000C029E">
        <w:rPr>
          <w:rFonts w:asciiTheme="majorBidi" w:eastAsiaTheme="minorHAnsi" w:hAnsiTheme="majorBidi" w:cstheme="majorBidi"/>
          <w:sz w:val="18"/>
          <w:szCs w:val="18"/>
        </w:rPr>
        <w:t xml:space="preserve"> m, </w:t>
      </w:r>
      <w:proofErr w:type="spellStart"/>
      <w:r w:rsidRPr="000C029E">
        <w:rPr>
          <w:rFonts w:asciiTheme="majorBidi" w:eastAsiaTheme="minorHAnsi" w:hAnsiTheme="majorBidi" w:cstheme="majorBidi"/>
          <w:sz w:val="18"/>
          <w:szCs w:val="18"/>
        </w:rPr>
        <w:t>Heidarzadeh</w:t>
      </w:r>
      <w:proofErr w:type="spellEnd"/>
      <w:r w:rsidRPr="000C029E">
        <w:rPr>
          <w:rFonts w:asciiTheme="majorBidi" w:eastAsiaTheme="minorHAnsi" w:hAnsiTheme="majorBidi" w:cstheme="majorBidi"/>
          <w:sz w:val="18"/>
          <w:szCs w:val="18"/>
        </w:rPr>
        <w:t xml:space="preserve"> S. Epidemiology of urinary tract infection and antibiotic resistance pattern of E. coli in patients referred to Shahid Beheshti hospital in </w:t>
      </w:r>
      <w:proofErr w:type="spellStart"/>
      <w:r w:rsidRPr="000C029E">
        <w:rPr>
          <w:rFonts w:asciiTheme="majorBidi" w:eastAsiaTheme="minorHAnsi" w:hAnsiTheme="majorBidi" w:cstheme="majorBidi"/>
          <w:sz w:val="18"/>
          <w:szCs w:val="18"/>
        </w:rPr>
        <w:t>Zanjan</w:t>
      </w:r>
      <w:proofErr w:type="spellEnd"/>
      <w:r w:rsidRPr="000C029E">
        <w:rPr>
          <w:rFonts w:asciiTheme="majorBidi" w:eastAsiaTheme="minorHAnsi" w:hAnsiTheme="majorBidi" w:cstheme="majorBidi"/>
          <w:sz w:val="18"/>
          <w:szCs w:val="18"/>
        </w:rPr>
        <w:t xml:space="preserve">, Iran.  </w:t>
      </w:r>
      <w:hyperlink r:id="rId10" w:tooltip="20th International Congress of Microbiology of Iran" w:history="1">
        <w:r w:rsidRPr="000C029E">
          <w:rPr>
            <w:rStyle w:val="Hyperlink"/>
            <w:rFonts w:asciiTheme="majorBidi" w:hAnsiTheme="majorBidi" w:cstheme="majorBidi"/>
            <w:color w:val="111111"/>
            <w:sz w:val="18"/>
            <w:szCs w:val="18"/>
            <w:u w:val="none"/>
          </w:rPr>
          <w:t>20th International Congress of Microbiology of Iran</w:t>
        </w:r>
      </w:hyperlink>
    </w:p>
    <w:p w:rsidR="000B4DA9" w:rsidRPr="000C029E" w:rsidRDefault="000B4DA9" w:rsidP="000B4DA9">
      <w:pPr>
        <w:pStyle w:val="ListParagraph"/>
        <w:numPr>
          <w:ilvl w:val="0"/>
          <w:numId w:val="3"/>
        </w:numPr>
        <w:tabs>
          <w:tab w:val="left" w:pos="384"/>
        </w:tabs>
        <w:spacing w:line="216" w:lineRule="exact"/>
        <w:ind w:right="138" w:hanging="283"/>
        <w:rPr>
          <w:rFonts w:asciiTheme="majorBidi" w:hAnsiTheme="majorBidi" w:cstheme="majorBidi"/>
          <w:sz w:val="18"/>
          <w:szCs w:val="18"/>
        </w:rPr>
      </w:pPr>
      <w:r w:rsidRPr="000C029E">
        <w:rPr>
          <w:rFonts w:asciiTheme="majorBidi" w:hAnsiTheme="majorBidi" w:cstheme="majorBidi"/>
          <w:color w:val="2E414F"/>
          <w:sz w:val="18"/>
          <w:szCs w:val="18"/>
          <w:shd w:val="clear" w:color="auto" w:fill="FFFFFF"/>
        </w:rPr>
        <w:t xml:space="preserve">Soleimani </w:t>
      </w:r>
      <w:proofErr w:type="spellStart"/>
      <w:r w:rsidRPr="000C029E">
        <w:rPr>
          <w:rFonts w:asciiTheme="majorBidi" w:hAnsiTheme="majorBidi" w:cstheme="majorBidi"/>
          <w:color w:val="2E414F"/>
          <w:sz w:val="18"/>
          <w:szCs w:val="18"/>
          <w:shd w:val="clear" w:color="auto" w:fill="FFFFFF"/>
        </w:rPr>
        <w:t>Sasani</w:t>
      </w:r>
      <w:proofErr w:type="spellEnd"/>
      <w:r w:rsidRPr="000C029E">
        <w:rPr>
          <w:rFonts w:asciiTheme="majorBidi" w:hAnsiTheme="majorBidi" w:cstheme="majorBidi"/>
          <w:color w:val="2E414F"/>
          <w:sz w:val="18"/>
          <w:szCs w:val="18"/>
          <w:shd w:val="clear" w:color="auto" w:fill="FFFFFF"/>
        </w:rPr>
        <w:t xml:space="preserve">, M., </w:t>
      </w:r>
      <w:proofErr w:type="spellStart"/>
      <w:r w:rsidRPr="000C029E">
        <w:rPr>
          <w:rFonts w:asciiTheme="majorBidi" w:hAnsiTheme="majorBidi" w:cstheme="majorBidi"/>
          <w:color w:val="2E414F"/>
          <w:sz w:val="18"/>
          <w:szCs w:val="18"/>
          <w:shd w:val="clear" w:color="auto" w:fill="FFFFFF"/>
        </w:rPr>
        <w:t>Heidarzadeh</w:t>
      </w:r>
      <w:proofErr w:type="spellEnd"/>
      <w:r w:rsidRPr="000C029E">
        <w:rPr>
          <w:rFonts w:asciiTheme="majorBidi" w:hAnsiTheme="majorBidi" w:cstheme="majorBidi"/>
          <w:color w:val="2E414F"/>
          <w:sz w:val="18"/>
          <w:szCs w:val="18"/>
          <w:shd w:val="clear" w:color="auto" w:fill="FFFFFF"/>
        </w:rPr>
        <w:t xml:space="preserve">, S., </w:t>
      </w:r>
      <w:proofErr w:type="spellStart"/>
      <w:r w:rsidRPr="000C029E">
        <w:rPr>
          <w:rFonts w:asciiTheme="majorBidi" w:hAnsiTheme="majorBidi" w:cstheme="majorBidi"/>
          <w:color w:val="2E414F"/>
          <w:sz w:val="18"/>
          <w:szCs w:val="18"/>
          <w:shd w:val="clear" w:color="auto" w:fill="FFFFFF"/>
        </w:rPr>
        <w:t>Zolfaghari</w:t>
      </w:r>
      <w:proofErr w:type="spellEnd"/>
      <w:r w:rsidRPr="000C029E">
        <w:rPr>
          <w:rFonts w:asciiTheme="majorBidi" w:hAnsiTheme="majorBidi" w:cstheme="majorBidi"/>
          <w:color w:val="2E414F"/>
          <w:sz w:val="18"/>
          <w:szCs w:val="18"/>
          <w:shd w:val="clear" w:color="auto" w:fill="FFFFFF"/>
        </w:rPr>
        <w:t xml:space="preserve">, M.R., Soleimani, M., </w:t>
      </w:r>
      <w:proofErr w:type="spellStart"/>
      <w:r w:rsidRPr="000C029E">
        <w:rPr>
          <w:rFonts w:asciiTheme="majorBidi" w:hAnsiTheme="majorBidi" w:cstheme="majorBidi"/>
          <w:color w:val="2E414F"/>
          <w:sz w:val="18"/>
          <w:szCs w:val="18"/>
          <w:shd w:val="clear" w:color="auto" w:fill="FFFFFF"/>
        </w:rPr>
        <w:t>Serajian</w:t>
      </w:r>
      <w:proofErr w:type="spellEnd"/>
      <w:r w:rsidRPr="000C029E">
        <w:rPr>
          <w:rFonts w:asciiTheme="majorBidi" w:hAnsiTheme="majorBidi" w:cstheme="majorBidi"/>
          <w:color w:val="2E414F"/>
          <w:sz w:val="18"/>
          <w:szCs w:val="18"/>
          <w:shd w:val="clear" w:color="auto" w:fill="FFFFFF"/>
        </w:rPr>
        <w:t xml:space="preserve">, S. (2020). High potential of tellurite bioremediation by moderately halophilic Staphylococcus </w:t>
      </w:r>
      <w:proofErr w:type="spellStart"/>
      <w:r w:rsidRPr="000C029E">
        <w:rPr>
          <w:rFonts w:asciiTheme="majorBidi" w:hAnsiTheme="majorBidi" w:cstheme="majorBidi"/>
          <w:color w:val="2E414F"/>
          <w:sz w:val="18"/>
          <w:szCs w:val="18"/>
          <w:shd w:val="clear" w:color="auto" w:fill="FFFFFF"/>
        </w:rPr>
        <w:t>xylosus</w:t>
      </w:r>
      <w:proofErr w:type="spellEnd"/>
      <w:r w:rsidRPr="000C029E">
        <w:rPr>
          <w:rFonts w:asciiTheme="majorBidi" w:hAnsiTheme="majorBidi" w:cstheme="majorBidi"/>
          <w:color w:val="2E414F"/>
          <w:sz w:val="18"/>
          <w:szCs w:val="18"/>
          <w:shd w:val="clear" w:color="auto" w:fill="FFFFFF"/>
        </w:rPr>
        <w:t>.</w:t>
      </w:r>
    </w:p>
    <w:p w:rsidR="000B4DA9" w:rsidRPr="000C029E" w:rsidRDefault="000B4DA9" w:rsidP="000B4DA9">
      <w:pPr>
        <w:pStyle w:val="ListParagraph"/>
        <w:widowControl/>
        <w:numPr>
          <w:ilvl w:val="0"/>
          <w:numId w:val="3"/>
        </w:numPr>
        <w:autoSpaceDE w:val="0"/>
        <w:autoSpaceDN w:val="0"/>
        <w:adjustRightInd w:val="0"/>
        <w:rPr>
          <w:rFonts w:asciiTheme="majorBidi" w:hAnsiTheme="majorBidi" w:cstheme="majorBidi"/>
          <w:sz w:val="18"/>
          <w:szCs w:val="18"/>
        </w:rPr>
      </w:pPr>
      <w:proofErr w:type="spellStart"/>
      <w:r w:rsidRPr="000C029E">
        <w:rPr>
          <w:rFonts w:asciiTheme="majorBidi" w:eastAsiaTheme="minorHAnsi" w:hAnsiTheme="majorBidi" w:cstheme="majorBidi"/>
          <w:sz w:val="18"/>
          <w:szCs w:val="18"/>
        </w:rPr>
        <w:t>zanjani</w:t>
      </w:r>
      <w:proofErr w:type="spellEnd"/>
      <w:r w:rsidRPr="000C029E">
        <w:rPr>
          <w:rFonts w:asciiTheme="majorBidi" w:eastAsiaTheme="minorHAnsi" w:hAnsiTheme="majorBidi" w:cstheme="majorBidi"/>
          <w:sz w:val="18"/>
          <w:szCs w:val="18"/>
        </w:rPr>
        <w:t xml:space="preserve"> M, </w:t>
      </w:r>
      <w:proofErr w:type="spellStart"/>
      <w:r w:rsidRPr="000C029E">
        <w:rPr>
          <w:rFonts w:asciiTheme="majorBidi" w:eastAsiaTheme="minorHAnsi" w:hAnsiTheme="majorBidi" w:cstheme="majorBidi"/>
          <w:sz w:val="18"/>
          <w:szCs w:val="18"/>
        </w:rPr>
        <w:t>Amanloo</w:t>
      </w:r>
      <w:proofErr w:type="spellEnd"/>
      <w:r w:rsidRPr="000C029E">
        <w:rPr>
          <w:rFonts w:asciiTheme="majorBidi" w:eastAsiaTheme="minorHAnsi" w:hAnsiTheme="majorBidi" w:cstheme="majorBidi"/>
          <w:sz w:val="18"/>
          <w:szCs w:val="18"/>
        </w:rPr>
        <w:t xml:space="preserve"> S, </w:t>
      </w:r>
      <w:proofErr w:type="spellStart"/>
      <w:r w:rsidRPr="000C029E">
        <w:rPr>
          <w:rFonts w:asciiTheme="majorBidi" w:eastAsiaTheme="minorHAnsi" w:hAnsiTheme="majorBidi" w:cstheme="majorBidi"/>
          <w:sz w:val="18"/>
          <w:szCs w:val="18"/>
        </w:rPr>
        <w:t>kakavand</w:t>
      </w:r>
      <w:proofErr w:type="spellEnd"/>
      <w:r w:rsidRPr="000C029E">
        <w:rPr>
          <w:rFonts w:asciiTheme="majorBidi" w:eastAsiaTheme="minorHAnsi" w:hAnsiTheme="majorBidi" w:cstheme="majorBidi"/>
          <w:sz w:val="18"/>
          <w:szCs w:val="18"/>
        </w:rPr>
        <w:t xml:space="preserve"> F, </w:t>
      </w:r>
      <w:proofErr w:type="spellStart"/>
      <w:r w:rsidRPr="000C029E">
        <w:rPr>
          <w:rFonts w:asciiTheme="majorBidi" w:eastAsiaTheme="minorHAnsi" w:hAnsiTheme="majorBidi" w:cstheme="majorBidi"/>
          <w:sz w:val="18"/>
          <w:szCs w:val="18"/>
        </w:rPr>
        <w:t>Serajian</w:t>
      </w:r>
      <w:proofErr w:type="spellEnd"/>
      <w:r w:rsidRPr="000C029E">
        <w:rPr>
          <w:rFonts w:asciiTheme="majorBidi" w:eastAsiaTheme="minorHAnsi" w:hAnsiTheme="majorBidi" w:cstheme="majorBidi"/>
          <w:sz w:val="18"/>
          <w:szCs w:val="18"/>
        </w:rPr>
        <w:t xml:space="preserve"> S, Ahmadi F, </w:t>
      </w:r>
      <w:proofErr w:type="spellStart"/>
      <w:r w:rsidRPr="000C029E">
        <w:rPr>
          <w:rFonts w:asciiTheme="majorBidi" w:eastAsiaTheme="minorHAnsi" w:hAnsiTheme="majorBidi" w:cstheme="majorBidi"/>
          <w:sz w:val="18"/>
          <w:szCs w:val="18"/>
        </w:rPr>
        <w:t>kakavand</w:t>
      </w:r>
      <w:proofErr w:type="spellEnd"/>
      <w:r w:rsidRPr="000C029E">
        <w:rPr>
          <w:rFonts w:asciiTheme="majorBidi" w:eastAsiaTheme="minorHAnsi" w:hAnsiTheme="majorBidi" w:cstheme="majorBidi"/>
          <w:sz w:val="18"/>
          <w:szCs w:val="18"/>
        </w:rPr>
        <w:t xml:space="preserve"> F. Genotype analysis of Candida albicans isolates using ALT repeat sequences obtained from patients with vulvovaginal candidiasis from </w:t>
      </w:r>
      <w:proofErr w:type="spellStart"/>
      <w:r w:rsidRPr="000C029E">
        <w:rPr>
          <w:rFonts w:asciiTheme="majorBidi" w:eastAsiaTheme="minorHAnsi" w:hAnsiTheme="majorBidi" w:cstheme="majorBidi"/>
          <w:sz w:val="18"/>
          <w:szCs w:val="18"/>
        </w:rPr>
        <w:t>Zanjan</w:t>
      </w:r>
      <w:proofErr w:type="spellEnd"/>
      <w:r w:rsidRPr="000C029E">
        <w:rPr>
          <w:rFonts w:asciiTheme="majorBidi" w:eastAsiaTheme="minorHAnsi" w:hAnsiTheme="majorBidi" w:cstheme="majorBidi"/>
          <w:sz w:val="18"/>
          <w:szCs w:val="18"/>
        </w:rPr>
        <w:t xml:space="preserve">, Iran. </w:t>
      </w:r>
      <w:hyperlink r:id="rId11" w:tooltip="20th International Congress of Microbiology of Iran" w:history="1">
        <w:r w:rsidRPr="000C029E">
          <w:rPr>
            <w:rStyle w:val="Hyperlink"/>
            <w:rFonts w:asciiTheme="majorBidi" w:hAnsiTheme="majorBidi" w:cstheme="majorBidi"/>
            <w:color w:val="111111"/>
            <w:sz w:val="18"/>
            <w:szCs w:val="18"/>
            <w:u w:val="none"/>
          </w:rPr>
          <w:t>20th International Congress of Microbiology of Iran</w:t>
        </w:r>
      </w:hyperlink>
    </w:p>
    <w:p w:rsidR="00C83DAF" w:rsidRDefault="00C83DAF" w:rsidP="00C83DAF">
      <w:pPr>
        <w:spacing w:before="92"/>
        <w:ind w:right="4234"/>
        <w:rPr>
          <w:rFonts w:ascii="Arial"/>
          <w:color w:val="BF5A14"/>
        </w:rPr>
      </w:pPr>
      <w:r>
        <w:rPr>
          <w:noProof/>
        </w:rPr>
        <w:drawing>
          <wp:inline distT="0" distB="0" distL="0" distR="0" wp14:anchorId="16E43954" wp14:editId="4C77FA7F">
            <wp:extent cx="615367" cy="576349"/>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40043" cy="599460"/>
                    </a:xfrm>
                    <a:prstGeom prst="rect">
                      <a:avLst/>
                    </a:prstGeom>
                    <a:noFill/>
                    <a:ln>
                      <a:noFill/>
                    </a:ln>
                  </pic:spPr>
                </pic:pic>
              </a:graphicData>
            </a:graphic>
          </wp:inline>
        </w:drawing>
      </w:r>
      <w:r>
        <w:rPr>
          <w:rFonts w:ascii="Arial"/>
          <w:color w:val="BF5A14"/>
        </w:rPr>
        <w:t xml:space="preserve"> </w:t>
      </w:r>
    </w:p>
    <w:p w:rsidR="00C83DAF" w:rsidRDefault="00C83DAF" w:rsidP="00C83DAF">
      <w:pPr>
        <w:spacing w:before="92"/>
        <w:ind w:right="4234"/>
        <w:rPr>
          <w:rFonts w:ascii="Arial"/>
        </w:rPr>
      </w:pPr>
      <w:r>
        <w:rPr>
          <w:rFonts w:ascii="Arial"/>
          <w:color w:val="BF5A14"/>
        </w:rPr>
        <w:t xml:space="preserve">                                 </w:t>
      </w:r>
    </w:p>
    <w:p w:rsidR="00C83DAF" w:rsidRDefault="00C83DAF" w:rsidP="00C83DAF">
      <w:pPr>
        <w:spacing w:line="200" w:lineRule="exact"/>
        <w:jc w:val="both"/>
        <w:rPr>
          <w:rFonts w:ascii="Arial"/>
          <w:color w:val="BF5A14"/>
        </w:rPr>
      </w:pPr>
      <w:r>
        <w:rPr>
          <w:rFonts w:ascii="Arial"/>
          <w:color w:val="BF5A14"/>
        </w:rPr>
        <w:t xml:space="preserve">Biography  </w:t>
      </w:r>
    </w:p>
    <w:p w:rsidR="000B4DA9" w:rsidRDefault="00C83DAF" w:rsidP="00C83DAF">
      <w:pPr>
        <w:spacing w:line="200" w:lineRule="exact"/>
        <w:jc w:val="both"/>
        <w:rPr>
          <w:rFonts w:ascii="Calibri" w:hAnsi="Calibri"/>
        </w:rPr>
      </w:pPr>
      <w:r>
        <w:rPr>
          <w:rFonts w:ascii="Arial"/>
          <w:color w:val="BF5A14"/>
        </w:rPr>
        <w:t xml:space="preserve">           </w:t>
      </w:r>
      <w:r w:rsidR="000B4DA9">
        <w:rPr>
          <w:rFonts w:ascii="Calibri"/>
          <w:noProof/>
          <w:sz w:val="4"/>
          <w:lang w:val="en-IN" w:eastAsia="en-IN"/>
        </w:rPr>
        <mc:AlternateContent>
          <mc:Choice Requires="wpg">
            <w:drawing>
              <wp:inline distT="0" distB="0" distL="0" distR="0" wp14:anchorId="5EAA7B56" wp14:editId="4D4A6DBB">
                <wp:extent cx="3165475" cy="20223"/>
                <wp:effectExtent l="0" t="0" r="0" b="0"/>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65475" cy="20223"/>
                          <a:chOff x="0" y="0"/>
                          <a:chExt cx="6261" cy="40"/>
                        </a:xfrm>
                      </wpg:grpSpPr>
                      <wps:wsp>
                        <wps:cNvPr id="6"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FACFEEB" id="Group 4" o:spid="_x0000_s1026" style="width:249.25pt;height:1.6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" strokecolor="#004080" strokeweight="2pt"/>
                <w10:anchorlock/>
              </v:group>
            </w:pict>
          </mc:Fallback>
        </mc:AlternateContent>
      </w:r>
    </w:p>
    <w:p w:rsidR="000B4DA9" w:rsidRDefault="000B4DA9">
      <w:pPr>
        <w:spacing w:line="200" w:lineRule="exact"/>
        <w:jc w:val="both"/>
        <w:rPr>
          <w:rFonts w:ascii="Calibri" w:hAnsi="Calibri"/>
        </w:rPr>
      </w:pPr>
    </w:p>
    <w:p w:rsidR="000B4DA9" w:rsidRPr="00287372" w:rsidRDefault="00287372">
      <w:pPr>
        <w:spacing w:line="200" w:lineRule="exact"/>
        <w:jc w:val="both"/>
        <w:rPr>
          <w:rFonts w:ascii="Calibri" w:hAnsi="Calibri"/>
          <w:sz w:val="18"/>
          <w:szCs w:val="18"/>
        </w:rPr>
      </w:pPr>
      <w:r w:rsidRPr="00287372">
        <w:rPr>
          <w:rFonts w:asciiTheme="majorBidi" w:hAnsiTheme="majorBidi" w:cstheme="majorBidi"/>
          <w:sz w:val="18"/>
          <w:szCs w:val="18"/>
        </w:rPr>
        <w:t xml:space="preserve">Sahar </w:t>
      </w:r>
      <w:proofErr w:type="spellStart"/>
      <w:r w:rsidRPr="00287372">
        <w:rPr>
          <w:rFonts w:asciiTheme="majorBidi" w:hAnsiTheme="majorBidi" w:cstheme="majorBidi"/>
          <w:sz w:val="18"/>
          <w:szCs w:val="18"/>
        </w:rPr>
        <w:t>Serajian</w:t>
      </w:r>
      <w:proofErr w:type="spellEnd"/>
      <w:r w:rsidRPr="00287372">
        <w:rPr>
          <w:rFonts w:asciiTheme="majorBidi" w:hAnsiTheme="majorBidi" w:cstheme="majorBidi"/>
          <w:sz w:val="18"/>
          <w:szCs w:val="18"/>
        </w:rPr>
        <w:t xml:space="preserve"> has a major in medical laboratory sciences and works in </w:t>
      </w:r>
      <w:proofErr w:type="spellStart"/>
      <w:r w:rsidRPr="00287372">
        <w:rPr>
          <w:rFonts w:asciiTheme="majorBidi" w:hAnsiTheme="majorBidi" w:cstheme="majorBidi"/>
          <w:sz w:val="18"/>
          <w:szCs w:val="18"/>
        </w:rPr>
        <w:t>Royan</w:t>
      </w:r>
      <w:proofErr w:type="spellEnd"/>
      <w:r w:rsidRPr="00287372">
        <w:rPr>
          <w:rFonts w:asciiTheme="majorBidi" w:hAnsiTheme="majorBidi" w:cstheme="majorBidi"/>
          <w:sz w:val="18"/>
          <w:szCs w:val="18"/>
        </w:rPr>
        <w:t xml:space="preserve"> Institute for Stem Cell Biology and Technology and participates as a tech-team in SYNAPSE accelerator which is expertise in In Vitro Diagnostics technologies. She has several years of experience in a clinical laboratory in a hospital and many collaborations with the microbiology department of </w:t>
      </w:r>
      <w:proofErr w:type="spellStart"/>
      <w:r w:rsidRPr="00287372">
        <w:rPr>
          <w:rFonts w:asciiTheme="majorBidi" w:hAnsiTheme="majorBidi" w:cstheme="majorBidi"/>
          <w:sz w:val="18"/>
          <w:szCs w:val="18"/>
        </w:rPr>
        <w:t>Zanjan</w:t>
      </w:r>
      <w:proofErr w:type="spellEnd"/>
      <w:r w:rsidRPr="00287372">
        <w:rPr>
          <w:rFonts w:asciiTheme="majorBidi" w:hAnsiTheme="majorBidi" w:cstheme="majorBidi"/>
          <w:sz w:val="18"/>
          <w:szCs w:val="18"/>
        </w:rPr>
        <w:t xml:space="preserve"> medical university. she is passionate about health and innovations. Her vision is to find links between existing science knowledge and public health challenges. Her research is toward cutting-edge sciences which can solve future health problems and develop innovative platforms to detect and prevent diseases</w:t>
      </w:r>
      <w:r w:rsidRPr="00287372">
        <w:rPr>
          <w:rFonts w:ascii="Calibri" w:hAnsi="Calibri"/>
          <w:sz w:val="18"/>
          <w:szCs w:val="18"/>
        </w:rPr>
        <w:t>.</w:t>
      </w:r>
    </w:p>
    <w:p w:rsidR="000B4DA9" w:rsidRPr="00287372" w:rsidRDefault="000B4DA9">
      <w:pPr>
        <w:spacing w:line="200" w:lineRule="exact"/>
        <w:jc w:val="both"/>
        <w:rPr>
          <w:rFonts w:ascii="Calibri" w:hAnsi="Calibri"/>
          <w:sz w:val="18"/>
          <w:szCs w:val="18"/>
        </w:rPr>
      </w:pPr>
    </w:p>
    <w:p w:rsidR="000B4DA9" w:rsidRDefault="000B4DA9">
      <w:pPr>
        <w:spacing w:line="200" w:lineRule="exact"/>
        <w:jc w:val="both"/>
        <w:rPr>
          <w:rFonts w:ascii="Calibri" w:hAnsi="Calibri"/>
        </w:rPr>
      </w:pPr>
    </w:p>
    <w:p w:rsidR="000B4DA9" w:rsidRDefault="000B4DA9">
      <w:pPr>
        <w:spacing w:line="200" w:lineRule="exact"/>
        <w:jc w:val="both"/>
        <w:rPr>
          <w:rFonts w:ascii="Calibri" w:hAnsi="Calibri"/>
        </w:rPr>
      </w:pPr>
    </w:p>
    <w:p w:rsidR="000B4DA9" w:rsidRDefault="00287372">
      <w:pPr>
        <w:spacing w:line="200" w:lineRule="exact"/>
        <w:jc w:val="both"/>
        <w:rPr>
          <w:rFonts w:ascii="Calibri" w:hAnsi="Calibri"/>
        </w:rPr>
      </w:pPr>
      <w:r w:rsidRPr="00287372">
        <w:rPr>
          <w:rFonts w:asciiTheme="majorBidi" w:hAnsiTheme="majorBidi" w:cstheme="majorBidi"/>
        </w:rPr>
        <w:t>Email</w:t>
      </w:r>
      <w:r>
        <w:rPr>
          <w:rFonts w:asciiTheme="majorBidi" w:hAnsiTheme="majorBidi" w:cstheme="majorBidi"/>
        </w:rPr>
        <w:t>: Saha</w:t>
      </w:r>
      <w:r w:rsidR="00C83DAF">
        <w:rPr>
          <w:rFonts w:asciiTheme="majorBidi" w:hAnsiTheme="majorBidi" w:cstheme="majorBidi"/>
        </w:rPr>
        <w:t>r</w:t>
      </w:r>
      <w:r>
        <w:rPr>
          <w:rFonts w:asciiTheme="majorBidi" w:hAnsiTheme="majorBidi" w:cstheme="majorBidi"/>
        </w:rPr>
        <w:t>.serajian95@gmail.com</w:t>
      </w:r>
    </w:p>
    <w:p w:rsidR="000B4DA9" w:rsidRDefault="000B4DA9">
      <w:pPr>
        <w:spacing w:line="200" w:lineRule="exact"/>
        <w:jc w:val="both"/>
        <w:rPr>
          <w:rFonts w:ascii="Calibri" w:hAnsi="Calibri"/>
        </w:rPr>
      </w:pPr>
    </w:p>
    <w:p w:rsidR="000B4DA9" w:rsidRDefault="000B4DA9">
      <w:pPr>
        <w:spacing w:line="200" w:lineRule="exact"/>
        <w:jc w:val="both"/>
        <w:rPr>
          <w:rFonts w:ascii="Calibri" w:hAnsi="Calibri"/>
        </w:rPr>
      </w:pPr>
    </w:p>
    <w:p w:rsidR="000B4DA9" w:rsidRDefault="000B4DA9">
      <w:pPr>
        <w:spacing w:line="200" w:lineRule="exact"/>
        <w:jc w:val="both"/>
        <w:rPr>
          <w:rFonts w:ascii="Calibri" w:hAnsi="Calibri"/>
        </w:rPr>
      </w:pPr>
    </w:p>
    <w:p w:rsidR="000B4DA9" w:rsidRDefault="000B4DA9">
      <w:pPr>
        <w:spacing w:line="200" w:lineRule="exact"/>
        <w:jc w:val="both"/>
        <w:rPr>
          <w:rFonts w:ascii="Calibri" w:hAnsi="Calibri"/>
        </w:rPr>
      </w:pPr>
    </w:p>
    <w:p w:rsidR="000B4DA9" w:rsidRDefault="000B4DA9">
      <w:pPr>
        <w:spacing w:line="200" w:lineRule="exact"/>
        <w:jc w:val="both"/>
        <w:rPr>
          <w:rFonts w:ascii="Calibri" w:hAnsi="Calibri"/>
        </w:rPr>
      </w:pPr>
    </w:p>
    <w:p w:rsidR="000B4DA9" w:rsidRDefault="000B4DA9">
      <w:pPr>
        <w:spacing w:line="200" w:lineRule="exact"/>
        <w:jc w:val="both"/>
        <w:rPr>
          <w:rFonts w:ascii="Calibri" w:hAnsi="Calibri"/>
        </w:rPr>
      </w:pPr>
    </w:p>
    <w:p w:rsidR="000B4DA9" w:rsidRDefault="000B4DA9">
      <w:pPr>
        <w:spacing w:line="200" w:lineRule="exact"/>
        <w:jc w:val="both"/>
        <w:rPr>
          <w:rFonts w:ascii="Calibri" w:hAnsi="Calibri"/>
        </w:rPr>
      </w:pPr>
    </w:p>
    <w:p w:rsidR="000B4DA9" w:rsidRDefault="000B4DA9">
      <w:pPr>
        <w:spacing w:line="200" w:lineRule="exact"/>
        <w:jc w:val="both"/>
        <w:rPr>
          <w:rFonts w:ascii="Calibri" w:hAnsi="Calibri"/>
        </w:rPr>
      </w:pPr>
    </w:p>
    <w:p w:rsidR="000B4DA9" w:rsidRDefault="000B4DA9">
      <w:pPr>
        <w:spacing w:line="200" w:lineRule="exact"/>
        <w:jc w:val="both"/>
        <w:rPr>
          <w:rFonts w:ascii="Calibri" w:hAnsi="Calibri"/>
        </w:rPr>
      </w:pPr>
    </w:p>
    <w:p w:rsidR="000B4DA9" w:rsidRDefault="000B4DA9">
      <w:pPr>
        <w:spacing w:line="200" w:lineRule="exact"/>
        <w:jc w:val="both"/>
        <w:rPr>
          <w:rFonts w:ascii="Calibri" w:hAnsi="Calibri"/>
        </w:rPr>
      </w:pPr>
    </w:p>
    <w:p w:rsidR="000B4DA9" w:rsidRDefault="000B4DA9">
      <w:pPr>
        <w:spacing w:line="200" w:lineRule="exact"/>
        <w:jc w:val="both"/>
        <w:rPr>
          <w:rFonts w:ascii="Calibri" w:hAnsi="Calibri"/>
        </w:rPr>
      </w:pPr>
    </w:p>
    <w:p w:rsidR="000B4DA9" w:rsidRDefault="000B4DA9">
      <w:pPr>
        <w:spacing w:line="200" w:lineRule="exact"/>
        <w:jc w:val="both"/>
        <w:rPr>
          <w:rFonts w:ascii="Calibri" w:hAnsi="Calibri"/>
        </w:rPr>
      </w:pPr>
    </w:p>
    <w:p w:rsidR="000B4DA9" w:rsidRDefault="000B4DA9">
      <w:pPr>
        <w:spacing w:line="200" w:lineRule="exact"/>
        <w:jc w:val="both"/>
        <w:rPr>
          <w:rFonts w:ascii="Calibri" w:hAnsi="Calibri"/>
        </w:rPr>
      </w:pPr>
    </w:p>
    <w:p w:rsidR="000B4DA9" w:rsidRDefault="000B4DA9">
      <w:pPr>
        <w:spacing w:line="200" w:lineRule="exact"/>
        <w:jc w:val="both"/>
        <w:rPr>
          <w:rFonts w:ascii="Calibri" w:hAnsi="Calibri"/>
        </w:rPr>
      </w:pPr>
    </w:p>
    <w:p w:rsidR="000B4DA9" w:rsidRDefault="000B4DA9">
      <w:pPr>
        <w:spacing w:line="200" w:lineRule="exact"/>
        <w:jc w:val="both"/>
        <w:rPr>
          <w:rFonts w:ascii="Calibri" w:hAnsi="Calibri"/>
        </w:rPr>
      </w:pPr>
    </w:p>
    <w:p w:rsidR="000B4DA9" w:rsidRDefault="000B4DA9">
      <w:pPr>
        <w:spacing w:line="200" w:lineRule="exact"/>
        <w:jc w:val="both"/>
        <w:rPr>
          <w:rFonts w:ascii="Calibri" w:hAnsi="Calibri"/>
        </w:rPr>
      </w:pPr>
    </w:p>
    <w:p w:rsidR="000B4DA9" w:rsidRDefault="000B4DA9">
      <w:pPr>
        <w:spacing w:line="200" w:lineRule="exact"/>
        <w:jc w:val="both"/>
        <w:rPr>
          <w:rFonts w:ascii="Calibri" w:hAnsi="Calibri"/>
        </w:rPr>
      </w:pPr>
    </w:p>
    <w:p w:rsidR="000B4DA9" w:rsidRDefault="000B4DA9">
      <w:pPr>
        <w:spacing w:line="200" w:lineRule="exact"/>
        <w:jc w:val="both"/>
        <w:rPr>
          <w:rFonts w:ascii="Calibri" w:hAnsi="Calibri"/>
        </w:rPr>
      </w:pPr>
    </w:p>
    <w:p w:rsidR="000B4DA9" w:rsidRDefault="000B4DA9">
      <w:pPr>
        <w:spacing w:line="200" w:lineRule="exact"/>
        <w:jc w:val="both"/>
        <w:rPr>
          <w:rFonts w:ascii="Calibri" w:hAnsi="Calibri"/>
        </w:rPr>
      </w:pPr>
    </w:p>
    <w:p w:rsidR="000B4DA9" w:rsidRDefault="000B4DA9">
      <w:pPr>
        <w:spacing w:line="200" w:lineRule="exact"/>
        <w:jc w:val="both"/>
        <w:rPr>
          <w:rFonts w:ascii="Calibri" w:hAnsi="Calibri"/>
        </w:rPr>
      </w:pPr>
    </w:p>
    <w:p w:rsidR="000B4DA9" w:rsidRDefault="000B4DA9">
      <w:pPr>
        <w:spacing w:line="200" w:lineRule="exact"/>
        <w:jc w:val="both"/>
        <w:rPr>
          <w:rFonts w:ascii="Calibri" w:hAnsi="Calibri"/>
        </w:rPr>
      </w:pPr>
    </w:p>
    <w:p w:rsidR="000B4DA9" w:rsidRDefault="000B4DA9">
      <w:pPr>
        <w:spacing w:line="200" w:lineRule="exact"/>
        <w:jc w:val="both"/>
        <w:rPr>
          <w:rFonts w:ascii="Calibri" w:hAnsi="Calibri"/>
        </w:rPr>
      </w:pPr>
    </w:p>
    <w:p w:rsidR="000B4DA9" w:rsidRDefault="000B4DA9">
      <w:pPr>
        <w:spacing w:line="200" w:lineRule="exact"/>
        <w:jc w:val="both"/>
        <w:rPr>
          <w:rFonts w:ascii="Calibri" w:hAnsi="Calibri"/>
        </w:rPr>
      </w:pPr>
    </w:p>
    <w:p w:rsidR="000B4DA9" w:rsidRDefault="000B4DA9">
      <w:pPr>
        <w:spacing w:line="200" w:lineRule="exact"/>
        <w:jc w:val="both"/>
        <w:rPr>
          <w:rFonts w:ascii="Calibri" w:hAnsi="Calibri"/>
        </w:rPr>
      </w:pPr>
    </w:p>
    <w:p w:rsidR="000B4DA9" w:rsidRDefault="000B4DA9">
      <w:pPr>
        <w:spacing w:line="200" w:lineRule="exact"/>
        <w:jc w:val="both"/>
        <w:rPr>
          <w:rFonts w:ascii="Calibri" w:hAnsi="Calibri"/>
        </w:rPr>
      </w:pPr>
    </w:p>
    <w:p w:rsidR="000B4DA9" w:rsidRDefault="000B4DA9">
      <w:pPr>
        <w:spacing w:line="200" w:lineRule="exact"/>
        <w:jc w:val="both"/>
        <w:rPr>
          <w:rFonts w:ascii="Calibri" w:hAnsi="Calibri"/>
        </w:rPr>
      </w:pPr>
    </w:p>
    <w:p w:rsidR="000B4DA9" w:rsidRDefault="000B4DA9">
      <w:pPr>
        <w:spacing w:line="200" w:lineRule="exact"/>
        <w:jc w:val="both"/>
        <w:rPr>
          <w:rFonts w:ascii="Calibri" w:hAnsi="Calibri"/>
        </w:rPr>
      </w:pPr>
    </w:p>
    <w:p w:rsidR="000B4DA9" w:rsidRDefault="000B4DA9">
      <w:pPr>
        <w:spacing w:line="200" w:lineRule="exact"/>
        <w:jc w:val="both"/>
        <w:rPr>
          <w:rFonts w:ascii="Calibri" w:hAnsi="Calibri"/>
        </w:rPr>
      </w:pPr>
    </w:p>
    <w:p w:rsidR="000B4DA9" w:rsidRDefault="000B4DA9">
      <w:pPr>
        <w:spacing w:line="200" w:lineRule="exact"/>
        <w:jc w:val="both"/>
        <w:rPr>
          <w:rFonts w:ascii="Calibri" w:hAnsi="Calibri"/>
        </w:rPr>
      </w:pPr>
    </w:p>
    <w:p w:rsidR="000B4DA9" w:rsidRDefault="000B4DA9">
      <w:pPr>
        <w:spacing w:line="200" w:lineRule="exact"/>
        <w:jc w:val="both"/>
        <w:rPr>
          <w:rFonts w:ascii="Calibri" w:hAnsi="Calibri"/>
        </w:rPr>
      </w:pPr>
    </w:p>
    <w:p w:rsidR="000B4DA9" w:rsidRDefault="000B4DA9">
      <w:pPr>
        <w:spacing w:line="200" w:lineRule="exact"/>
        <w:jc w:val="both"/>
        <w:rPr>
          <w:rFonts w:ascii="Calibri" w:hAnsi="Calibri"/>
        </w:rPr>
      </w:pPr>
    </w:p>
    <w:p w:rsidR="000B4DA9" w:rsidRDefault="000B4DA9">
      <w:pPr>
        <w:spacing w:line="200" w:lineRule="exact"/>
        <w:jc w:val="both"/>
        <w:rPr>
          <w:rFonts w:ascii="Calibri" w:hAnsi="Calibri"/>
        </w:rPr>
      </w:pPr>
    </w:p>
    <w:p w:rsidR="000B4DA9" w:rsidRDefault="000B4DA9">
      <w:pPr>
        <w:spacing w:line="200" w:lineRule="exact"/>
        <w:jc w:val="both"/>
        <w:rPr>
          <w:rFonts w:ascii="Calibri" w:hAnsi="Calibri"/>
        </w:rPr>
      </w:pPr>
    </w:p>
    <w:p w:rsidR="000B4DA9" w:rsidRDefault="000B4DA9">
      <w:pPr>
        <w:spacing w:line="200" w:lineRule="exact"/>
        <w:jc w:val="both"/>
        <w:rPr>
          <w:rFonts w:ascii="Calibri" w:hAnsi="Calibri"/>
        </w:rPr>
      </w:pPr>
    </w:p>
    <w:p w:rsidR="000B4DA9" w:rsidRDefault="000B4DA9">
      <w:pPr>
        <w:spacing w:line="200" w:lineRule="exact"/>
        <w:jc w:val="both"/>
        <w:rPr>
          <w:rFonts w:ascii="Calibri" w:hAnsi="Calibri"/>
        </w:rPr>
      </w:pPr>
    </w:p>
    <w:p w:rsidR="000B4DA9" w:rsidRDefault="000B4DA9">
      <w:pPr>
        <w:spacing w:line="200" w:lineRule="exact"/>
        <w:jc w:val="both"/>
        <w:rPr>
          <w:rFonts w:ascii="Calibri" w:hAnsi="Calibri"/>
        </w:rPr>
      </w:pPr>
    </w:p>
    <w:p w:rsidR="000B4DA9" w:rsidRDefault="000B4DA9">
      <w:pPr>
        <w:spacing w:line="200" w:lineRule="exact"/>
        <w:jc w:val="both"/>
        <w:rPr>
          <w:rFonts w:ascii="Calibri" w:hAnsi="Calibri"/>
        </w:rPr>
      </w:pPr>
    </w:p>
    <w:p w:rsidR="000B4DA9" w:rsidRDefault="000B4DA9">
      <w:pPr>
        <w:spacing w:line="200" w:lineRule="exact"/>
        <w:jc w:val="both"/>
        <w:rPr>
          <w:rFonts w:ascii="Calibri" w:hAnsi="Calibri"/>
        </w:rPr>
      </w:pPr>
    </w:p>
    <w:p w:rsidR="000B4DA9" w:rsidRDefault="000B4DA9">
      <w:pPr>
        <w:spacing w:line="200" w:lineRule="exact"/>
        <w:jc w:val="both"/>
        <w:rPr>
          <w:rFonts w:ascii="Calibri" w:hAnsi="Calibri"/>
        </w:rPr>
      </w:pPr>
    </w:p>
    <w:p w:rsidR="000B4DA9" w:rsidRDefault="000B4DA9">
      <w:pPr>
        <w:spacing w:line="200" w:lineRule="exact"/>
        <w:jc w:val="both"/>
        <w:rPr>
          <w:rFonts w:ascii="Calibri" w:hAnsi="Calibri"/>
        </w:rPr>
      </w:pPr>
    </w:p>
    <w:p w:rsidR="000B4DA9" w:rsidRDefault="000B4DA9">
      <w:pPr>
        <w:spacing w:line="200" w:lineRule="exact"/>
        <w:jc w:val="both"/>
        <w:rPr>
          <w:rFonts w:ascii="Calibri" w:hAnsi="Calibri"/>
        </w:rPr>
      </w:pPr>
    </w:p>
    <w:p w:rsidR="000B4DA9" w:rsidRDefault="000B4DA9">
      <w:pPr>
        <w:spacing w:line="200" w:lineRule="exact"/>
        <w:jc w:val="both"/>
        <w:rPr>
          <w:rFonts w:ascii="Calibri" w:hAnsi="Calibri"/>
        </w:rPr>
      </w:pPr>
    </w:p>
    <w:p w:rsidR="000B4DA9" w:rsidRDefault="000B4DA9">
      <w:pPr>
        <w:spacing w:line="200" w:lineRule="exact"/>
        <w:jc w:val="both"/>
        <w:rPr>
          <w:rFonts w:ascii="Calibri" w:hAnsi="Calibri"/>
        </w:rPr>
      </w:pPr>
    </w:p>
    <w:p w:rsidR="000B4DA9" w:rsidRDefault="000B4DA9">
      <w:pPr>
        <w:spacing w:line="200" w:lineRule="exact"/>
        <w:jc w:val="both"/>
        <w:rPr>
          <w:rFonts w:ascii="Calibri" w:hAnsi="Calibri"/>
        </w:rPr>
      </w:pPr>
    </w:p>
    <w:p w:rsidR="000B4DA9" w:rsidRDefault="000B4DA9">
      <w:pPr>
        <w:spacing w:line="200" w:lineRule="exact"/>
        <w:jc w:val="both"/>
        <w:rPr>
          <w:rFonts w:ascii="Calibri" w:hAnsi="Calibri"/>
        </w:rPr>
      </w:pPr>
    </w:p>
    <w:p w:rsidR="000B4DA9" w:rsidRDefault="000B4DA9">
      <w:pPr>
        <w:spacing w:line="200" w:lineRule="exact"/>
        <w:jc w:val="both"/>
        <w:rPr>
          <w:rFonts w:ascii="Calibri" w:hAnsi="Calibri"/>
        </w:rPr>
      </w:pPr>
    </w:p>
    <w:p w:rsidR="000B4DA9" w:rsidRDefault="000B4DA9">
      <w:pPr>
        <w:spacing w:line="200" w:lineRule="exact"/>
        <w:jc w:val="both"/>
        <w:rPr>
          <w:rFonts w:ascii="Calibri" w:hAnsi="Calibri"/>
        </w:rPr>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AE3E37">
      <w:pPr>
        <w:pStyle w:val="BodyText"/>
        <w:spacing w:line="40" w:lineRule="exact"/>
        <w:ind w:left="2202"/>
        <w:rPr>
          <w:rFonts w:ascii="Calibri"/>
          <w:sz w:val="4"/>
        </w:rPr>
      </w:pPr>
    </w:p>
    <w:p w:rsidR="002A196B" w:rsidRDefault="008756E6" w:rsidP="00404E5B">
      <w:pPr>
        <w:spacing w:before="92"/>
        <w:ind w:right="4234"/>
        <w:rPr>
          <w:noProof/>
        </w:rPr>
      </w:pPr>
      <w:r>
        <w:rPr>
          <w:noProof/>
        </w:rPr>
        <w:t xml:space="preserve">   </w:t>
      </w:r>
    </w:p>
    <w:p w:rsidR="002A196B" w:rsidRDefault="002A196B" w:rsidP="00404E5B">
      <w:pPr>
        <w:spacing w:before="92"/>
        <w:ind w:right="4234"/>
        <w:rPr>
          <w:noProof/>
        </w:rPr>
      </w:pPr>
      <w:r>
        <w:rPr>
          <w:noProof/>
        </w:rPr>
        <w:t xml:space="preserve">   </w:t>
      </w:r>
    </w:p>
    <w:p w:rsidR="000E7EB7" w:rsidRDefault="002A196B" w:rsidP="000E7EB7">
      <w:pPr>
        <w:spacing w:before="92"/>
        <w:ind w:right="4234"/>
      </w:pPr>
      <w:r>
        <w:rPr>
          <w:noProof/>
        </w:rPr>
        <w:t xml:space="preserve">   </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52915" w:rsidRDefault="00252915">
      <w:r>
        <w:separator/>
      </w:r>
    </w:p>
  </w:endnote>
  <w:endnote w:type="continuationSeparator" w:id="0">
    <w:p w:rsidR="00252915" w:rsidRDefault="002529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Pro-Regular">
    <w:altName w:val="MS Gothic"/>
    <w:charset w:val="80"/>
    <w:family w:val="auto"/>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7216"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9264"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1312"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52915" w:rsidRDefault="00252915">
      <w:r>
        <w:separator/>
      </w:r>
    </w:p>
  </w:footnote>
  <w:footnote w:type="continuationSeparator" w:id="0">
    <w:p w:rsidR="00252915" w:rsidRDefault="002529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312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5168"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7"/>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03700"/>
    <w:rsid w:val="000B4DA9"/>
    <w:rsid w:val="000C029E"/>
    <w:rsid w:val="000E2911"/>
    <w:rsid w:val="000E7EB7"/>
    <w:rsid w:val="001263DF"/>
    <w:rsid w:val="002362C4"/>
    <w:rsid w:val="00252915"/>
    <w:rsid w:val="00287372"/>
    <w:rsid w:val="00292ED9"/>
    <w:rsid w:val="00295544"/>
    <w:rsid w:val="002A196B"/>
    <w:rsid w:val="002B2804"/>
    <w:rsid w:val="00404E5B"/>
    <w:rsid w:val="00414F7B"/>
    <w:rsid w:val="00420A5F"/>
    <w:rsid w:val="00426B03"/>
    <w:rsid w:val="004355DC"/>
    <w:rsid w:val="004749B4"/>
    <w:rsid w:val="00494130"/>
    <w:rsid w:val="004E186D"/>
    <w:rsid w:val="004F3523"/>
    <w:rsid w:val="005973B9"/>
    <w:rsid w:val="005B3A56"/>
    <w:rsid w:val="006060CE"/>
    <w:rsid w:val="0063497F"/>
    <w:rsid w:val="00725CF5"/>
    <w:rsid w:val="0079577D"/>
    <w:rsid w:val="00867240"/>
    <w:rsid w:val="00873DF0"/>
    <w:rsid w:val="008756E6"/>
    <w:rsid w:val="008F62B8"/>
    <w:rsid w:val="009B2D44"/>
    <w:rsid w:val="009E4E83"/>
    <w:rsid w:val="00A07E82"/>
    <w:rsid w:val="00A9710C"/>
    <w:rsid w:val="00AE3E37"/>
    <w:rsid w:val="00B21A57"/>
    <w:rsid w:val="00BD5CC9"/>
    <w:rsid w:val="00BD76BD"/>
    <w:rsid w:val="00C33602"/>
    <w:rsid w:val="00C83DAF"/>
    <w:rsid w:val="00CD6F55"/>
    <w:rsid w:val="00D570DB"/>
    <w:rsid w:val="00DE1AF1"/>
    <w:rsid w:val="00DE3104"/>
    <w:rsid w:val="00E74EAE"/>
    <w:rsid w:val="00E772C5"/>
    <w:rsid w:val="00E95A72"/>
    <w:rsid w:val="00F00213"/>
    <w:rsid w:val="00F330AC"/>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4E0A04"/>
  <w15:docId w15:val="{4AA8C5B1-2758-4EF6-9465-203D23AD3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MDPI12title">
    <w:name w:val="MDPI_1.2_title"/>
    <w:next w:val="Normal"/>
    <w:qFormat/>
    <w:rsid w:val="000C029E"/>
    <w:pPr>
      <w:widowControl/>
      <w:adjustRightInd w:val="0"/>
      <w:snapToGrid w:val="0"/>
      <w:spacing w:after="240" w:line="240" w:lineRule="atLeast"/>
    </w:pPr>
    <w:rPr>
      <w:rFonts w:ascii="MyriadPro-Regular" w:eastAsia="Calibri Light" w:hAnsi="MyriadPro-Regular" w:cs="Calibri Light"/>
      <w:b/>
      <w:snapToGrid w:val="0"/>
      <w:color w:val="000000"/>
      <w:sz w:val="36"/>
      <w:szCs w:val="20"/>
      <w:lang w:eastAsia="de-DE" w:bidi="en-US"/>
    </w:rPr>
  </w:style>
  <w:style w:type="paragraph" w:customStyle="1" w:styleId="MDPI16affiliation">
    <w:name w:val="MDPI_1.6_affiliation"/>
    <w:qFormat/>
    <w:rsid w:val="00426B03"/>
    <w:pPr>
      <w:widowControl/>
      <w:adjustRightInd w:val="0"/>
      <w:snapToGrid w:val="0"/>
      <w:spacing w:line="200" w:lineRule="atLeast"/>
      <w:ind w:left="2806" w:hanging="198"/>
    </w:pPr>
    <w:rPr>
      <w:rFonts w:ascii="MyriadPro-Regular" w:eastAsia="Calibri Light" w:hAnsi="MyriadPro-Regular" w:cs="Calibri Light"/>
      <w:color w:val="000000"/>
      <w:sz w:val="16"/>
      <w:szCs w:val="18"/>
      <w:lang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148345">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23917196">
      <w:bodyDiv w:val="1"/>
      <w:marLeft w:val="0"/>
      <w:marRight w:val="0"/>
      <w:marTop w:val="0"/>
      <w:marBottom w:val="0"/>
      <w:divBdr>
        <w:top w:val="none" w:sz="0" w:space="0" w:color="auto"/>
        <w:left w:val="none" w:sz="0" w:space="0" w:color="auto"/>
        <w:bottom w:val="none" w:sz="0" w:space="0" w:color="auto"/>
        <w:right w:val="none" w:sz="0" w:space="0" w:color="auto"/>
      </w:divBdr>
      <w:divsChild>
        <w:div w:id="704257694">
          <w:marLeft w:val="0"/>
          <w:marRight w:val="0"/>
          <w:marTop w:val="0"/>
          <w:marBottom w:val="0"/>
          <w:divBdr>
            <w:top w:val="none" w:sz="0" w:space="0" w:color="auto"/>
            <w:left w:val="none" w:sz="0" w:space="0" w:color="auto"/>
            <w:bottom w:val="none" w:sz="0" w:space="0" w:color="auto"/>
            <w:right w:val="none" w:sz="0" w:space="0" w:color="auto"/>
          </w:divBdr>
          <w:divsChild>
            <w:div w:id="1471285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756502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n.civilica.com/papers/l-10334/" TargetMode="External"/><Relationship Id="rId5" Type="http://schemas.openxmlformats.org/officeDocument/2006/relationships/footnotes" Target="footnotes.xml"/><Relationship Id="rId10" Type="http://schemas.openxmlformats.org/officeDocument/2006/relationships/hyperlink" Target="https://en.civilica.com/papers/l-10334/"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632</Words>
  <Characters>3604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Sahar Seraj</cp:lastModifiedBy>
  <cp:revision>2</cp:revision>
  <dcterms:created xsi:type="dcterms:W3CDTF">2022-01-18T08:20:00Z</dcterms:created>
  <dcterms:modified xsi:type="dcterms:W3CDTF">2022-01-18T08:20:00Z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