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78" w:rsidRPr="004D3178" w:rsidRDefault="004D3178" w:rsidP="004D3178">
      <w:pPr>
        <w:keepNext/>
        <w:keepLines/>
        <w:widowControl/>
        <w:spacing w:line="48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4"/>
          <w:lang w:val="en-GB"/>
        </w:rPr>
      </w:pPr>
      <w:bookmarkStart w:id="0" w:name="_Toc479150779"/>
      <w:r w:rsidRPr="004D3178">
        <w:rPr>
          <w:rFonts w:ascii="Times New Roman" w:eastAsia="Times New Roman" w:hAnsi="Times New Roman" w:cs="Times New Roman"/>
          <w:b/>
          <w:sz w:val="32"/>
          <w:szCs w:val="24"/>
          <w:lang w:val="en-GB"/>
        </w:rPr>
        <w:t>Smart Properties of Co-doped (Bi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vertAlign w:val="superscript"/>
          <w:lang w:val="en-GB"/>
        </w:rPr>
        <w:t>3+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lang w:val="en-GB"/>
        </w:rPr>
        <w:t xml:space="preserve"> &amp; Zr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vertAlign w:val="superscript"/>
          <w:lang w:val="en-GB"/>
        </w:rPr>
        <w:t>4+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lang w:val="en-GB"/>
        </w:rPr>
        <w:t>) Potassium Sodium Niobate (K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vertAlign w:val="subscript"/>
          <w:lang w:val="en-GB"/>
        </w:rPr>
        <w:t>0.50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lang w:val="en-GB"/>
        </w:rPr>
        <w:t>Na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vertAlign w:val="subscript"/>
          <w:lang w:val="en-GB"/>
        </w:rPr>
        <w:t>0.50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lang w:val="en-GB"/>
        </w:rPr>
        <w:t>NbO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vertAlign w:val="subscript"/>
          <w:lang w:val="en-GB"/>
        </w:rPr>
        <w:t>3</w:t>
      </w:r>
      <w:r w:rsidRPr="004D3178">
        <w:rPr>
          <w:rFonts w:ascii="Times New Roman" w:eastAsia="Times New Roman" w:hAnsi="Times New Roman" w:cs="Times New Roman"/>
          <w:b/>
          <w:sz w:val="32"/>
          <w:szCs w:val="24"/>
          <w:lang w:val="en-GB"/>
        </w:rPr>
        <w:t>) Based Piezoelectric Ceramics</w:t>
      </w:r>
      <w:bookmarkEnd w:id="0"/>
    </w:p>
    <w:p w:rsidR="005973B9" w:rsidRDefault="004D317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gramStart"/>
      <w:r>
        <w:rPr>
          <w:rFonts w:ascii="Arial"/>
        </w:rPr>
        <w:t>Fayaz Hussain, PhD, Department of Materials Engineering, NED University of Engineering &amp; Technology, Pakistan.</w:t>
      </w:r>
      <w:proofErr w:type="gramEnd"/>
      <w:r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1C4809" w:rsidRPr="001C4809" w:rsidRDefault="001C4809" w:rsidP="001C4809">
      <w:pPr>
        <w:pStyle w:val="Heading3"/>
        <w:spacing w:before="74" w:line="360" w:lineRule="auto"/>
        <w:jc w:val="both"/>
        <w:rPr>
          <w:b w:val="0"/>
          <w:sz w:val="18"/>
          <w:szCs w:val="18"/>
          <w:lang w:val="en-GB"/>
        </w:rPr>
      </w:pPr>
      <w:r w:rsidRPr="001C4809">
        <w:rPr>
          <w:b w:val="0"/>
          <w:sz w:val="18"/>
          <w:szCs w:val="18"/>
          <w:lang w:val="en-GB"/>
        </w:rPr>
        <w:t>Co-doped compositions based on (1-x</w:t>
      </w:r>
      <w:proofErr w:type="gramStart"/>
      <w:r w:rsidRPr="001C4809">
        <w:rPr>
          <w:b w:val="0"/>
          <w:sz w:val="18"/>
          <w:szCs w:val="18"/>
          <w:lang w:val="en-GB"/>
        </w:rPr>
        <w:t>)(</w:t>
      </w:r>
      <w:proofErr w:type="gramEnd"/>
      <w:r w:rsidRPr="001C4809">
        <w:rPr>
          <w:b w:val="0"/>
          <w:sz w:val="18"/>
          <w:szCs w:val="18"/>
          <w:lang w:val="en-GB"/>
        </w:rPr>
        <w:t>K</w:t>
      </w:r>
      <w:r w:rsidRPr="001C4809">
        <w:rPr>
          <w:b w:val="0"/>
          <w:sz w:val="18"/>
          <w:szCs w:val="18"/>
          <w:vertAlign w:val="subscript"/>
          <w:lang w:val="en-GB"/>
        </w:rPr>
        <w:t>0.50</w:t>
      </w:r>
      <w:r w:rsidRPr="001C4809">
        <w:rPr>
          <w:b w:val="0"/>
          <w:sz w:val="18"/>
          <w:szCs w:val="18"/>
          <w:lang w:val="en-GB"/>
        </w:rPr>
        <w:t>Na</w:t>
      </w:r>
      <w:r w:rsidRPr="001C4809">
        <w:rPr>
          <w:b w:val="0"/>
          <w:sz w:val="18"/>
          <w:szCs w:val="18"/>
          <w:vertAlign w:val="subscript"/>
          <w:lang w:val="en-GB"/>
        </w:rPr>
        <w:t>0.5</w:t>
      </w:r>
      <w:r w:rsidRPr="001C4809">
        <w:rPr>
          <w:b w:val="0"/>
          <w:sz w:val="18"/>
          <w:szCs w:val="18"/>
          <w:lang w:val="en-GB"/>
        </w:rPr>
        <w:t>)NbO</w:t>
      </w:r>
      <w:r w:rsidRPr="001C4809">
        <w:rPr>
          <w:b w:val="0"/>
          <w:sz w:val="18"/>
          <w:szCs w:val="18"/>
          <w:vertAlign w:val="subscript"/>
          <w:lang w:val="en-GB"/>
        </w:rPr>
        <w:t>3</w:t>
      </w:r>
      <w:r w:rsidRPr="001C4809">
        <w:rPr>
          <w:b w:val="0"/>
          <w:sz w:val="18"/>
          <w:szCs w:val="18"/>
          <w:lang w:val="en-GB"/>
        </w:rPr>
        <w:t xml:space="preserve"> – x(Bi</w:t>
      </w:r>
      <w:r w:rsidRPr="001C4809">
        <w:rPr>
          <w:b w:val="0"/>
          <w:sz w:val="18"/>
          <w:szCs w:val="18"/>
          <w:vertAlign w:val="subscript"/>
          <w:lang w:val="en-GB"/>
        </w:rPr>
        <w:t>0.50</w:t>
      </w:r>
      <w:r w:rsidRPr="001C4809">
        <w:rPr>
          <w:b w:val="0"/>
          <w:sz w:val="18"/>
          <w:szCs w:val="18"/>
          <w:lang w:val="en-GB"/>
        </w:rPr>
        <w:t>Na</w:t>
      </w:r>
      <w:r w:rsidRPr="001C4809">
        <w:rPr>
          <w:b w:val="0"/>
          <w:sz w:val="18"/>
          <w:szCs w:val="18"/>
          <w:vertAlign w:val="subscript"/>
          <w:lang w:val="en-GB"/>
        </w:rPr>
        <w:t>0.50</w:t>
      </w:r>
      <w:r w:rsidRPr="001C4809">
        <w:rPr>
          <w:b w:val="0"/>
          <w:sz w:val="18"/>
          <w:szCs w:val="18"/>
          <w:lang w:val="en-GB"/>
        </w:rPr>
        <w:t>)ZrO</w:t>
      </w:r>
      <w:r w:rsidRPr="001C4809">
        <w:rPr>
          <w:b w:val="0"/>
          <w:sz w:val="18"/>
          <w:szCs w:val="18"/>
          <w:vertAlign w:val="subscript"/>
          <w:lang w:val="en-GB"/>
        </w:rPr>
        <w:t>3</w:t>
      </w:r>
      <w:r w:rsidRPr="001C4809">
        <w:rPr>
          <w:b w:val="0"/>
          <w:sz w:val="18"/>
          <w:szCs w:val="18"/>
          <w:lang w:val="en-GB"/>
        </w:rPr>
        <w:t xml:space="preserve"> (KNN-BNZ) have been studied, where 0.01 ≤ x ≤0.06. The grain morphology through SEM analysis of KNN-NBZ remained similar in all compositions and revealed densely packed arrangement of grains consistent with a relative density &gt;95% of the theoretical</w:t>
      </w:r>
      <w:r w:rsidRPr="001C4809">
        <w:rPr>
          <w:b w:val="0"/>
          <w:sz w:val="18"/>
          <w:szCs w:val="18"/>
        </w:rPr>
        <w:t>. The XRD result of sintered samples showed single phase perovskite in the range of 2</w:t>
      </w:r>
      <w:r w:rsidRPr="001C4809">
        <w:rPr>
          <w:b w:val="0"/>
          <w:sz w:val="18"/>
          <w:szCs w:val="18"/>
        </w:rPr>
        <w:sym w:font="Symbol" w:char="F071"/>
      </w:r>
      <w:r w:rsidRPr="001C4809">
        <w:rPr>
          <w:b w:val="0"/>
          <w:sz w:val="18"/>
          <w:szCs w:val="18"/>
        </w:rPr>
        <w:t xml:space="preserve">=15° to 80°. </w:t>
      </w:r>
      <w:r w:rsidRPr="001C4809">
        <w:rPr>
          <w:b w:val="0"/>
          <w:sz w:val="18"/>
          <w:szCs w:val="18"/>
          <w:lang w:val="en-GB"/>
        </w:rPr>
        <w:t>The best relative permittivity (</w:t>
      </w:r>
      <w:proofErr w:type="spellStart"/>
      <w:r w:rsidRPr="001C4809">
        <w:rPr>
          <w:b w:val="0"/>
          <w:sz w:val="18"/>
          <w:szCs w:val="18"/>
          <w:lang w:val="en-GB"/>
        </w:rPr>
        <w:t>ε</w:t>
      </w:r>
      <w:r w:rsidRPr="001C4809">
        <w:rPr>
          <w:b w:val="0"/>
          <w:sz w:val="18"/>
          <w:szCs w:val="18"/>
          <w:vertAlign w:val="subscript"/>
          <w:lang w:val="en-GB"/>
        </w:rPr>
        <w:t>r</w:t>
      </w:r>
      <w:proofErr w:type="spellEnd"/>
      <w:r w:rsidRPr="001C4809">
        <w:rPr>
          <w:b w:val="0"/>
          <w:sz w:val="18"/>
          <w:szCs w:val="18"/>
          <w:lang w:val="en-GB"/>
        </w:rPr>
        <w:t>) of the composition of 0.05 ≤ x ≤ 0.06 observed form LCR data. In addition to this, the dielectric loss (Tan</w:t>
      </w:r>
      <w:r w:rsidRPr="001C4809">
        <w:rPr>
          <w:b w:val="0"/>
          <w:sz w:val="18"/>
          <w:szCs w:val="18"/>
          <w:lang w:val="en-GB"/>
        </w:rPr>
        <w:sym w:font="Symbol" w:char="F064"/>
      </w:r>
      <w:r w:rsidRPr="001C4809">
        <w:rPr>
          <w:b w:val="0"/>
          <w:sz w:val="18"/>
          <w:szCs w:val="18"/>
          <w:lang w:val="en-GB"/>
        </w:rPr>
        <w:t>) is &lt;0.05 in all compounds up to the Curie point (T</w:t>
      </w:r>
      <w:r w:rsidRPr="001C4809">
        <w:rPr>
          <w:b w:val="0"/>
          <w:sz w:val="18"/>
          <w:szCs w:val="18"/>
          <w:vertAlign w:val="subscript"/>
          <w:lang w:val="en-GB"/>
        </w:rPr>
        <w:t>C</w:t>
      </w:r>
      <w:r w:rsidRPr="001C4809">
        <w:rPr>
          <w:b w:val="0"/>
          <w:sz w:val="18"/>
          <w:szCs w:val="18"/>
          <w:lang w:val="en-GB"/>
        </w:rPr>
        <w:t>). Most noteworthy ferroelectric-hysteresis-loop is that the ceramics with x = 0.52 saturate at the lowest applied-electric-field (20kV/cm). In stark contrast to all KNN-BNZ compositions, a huge enhancement in piezoelectric activity obtained with an optimum of d</w:t>
      </w:r>
      <w:r w:rsidRPr="001C4809">
        <w:rPr>
          <w:b w:val="0"/>
          <w:sz w:val="18"/>
          <w:szCs w:val="18"/>
          <w:vertAlign w:val="subscript"/>
          <w:lang w:val="en-GB"/>
        </w:rPr>
        <w:t>33</w:t>
      </w:r>
      <w:r w:rsidRPr="001C4809">
        <w:rPr>
          <w:b w:val="0"/>
          <w:sz w:val="18"/>
          <w:szCs w:val="18"/>
          <w:lang w:val="en-GB"/>
        </w:rPr>
        <w:t xml:space="preserve">=315pC/N and </w:t>
      </w:r>
      <w:proofErr w:type="spellStart"/>
      <w:proofErr w:type="gramStart"/>
      <w:r w:rsidRPr="001C4809">
        <w:rPr>
          <w:b w:val="0"/>
          <w:sz w:val="18"/>
          <w:szCs w:val="18"/>
          <w:lang w:val="en-GB"/>
        </w:rPr>
        <w:t>k</w:t>
      </w:r>
      <w:r w:rsidRPr="001C4809">
        <w:rPr>
          <w:b w:val="0"/>
          <w:sz w:val="18"/>
          <w:szCs w:val="18"/>
          <w:vertAlign w:val="subscript"/>
          <w:lang w:val="en-GB"/>
        </w:rPr>
        <w:t>p</w:t>
      </w:r>
      <w:proofErr w:type="spellEnd"/>
      <w:proofErr w:type="gramEnd"/>
      <w:r w:rsidRPr="001C4809">
        <w:rPr>
          <w:b w:val="0"/>
          <w:sz w:val="18"/>
          <w:szCs w:val="18"/>
          <w:lang w:val="en-GB"/>
        </w:rPr>
        <w:t xml:space="preserve"> =0.45 for the composition with x = 0.052. Nevertheless, the formulations above x=0.52 showed relaxor type behaviour which should be applicable for inverse piezoelectric-effect applications.</w:t>
      </w: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67412C" w:rsidRDefault="0067412C">
      <w:pPr>
        <w:pStyle w:val="Heading3"/>
        <w:spacing w:before="74"/>
        <w:rPr>
          <w:b w:val="0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5D5D32">
      <w:pPr>
        <w:pStyle w:val="BodyText"/>
        <w:spacing w:before="2"/>
        <w:rPr>
          <w:noProof/>
          <w:lang w:val="en-GB" w:eastAsia="en-GB"/>
        </w:rPr>
      </w:pPr>
      <w:r w:rsidRPr="005D5D32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E372759" wp14:editId="24ED8090">
            <wp:extent cx="2734084" cy="2096219"/>
            <wp:effectExtent l="0" t="0" r="9525" b="0"/>
            <wp:docPr id="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escription: K:\PhD\PC_Uni_23-12-15\PhD-fh\Results- final\fh-ferro\BZ-50-50\d33 and kp of BZ doped knn-50-5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485" cy="210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Pr="008E53C0" w:rsidRDefault="005D5D32" w:rsidP="008E53C0">
      <w:pPr>
        <w:pStyle w:val="BodyText"/>
        <w:spacing w:before="2" w:line="360" w:lineRule="auto"/>
        <w:jc w:val="center"/>
        <w:rPr>
          <w:rFonts w:ascii="Arial"/>
          <w:b/>
          <w:bCs/>
          <w:sz w:val="16"/>
          <w:lang w:val="en-GB"/>
        </w:rPr>
      </w:pPr>
      <w:bookmarkStart w:id="1" w:name="_Ref446972636"/>
      <w:bookmarkStart w:id="2" w:name="_Toc447032625"/>
      <w:r w:rsidRPr="00316EB1">
        <w:rPr>
          <w:rFonts w:ascii="Arial"/>
          <w:bCs/>
          <w:sz w:val="16"/>
          <w:lang w:val="en-GB"/>
        </w:rPr>
        <w:t xml:space="preserve">Figure </w:t>
      </w:r>
      <w:bookmarkEnd w:id="1"/>
      <w:proofErr w:type="gramStart"/>
      <w:r w:rsidRPr="00316EB1">
        <w:rPr>
          <w:rFonts w:ascii="Arial"/>
          <w:bCs/>
          <w:sz w:val="16"/>
          <w:lang w:val="en-GB"/>
        </w:rPr>
        <w:t>1  Piezoelectric</w:t>
      </w:r>
      <w:proofErr w:type="gramEnd"/>
      <w:r w:rsidRPr="00316EB1">
        <w:rPr>
          <w:rFonts w:ascii="Arial"/>
          <w:bCs/>
          <w:sz w:val="16"/>
          <w:lang w:val="en-GB"/>
        </w:rPr>
        <w:t xml:space="preserve"> coefficient and coupling factor versus addition of BNZ in KNN-50/50</w:t>
      </w:r>
      <w:bookmarkEnd w:id="2"/>
      <w:r w:rsidR="005973B9">
        <w:rPr>
          <w:rFonts w:ascii="Arial"/>
          <w:b/>
          <w:color w:val="BF5A14"/>
          <w:sz w:val="20"/>
        </w:rPr>
        <w:br/>
        <w:t>Recent Publications</w:t>
      </w:r>
    </w:p>
    <w:p w:rsidR="00CF305D" w:rsidRDefault="00CF305D" w:rsidP="00CF305D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1-Amir </w:t>
      </w:r>
      <w:proofErr w:type="spellStart"/>
      <w:r>
        <w:rPr>
          <w:rFonts w:ascii="Calibri" w:eastAsia="Calibri" w:hAnsi="Calibri" w:cs="Calibri"/>
          <w:sz w:val="18"/>
        </w:rPr>
        <w:t>Khesro</w:t>
      </w:r>
      <w:proofErr w:type="spellEnd"/>
      <w:r>
        <w:rPr>
          <w:rFonts w:ascii="Calibri" w:eastAsia="Calibri" w:hAnsi="Calibri" w:cs="Calibri"/>
          <w:sz w:val="18"/>
        </w:rPr>
        <w:t xml:space="preserve">, </w:t>
      </w:r>
      <w:proofErr w:type="spellStart"/>
      <w:r w:rsidRPr="00CF305D">
        <w:rPr>
          <w:rFonts w:ascii="Calibri" w:eastAsia="Calibri" w:hAnsi="Calibri" w:cs="Calibri"/>
          <w:sz w:val="18"/>
        </w:rPr>
        <w:t>Dawei</w:t>
      </w:r>
      <w:proofErr w:type="spellEnd"/>
      <w:r w:rsidRPr="00CF305D">
        <w:rPr>
          <w:rFonts w:ascii="Calibri" w:eastAsia="Calibri" w:hAnsi="Calibri" w:cs="Calibri"/>
          <w:sz w:val="18"/>
        </w:rPr>
        <w:t xml:space="preserve"> Wang,</w:t>
      </w:r>
      <w:r>
        <w:rPr>
          <w:rFonts w:ascii="Calibri" w:eastAsia="Calibri" w:hAnsi="Calibri" w:cs="Calibri"/>
          <w:sz w:val="18"/>
        </w:rPr>
        <w:t xml:space="preserve"> </w:t>
      </w:r>
      <w:r w:rsidRPr="00B9654C">
        <w:rPr>
          <w:rFonts w:ascii="Calibri" w:eastAsia="Calibri" w:hAnsi="Calibri" w:cs="Calibri"/>
          <w:b/>
          <w:sz w:val="18"/>
        </w:rPr>
        <w:t>Fayaz Hussain</w:t>
      </w:r>
      <w:r w:rsidRPr="00CF305D">
        <w:rPr>
          <w:rFonts w:ascii="Calibri" w:eastAsia="Calibri" w:hAnsi="Calibri" w:cs="Calibri"/>
          <w:sz w:val="18"/>
        </w:rPr>
        <w:t>,</w:t>
      </w:r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Pr="00CF305D">
        <w:rPr>
          <w:rFonts w:ascii="Calibri" w:eastAsia="Calibri" w:hAnsi="Calibri" w:cs="Calibri"/>
          <w:sz w:val="18"/>
        </w:rPr>
        <w:t>Raz</w:t>
      </w:r>
      <w:proofErr w:type="spellEnd"/>
      <w:r w:rsidRPr="00CF305D">
        <w:rPr>
          <w:rFonts w:ascii="Calibri" w:eastAsia="Calibri" w:hAnsi="Calibri" w:cs="Calibri"/>
          <w:sz w:val="18"/>
        </w:rPr>
        <w:t xml:space="preserve"> Muhammad,</w:t>
      </w:r>
      <w:r>
        <w:rPr>
          <w:rFonts w:ascii="Calibri" w:eastAsia="Calibri" w:hAnsi="Calibri" w:cs="Calibri"/>
          <w:sz w:val="18"/>
        </w:rPr>
        <w:t xml:space="preserve"> </w:t>
      </w:r>
      <w:r w:rsidRPr="00CF305D">
        <w:rPr>
          <w:rFonts w:ascii="Calibri" w:eastAsia="Calibri" w:hAnsi="Calibri" w:cs="Calibri"/>
          <w:sz w:val="18"/>
        </w:rPr>
        <w:t xml:space="preserve">Antonio </w:t>
      </w:r>
      <w:proofErr w:type="spellStart"/>
      <w:r w:rsidRPr="00CF305D">
        <w:rPr>
          <w:rFonts w:ascii="Calibri" w:eastAsia="Calibri" w:hAnsi="Calibri" w:cs="Calibri"/>
          <w:sz w:val="18"/>
        </w:rPr>
        <w:t>Feteira</w:t>
      </w:r>
      <w:proofErr w:type="spellEnd"/>
      <w:r w:rsidRPr="00CF305D">
        <w:rPr>
          <w:rFonts w:ascii="Calibri" w:eastAsia="Calibri" w:hAnsi="Calibri" w:cs="Calibri"/>
          <w:sz w:val="18"/>
        </w:rPr>
        <w:t xml:space="preserve"> and</w:t>
      </w:r>
      <w:r>
        <w:rPr>
          <w:rFonts w:ascii="Calibri" w:eastAsia="Calibri" w:hAnsi="Calibri" w:cs="Calibri"/>
          <w:sz w:val="18"/>
        </w:rPr>
        <w:t xml:space="preserve"> </w:t>
      </w:r>
      <w:r w:rsidRPr="00CF305D">
        <w:rPr>
          <w:rFonts w:ascii="Calibri" w:eastAsia="Calibri" w:hAnsi="Calibri" w:cs="Calibri"/>
          <w:sz w:val="18"/>
        </w:rPr>
        <w:t>Ian Reaney</w:t>
      </w:r>
      <w:r w:rsidR="002C525F">
        <w:rPr>
          <w:rFonts w:ascii="Calibri" w:eastAsia="Calibri" w:hAnsi="Calibri" w:cs="Calibri"/>
          <w:sz w:val="18"/>
        </w:rPr>
        <w:t xml:space="preserve">, </w:t>
      </w:r>
      <w:r w:rsidR="0078327B">
        <w:rPr>
          <w:rFonts w:ascii="Calibri" w:eastAsia="Calibri" w:hAnsi="Calibri" w:cs="Calibri"/>
          <w:sz w:val="18"/>
        </w:rPr>
        <w:t>“</w:t>
      </w:r>
      <w:r w:rsidR="0078327B" w:rsidRPr="0078327B">
        <w:rPr>
          <w:rFonts w:ascii="Calibri" w:eastAsia="Calibri" w:hAnsi="Calibri" w:cs="Calibri"/>
          <w:sz w:val="18"/>
        </w:rPr>
        <w:t>Temperature dependent piezoelectric properties of lead-free (1-x)K0.6Na0.4NbO3–xBiFeO3 ceramics</w:t>
      </w:r>
      <w:r w:rsidR="0078327B">
        <w:rPr>
          <w:rFonts w:ascii="Calibri" w:eastAsia="Calibri" w:hAnsi="Calibri" w:cs="Calibri"/>
          <w:sz w:val="18"/>
        </w:rPr>
        <w:t xml:space="preserve">”, </w:t>
      </w:r>
      <w:r w:rsidR="0078327B" w:rsidRPr="0078327B">
        <w:rPr>
          <w:rFonts w:ascii="Calibri" w:eastAsia="Calibri" w:hAnsi="Calibri" w:cs="Calibri"/>
          <w:sz w:val="18"/>
        </w:rPr>
        <w:t>Frontiers in Materia</w:t>
      </w:r>
      <w:r w:rsidR="0078327B">
        <w:rPr>
          <w:rFonts w:ascii="Calibri" w:eastAsia="Calibri" w:hAnsi="Calibri" w:cs="Calibri"/>
          <w:sz w:val="18"/>
        </w:rPr>
        <w:t>ls: Ceramics and Glass, under review</w:t>
      </w:r>
      <w:r w:rsidR="0078327B" w:rsidRPr="0078327B">
        <w:rPr>
          <w:rFonts w:ascii="Calibri" w:eastAsia="Calibri" w:hAnsi="Calibri" w:cs="Calibri"/>
          <w:sz w:val="18"/>
        </w:rPr>
        <w:t xml:space="preserve">, </w:t>
      </w:r>
      <w:r w:rsidR="0078327B" w:rsidRPr="00510FCA">
        <w:rPr>
          <w:rFonts w:ascii="Calibri" w:eastAsia="Calibri" w:hAnsi="Calibri" w:cs="Calibri"/>
          <w:b/>
          <w:sz w:val="18"/>
        </w:rPr>
        <w:t>March-2020</w:t>
      </w:r>
      <w:r w:rsidR="0078327B">
        <w:rPr>
          <w:rFonts w:ascii="Calibri" w:eastAsia="Calibri" w:hAnsi="Calibri" w:cs="Calibri"/>
          <w:sz w:val="18"/>
        </w:rPr>
        <w:t>.</w:t>
      </w:r>
    </w:p>
    <w:p w:rsidR="00274978" w:rsidRDefault="00CF305D" w:rsidP="00F17325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2-</w:t>
      </w:r>
      <w:r w:rsidR="00274978" w:rsidRPr="00B9654C">
        <w:rPr>
          <w:rFonts w:ascii="Calibri" w:eastAsia="Calibri" w:hAnsi="Calibri" w:cs="Calibri"/>
          <w:b/>
          <w:sz w:val="18"/>
        </w:rPr>
        <w:t>Fayaz HUSSAIN</w:t>
      </w:r>
      <w:r w:rsidR="00274978" w:rsidRPr="00274978">
        <w:rPr>
          <w:rFonts w:ascii="Calibri" w:eastAsia="Calibri" w:hAnsi="Calibri" w:cs="Calibri"/>
          <w:sz w:val="18"/>
        </w:rPr>
        <w:t>,</w:t>
      </w:r>
      <w:r w:rsidR="00274978">
        <w:rPr>
          <w:rFonts w:ascii="Calibri" w:eastAsia="Calibri" w:hAnsi="Calibri" w:cs="Calibri"/>
          <w:sz w:val="18"/>
        </w:rPr>
        <w:t xml:space="preserve"> </w:t>
      </w:r>
      <w:r w:rsidR="00274978" w:rsidRPr="00274978">
        <w:rPr>
          <w:rFonts w:ascii="Calibri" w:eastAsia="Calibri" w:hAnsi="Calibri" w:cs="Calibri"/>
          <w:sz w:val="18"/>
        </w:rPr>
        <w:t xml:space="preserve">Amir </w:t>
      </w:r>
      <w:proofErr w:type="spellStart"/>
      <w:r w:rsidR="00274978" w:rsidRPr="00274978">
        <w:rPr>
          <w:rFonts w:ascii="Calibri" w:eastAsia="Calibri" w:hAnsi="Calibri" w:cs="Calibri"/>
          <w:sz w:val="18"/>
        </w:rPr>
        <w:t>Khesro</w:t>
      </w:r>
      <w:proofErr w:type="spellEnd"/>
      <w:r w:rsidR="00274978" w:rsidRPr="00274978">
        <w:rPr>
          <w:rFonts w:ascii="Calibri" w:eastAsia="Calibri" w:hAnsi="Calibri" w:cs="Calibri"/>
          <w:sz w:val="18"/>
        </w:rPr>
        <w:t>,</w:t>
      </w:r>
      <w:r w:rsidR="00274978">
        <w:rPr>
          <w:rFonts w:ascii="Calibri" w:eastAsia="Calibri" w:hAnsi="Calibri" w:cs="Calibri"/>
          <w:sz w:val="18"/>
        </w:rPr>
        <w:t xml:space="preserve"> </w:t>
      </w:r>
      <w:proofErr w:type="spellStart"/>
      <w:r w:rsidR="00274978" w:rsidRPr="00274978">
        <w:rPr>
          <w:rFonts w:ascii="Calibri" w:eastAsia="Calibri" w:hAnsi="Calibri" w:cs="Calibri"/>
          <w:sz w:val="18"/>
        </w:rPr>
        <w:t>Zhilun</w:t>
      </w:r>
      <w:proofErr w:type="spellEnd"/>
      <w:r w:rsidR="00274978" w:rsidRPr="00274978">
        <w:rPr>
          <w:rFonts w:ascii="Calibri" w:eastAsia="Calibri" w:hAnsi="Calibri" w:cs="Calibri"/>
          <w:sz w:val="18"/>
        </w:rPr>
        <w:t xml:space="preserve"> Lu,</w:t>
      </w:r>
      <w:r w:rsidR="00274978">
        <w:rPr>
          <w:rFonts w:ascii="Calibri" w:eastAsia="Calibri" w:hAnsi="Calibri" w:cs="Calibri"/>
          <w:sz w:val="18"/>
        </w:rPr>
        <w:t xml:space="preserve"> </w:t>
      </w:r>
      <w:proofErr w:type="spellStart"/>
      <w:r w:rsidR="00274978">
        <w:rPr>
          <w:rFonts w:ascii="Calibri" w:eastAsia="Calibri" w:hAnsi="Calibri" w:cs="Calibri"/>
          <w:sz w:val="18"/>
        </w:rPr>
        <w:t>Ge</w:t>
      </w:r>
      <w:proofErr w:type="spellEnd"/>
      <w:r w:rsidR="00274978">
        <w:rPr>
          <w:rFonts w:ascii="Calibri" w:eastAsia="Calibri" w:hAnsi="Calibri" w:cs="Calibri"/>
          <w:sz w:val="18"/>
        </w:rPr>
        <w:t xml:space="preserve"> Wang and </w:t>
      </w:r>
      <w:proofErr w:type="spellStart"/>
      <w:r w:rsidR="00274978" w:rsidRPr="00274978">
        <w:rPr>
          <w:rFonts w:ascii="Calibri" w:eastAsia="Calibri" w:hAnsi="Calibri" w:cs="Calibri"/>
          <w:sz w:val="18"/>
        </w:rPr>
        <w:t>Dawei</w:t>
      </w:r>
      <w:proofErr w:type="spellEnd"/>
      <w:r w:rsidR="00274978" w:rsidRPr="00274978">
        <w:rPr>
          <w:rFonts w:ascii="Calibri" w:eastAsia="Calibri" w:hAnsi="Calibri" w:cs="Calibri"/>
          <w:sz w:val="18"/>
        </w:rPr>
        <w:t xml:space="preserve"> Wang</w:t>
      </w:r>
      <w:r w:rsidR="00274978" w:rsidRPr="00274978">
        <w:rPr>
          <w:rFonts w:ascii="Calibri" w:eastAsia="Calibri" w:hAnsi="Calibri" w:cs="Calibri"/>
          <w:sz w:val="18"/>
        </w:rPr>
        <w:t xml:space="preserve"> </w:t>
      </w:r>
      <w:r w:rsidR="00274978">
        <w:rPr>
          <w:rFonts w:ascii="Calibri" w:eastAsia="Calibri" w:hAnsi="Calibri" w:cs="Calibri"/>
          <w:sz w:val="18"/>
        </w:rPr>
        <w:t>“</w:t>
      </w:r>
      <w:r w:rsidR="00274978" w:rsidRPr="00274978">
        <w:rPr>
          <w:rFonts w:ascii="Calibri" w:eastAsia="Calibri" w:hAnsi="Calibri" w:cs="Calibri"/>
          <w:sz w:val="18"/>
        </w:rPr>
        <w:t xml:space="preserve">Lead Free Multilayer Piezoelectric Actuators by Economically New </w:t>
      </w:r>
      <w:bookmarkStart w:id="3" w:name="_GoBack"/>
      <w:bookmarkEnd w:id="3"/>
      <w:r w:rsidR="00274978" w:rsidRPr="00274978">
        <w:rPr>
          <w:rFonts w:ascii="Calibri" w:eastAsia="Calibri" w:hAnsi="Calibri" w:cs="Calibri"/>
          <w:sz w:val="18"/>
        </w:rPr>
        <w:t>Approach</w:t>
      </w:r>
      <w:r w:rsidR="00274978">
        <w:rPr>
          <w:rFonts w:ascii="Calibri" w:eastAsia="Calibri" w:hAnsi="Calibri" w:cs="Calibri"/>
          <w:sz w:val="18"/>
        </w:rPr>
        <w:t>”</w:t>
      </w:r>
      <w:r w:rsidR="00F17325">
        <w:rPr>
          <w:rFonts w:ascii="Calibri" w:eastAsia="Calibri" w:hAnsi="Calibri" w:cs="Calibri"/>
          <w:sz w:val="18"/>
        </w:rPr>
        <w:t>,</w:t>
      </w:r>
      <w:r w:rsidR="00F17325" w:rsidRPr="00F17325">
        <w:t xml:space="preserve"> </w:t>
      </w:r>
      <w:r w:rsidR="00F17325" w:rsidRPr="00F17325">
        <w:rPr>
          <w:rFonts w:ascii="Calibri" w:eastAsia="Calibri" w:hAnsi="Calibri" w:cs="Calibri"/>
          <w:sz w:val="18"/>
        </w:rPr>
        <w:t>Frontiers in Materials</w:t>
      </w:r>
      <w:r w:rsidR="00F17325">
        <w:rPr>
          <w:rFonts w:ascii="Calibri" w:eastAsia="Calibri" w:hAnsi="Calibri" w:cs="Calibri"/>
          <w:sz w:val="18"/>
        </w:rPr>
        <w:t xml:space="preserve">: </w:t>
      </w:r>
      <w:r w:rsidR="00F17325" w:rsidRPr="00F17325">
        <w:rPr>
          <w:rFonts w:ascii="Calibri" w:eastAsia="Calibri" w:hAnsi="Calibri" w:cs="Calibri"/>
          <w:sz w:val="18"/>
        </w:rPr>
        <w:t>Ceramics and Glass</w:t>
      </w:r>
      <w:r w:rsidR="00F17325">
        <w:rPr>
          <w:rFonts w:ascii="Calibri" w:eastAsia="Calibri" w:hAnsi="Calibri" w:cs="Calibri"/>
          <w:sz w:val="18"/>
        </w:rPr>
        <w:t>, accepted, March-</w:t>
      </w:r>
      <w:r w:rsidR="00F17325" w:rsidRPr="00510FCA">
        <w:rPr>
          <w:rFonts w:ascii="Calibri" w:eastAsia="Calibri" w:hAnsi="Calibri" w:cs="Calibri"/>
          <w:b/>
          <w:sz w:val="18"/>
        </w:rPr>
        <w:t xml:space="preserve">2020 </w:t>
      </w:r>
      <w:r w:rsidR="00510FCA">
        <w:rPr>
          <w:rFonts w:ascii="Calibri" w:eastAsia="Calibri" w:hAnsi="Calibri" w:cs="Calibri"/>
          <w:b/>
          <w:sz w:val="18"/>
        </w:rPr>
        <w:t>.</w:t>
      </w:r>
    </w:p>
    <w:p w:rsidR="0067412C" w:rsidRPr="0067412C" w:rsidRDefault="00CF305D" w:rsidP="0067412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3</w:t>
      </w:r>
      <w:r w:rsidR="00274978">
        <w:rPr>
          <w:rFonts w:ascii="Calibri" w:eastAsia="Calibri" w:hAnsi="Calibri" w:cs="Calibri"/>
          <w:sz w:val="18"/>
        </w:rPr>
        <w:t>-</w:t>
      </w:r>
      <w:r w:rsidR="0067412C" w:rsidRPr="0067412C">
        <w:rPr>
          <w:rFonts w:ascii="Calibri" w:eastAsia="Calibri" w:hAnsi="Calibri" w:cs="Calibri"/>
          <w:sz w:val="18"/>
        </w:rPr>
        <w:t xml:space="preserve">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Dandan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Han,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Changhao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Wang,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Dayong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Lu, </w:t>
      </w:r>
      <w:r w:rsidR="0067412C" w:rsidRPr="00B9654C">
        <w:rPr>
          <w:rFonts w:ascii="Calibri" w:eastAsia="Calibri" w:hAnsi="Calibri" w:cs="Calibri"/>
          <w:b/>
          <w:sz w:val="18"/>
        </w:rPr>
        <w:t>Fayaz Hussain</w:t>
      </w:r>
      <w:r w:rsidR="0067412C" w:rsidRPr="0067412C">
        <w:rPr>
          <w:rFonts w:ascii="Calibri" w:eastAsia="Calibri" w:hAnsi="Calibri" w:cs="Calibri"/>
          <w:sz w:val="18"/>
        </w:rPr>
        <w:t xml:space="preserve">,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Dawei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Wang,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Fanling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Meng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, “A temperature stable (Ba1-xCex)(Ti1-x/2Mgx/2)O3 lead-free ceramic for X4D capacitors”, Journal of Alloys and Compounds, Available online </w:t>
      </w:r>
      <w:r w:rsidR="0067412C" w:rsidRPr="00510FCA">
        <w:rPr>
          <w:rFonts w:ascii="Calibri" w:eastAsia="Calibri" w:hAnsi="Calibri" w:cs="Calibri"/>
          <w:b/>
          <w:sz w:val="18"/>
        </w:rPr>
        <w:t>23 December 2019</w:t>
      </w:r>
      <w:r w:rsidR="0067412C" w:rsidRPr="0067412C">
        <w:rPr>
          <w:rFonts w:ascii="Calibri" w:eastAsia="Calibri" w:hAnsi="Calibri" w:cs="Calibri"/>
          <w:sz w:val="18"/>
        </w:rPr>
        <w:t>.</w:t>
      </w:r>
    </w:p>
    <w:p w:rsidR="0067412C" w:rsidRPr="0067412C" w:rsidRDefault="00CF305D" w:rsidP="0067412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proofErr w:type="gramStart"/>
      <w:r>
        <w:rPr>
          <w:rFonts w:ascii="Calibri" w:eastAsia="Calibri" w:hAnsi="Calibri" w:cs="Calibri"/>
          <w:sz w:val="18"/>
        </w:rPr>
        <w:t>4-</w:t>
      </w:r>
      <w:r w:rsidR="0067412C" w:rsidRPr="00B9654C">
        <w:rPr>
          <w:rFonts w:ascii="Calibri" w:eastAsia="Calibri" w:hAnsi="Calibri" w:cs="Calibri"/>
          <w:b/>
          <w:sz w:val="18"/>
        </w:rPr>
        <w:t>Fayaz Hussain</w:t>
      </w:r>
      <w:r w:rsidR="0067412C" w:rsidRPr="0067412C">
        <w:rPr>
          <w:rFonts w:ascii="Calibri" w:eastAsia="Calibri" w:hAnsi="Calibri" w:cs="Calibri"/>
          <w:sz w:val="18"/>
        </w:rPr>
        <w:t xml:space="preserve">, Amir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Khesro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,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Raz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Muhammad,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Dawei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Wang, “Effect of Ta-doping on functional properties of K0.51Na0.49NbO3”, Materials Research Express.</w:t>
      </w:r>
      <w:proofErr w:type="gramEnd"/>
      <w:r w:rsidR="0067412C" w:rsidRPr="0067412C">
        <w:rPr>
          <w:rFonts w:ascii="Calibri" w:eastAsia="Calibri" w:hAnsi="Calibri" w:cs="Calibri"/>
          <w:sz w:val="18"/>
        </w:rPr>
        <w:t xml:space="preserve"> (IF=1.449), published (</w:t>
      </w:r>
      <w:r w:rsidR="0067412C" w:rsidRPr="00510FCA">
        <w:rPr>
          <w:rFonts w:ascii="Calibri" w:eastAsia="Calibri" w:hAnsi="Calibri" w:cs="Calibri"/>
          <w:b/>
          <w:sz w:val="18"/>
        </w:rPr>
        <w:t>Dated 22-08-2019</w:t>
      </w:r>
      <w:r w:rsidR="0067412C" w:rsidRPr="0067412C">
        <w:rPr>
          <w:rFonts w:ascii="Calibri" w:eastAsia="Calibri" w:hAnsi="Calibri" w:cs="Calibri"/>
          <w:sz w:val="18"/>
        </w:rPr>
        <w:t>).</w:t>
      </w:r>
    </w:p>
    <w:p w:rsidR="0067412C" w:rsidRPr="0067412C" w:rsidRDefault="00CF305D" w:rsidP="0067412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5-</w:t>
      </w:r>
      <w:r w:rsidR="0067412C" w:rsidRPr="0067412C">
        <w:rPr>
          <w:rFonts w:ascii="Calibri" w:eastAsia="Calibri" w:hAnsi="Calibri" w:cs="Calibri"/>
          <w:sz w:val="18"/>
        </w:rPr>
        <w:t xml:space="preserve">Muhammad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Raz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; Khan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Sohail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; </w:t>
      </w:r>
      <w:r w:rsidR="0067412C" w:rsidRPr="00B9654C">
        <w:rPr>
          <w:rFonts w:ascii="Calibri" w:eastAsia="Calibri" w:hAnsi="Calibri" w:cs="Calibri"/>
          <w:b/>
          <w:sz w:val="18"/>
        </w:rPr>
        <w:t>Hussain Fayaz</w:t>
      </w:r>
      <w:r w:rsidR="0067412C" w:rsidRPr="0067412C">
        <w:rPr>
          <w:rFonts w:ascii="Calibri" w:eastAsia="Calibri" w:hAnsi="Calibri" w:cs="Calibri"/>
          <w:sz w:val="18"/>
        </w:rPr>
        <w:t xml:space="preserve">;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Khesro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Amir, “Phase evolution and microwave dielectric properties of (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Ca</w:t>
      </w:r>
      <w:proofErr w:type="spellEnd"/>
      <w:r w:rsidR="0067412C" w:rsidRPr="0067412C">
        <w:rPr>
          <w:rFonts w:ascii="Calibri" w:eastAsia="Calibri" w:hAnsi="Calibri" w:cs="Calibri"/>
          <w:sz w:val="18"/>
        </w:rPr>
        <w:t>/Sr)Nd4Ti5O17–based ceramic systems”, Materials Research Express, (IF= 1.449), (</w:t>
      </w:r>
      <w:r w:rsidR="0067412C" w:rsidRPr="00510FCA">
        <w:rPr>
          <w:rFonts w:ascii="Calibri" w:eastAsia="Calibri" w:hAnsi="Calibri" w:cs="Calibri"/>
          <w:b/>
          <w:sz w:val="18"/>
        </w:rPr>
        <w:t>September</w:t>
      </w:r>
      <w:r w:rsidR="0067412C" w:rsidRPr="0067412C">
        <w:rPr>
          <w:rFonts w:ascii="Calibri" w:eastAsia="Calibri" w:hAnsi="Calibri" w:cs="Calibri"/>
          <w:sz w:val="18"/>
        </w:rPr>
        <w:t xml:space="preserve">, </w:t>
      </w:r>
      <w:r w:rsidR="0067412C" w:rsidRPr="00510FCA">
        <w:rPr>
          <w:rFonts w:ascii="Calibri" w:eastAsia="Calibri" w:hAnsi="Calibri" w:cs="Calibri"/>
          <w:b/>
          <w:sz w:val="18"/>
        </w:rPr>
        <w:t>2019</w:t>
      </w:r>
      <w:r w:rsidR="0067412C" w:rsidRPr="0067412C">
        <w:rPr>
          <w:rFonts w:ascii="Calibri" w:eastAsia="Calibri" w:hAnsi="Calibri" w:cs="Calibri"/>
          <w:sz w:val="18"/>
        </w:rPr>
        <w:t>)</w:t>
      </w:r>
    </w:p>
    <w:p w:rsidR="0067412C" w:rsidRPr="0067412C" w:rsidRDefault="00CF305D" w:rsidP="0067412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6-</w:t>
      </w:r>
      <w:r w:rsidR="0067412C" w:rsidRPr="0067412C">
        <w:rPr>
          <w:rFonts w:ascii="Calibri" w:eastAsia="Calibri" w:hAnsi="Calibri" w:cs="Calibri"/>
          <w:sz w:val="18"/>
        </w:rPr>
        <w:t xml:space="preserve"> </w:t>
      </w:r>
      <w:r w:rsidR="00B9654C">
        <w:rPr>
          <w:rFonts w:ascii="Calibri" w:eastAsia="Calibri" w:hAnsi="Calibri" w:cs="Calibri"/>
          <w:b/>
          <w:sz w:val="18"/>
        </w:rPr>
        <w:t>Hussain</w:t>
      </w:r>
      <w:r w:rsidR="0067412C" w:rsidRPr="00B9654C">
        <w:rPr>
          <w:rFonts w:ascii="Calibri" w:eastAsia="Calibri" w:hAnsi="Calibri" w:cs="Calibri"/>
          <w:b/>
          <w:sz w:val="18"/>
        </w:rPr>
        <w:t xml:space="preserve"> F.,</w:t>
      </w:r>
      <w:r w:rsidR="0067412C" w:rsidRPr="0067412C">
        <w:rPr>
          <w:rFonts w:ascii="Calibri" w:eastAsia="Calibri" w:hAnsi="Calibri" w:cs="Calibri"/>
          <w:sz w:val="18"/>
        </w:rPr>
        <w:t xml:space="preserve"> et al., p-Type/n-type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behaviour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 and functional properties of </w:t>
      </w:r>
      <w:proofErr w:type="gramStart"/>
      <w:r w:rsidR="0067412C" w:rsidRPr="0067412C">
        <w:rPr>
          <w:rFonts w:ascii="Calibri" w:eastAsia="Calibri" w:hAnsi="Calibri" w:cs="Calibri"/>
          <w:sz w:val="18"/>
        </w:rPr>
        <w:t>KxNa(</w:t>
      </w:r>
      <w:proofErr w:type="gramEnd"/>
      <w:r w:rsidR="0067412C" w:rsidRPr="0067412C">
        <w:rPr>
          <w:rFonts w:ascii="Calibri" w:eastAsia="Calibri" w:hAnsi="Calibri" w:cs="Calibri"/>
          <w:sz w:val="18"/>
        </w:rPr>
        <w:t xml:space="preserve">1-x)NbO3 (0.49≤x≤0.51) sintered in air and N2, Journal of the European Ceramic Society </w:t>
      </w:r>
      <w:r w:rsidR="0067412C" w:rsidRPr="00510FCA">
        <w:rPr>
          <w:rFonts w:ascii="Calibri" w:eastAsia="Calibri" w:hAnsi="Calibri" w:cs="Calibri"/>
          <w:b/>
          <w:sz w:val="18"/>
        </w:rPr>
        <w:t>(2018),</w:t>
      </w:r>
      <w:r w:rsidR="0067412C" w:rsidRPr="0067412C">
        <w:rPr>
          <w:rFonts w:ascii="Calibri" w:eastAsia="Calibri" w:hAnsi="Calibri" w:cs="Calibri"/>
          <w:sz w:val="18"/>
        </w:rPr>
        <w:t xml:space="preserve"> https://doi.org/10.1016/j.jeurceramsoc.2018.03.013,IF=3.794</w:t>
      </w:r>
    </w:p>
    <w:p w:rsidR="0067412C" w:rsidRPr="0067412C" w:rsidRDefault="00CF305D" w:rsidP="0067412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7-</w:t>
      </w:r>
      <w:r w:rsidR="0067412C" w:rsidRPr="0067412C">
        <w:rPr>
          <w:rFonts w:ascii="Calibri" w:eastAsia="Calibri" w:hAnsi="Calibri" w:cs="Calibri"/>
          <w:sz w:val="18"/>
        </w:rPr>
        <w:t xml:space="preserve">Kausar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Harun</w:t>
      </w:r>
      <w:proofErr w:type="spellEnd"/>
      <w:r w:rsidR="0067412C" w:rsidRPr="0067412C">
        <w:rPr>
          <w:rFonts w:ascii="Calibri" w:eastAsia="Calibri" w:hAnsi="Calibri" w:cs="Calibri"/>
          <w:sz w:val="18"/>
        </w:rPr>
        <w:t xml:space="preserve">, </w:t>
      </w:r>
      <w:r w:rsidR="0067412C" w:rsidRPr="00B9654C">
        <w:rPr>
          <w:rFonts w:ascii="Calibri" w:eastAsia="Calibri" w:hAnsi="Calibri" w:cs="Calibri"/>
          <w:b/>
          <w:sz w:val="18"/>
        </w:rPr>
        <w:t>Fayaz Hussain</w:t>
      </w:r>
      <w:r w:rsidR="0067412C" w:rsidRPr="0067412C">
        <w:rPr>
          <w:rFonts w:ascii="Calibri" w:eastAsia="Calibri" w:hAnsi="Calibri" w:cs="Calibri"/>
          <w:sz w:val="18"/>
        </w:rPr>
        <w:t xml:space="preserve">, et al., Sol–gel synthesized ZnO for optoelectronics applications: a characterization review, Materials Research Express, </w:t>
      </w:r>
      <w:r w:rsidR="0067412C" w:rsidRPr="00510FCA">
        <w:rPr>
          <w:rFonts w:ascii="Calibri" w:eastAsia="Calibri" w:hAnsi="Calibri" w:cs="Calibri"/>
          <w:b/>
          <w:sz w:val="18"/>
        </w:rPr>
        <w:t>2017</w:t>
      </w:r>
      <w:r w:rsidR="0067412C" w:rsidRPr="0067412C">
        <w:rPr>
          <w:rFonts w:ascii="Calibri" w:eastAsia="Calibri" w:hAnsi="Calibri" w:cs="Calibri"/>
          <w:sz w:val="18"/>
        </w:rPr>
        <w:t>.04(12).</w:t>
      </w:r>
    </w:p>
    <w:p w:rsidR="0067412C" w:rsidRPr="0067412C" w:rsidRDefault="00CF305D" w:rsidP="0067412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8-</w:t>
      </w:r>
      <w:r w:rsidR="0067412C" w:rsidRPr="0067412C">
        <w:rPr>
          <w:rFonts w:ascii="Calibri" w:eastAsia="Calibri" w:hAnsi="Calibri" w:cs="Calibri"/>
          <w:sz w:val="18"/>
        </w:rPr>
        <w:t xml:space="preserve">Wang, D., </w:t>
      </w:r>
      <w:r w:rsidR="00B9654C">
        <w:rPr>
          <w:rFonts w:ascii="Calibri" w:eastAsia="Calibri" w:hAnsi="Calibri" w:cs="Calibri"/>
          <w:b/>
          <w:sz w:val="18"/>
        </w:rPr>
        <w:t>Hussain</w:t>
      </w:r>
      <w:r w:rsidR="0067412C" w:rsidRPr="00B9654C">
        <w:rPr>
          <w:rFonts w:ascii="Calibri" w:eastAsia="Calibri" w:hAnsi="Calibri" w:cs="Calibri"/>
          <w:b/>
          <w:sz w:val="18"/>
        </w:rPr>
        <w:t xml:space="preserve"> F</w:t>
      </w:r>
      <w:r w:rsidR="0067412C" w:rsidRPr="0067412C">
        <w:rPr>
          <w:rFonts w:ascii="Calibri" w:eastAsia="Calibri" w:hAnsi="Calibri" w:cs="Calibri"/>
          <w:sz w:val="18"/>
        </w:rPr>
        <w:t xml:space="preserve">, </w:t>
      </w:r>
      <w:proofErr w:type="spellStart"/>
      <w:r w:rsidR="0067412C" w:rsidRPr="0067412C">
        <w:rPr>
          <w:rFonts w:ascii="Calibri" w:eastAsia="Calibri" w:hAnsi="Calibri" w:cs="Calibri"/>
          <w:sz w:val="18"/>
        </w:rPr>
        <w:t>Khesro</w:t>
      </w:r>
      <w:proofErr w:type="spellEnd"/>
      <w:r w:rsidR="0067412C" w:rsidRPr="0067412C">
        <w:rPr>
          <w:rFonts w:ascii="Calibri" w:eastAsia="Calibri" w:hAnsi="Calibri" w:cs="Calibri"/>
          <w:sz w:val="18"/>
        </w:rPr>
        <w:t>, A, et al., Composition and temperature dependence of piezoelectricity in (1-x</w:t>
      </w:r>
      <w:proofErr w:type="gramStart"/>
      <w:r w:rsidR="0067412C" w:rsidRPr="0067412C">
        <w:rPr>
          <w:rFonts w:ascii="Calibri" w:eastAsia="Calibri" w:hAnsi="Calibri" w:cs="Calibri"/>
          <w:sz w:val="18"/>
        </w:rPr>
        <w:t>)(</w:t>
      </w:r>
      <w:proofErr w:type="gramEnd"/>
      <w:r w:rsidR="0067412C" w:rsidRPr="0067412C">
        <w:rPr>
          <w:rFonts w:ascii="Calibri" w:eastAsia="Calibri" w:hAnsi="Calibri" w:cs="Calibri"/>
          <w:sz w:val="18"/>
        </w:rPr>
        <w:t xml:space="preserve">K1-yNay)NbO3-x(Bi1/2Na1/2)ZrO3 lead-free ceramics. American Ceramic Society, </w:t>
      </w:r>
      <w:r w:rsidR="0067412C" w:rsidRPr="00510FCA">
        <w:rPr>
          <w:rFonts w:ascii="Calibri" w:eastAsia="Calibri" w:hAnsi="Calibri" w:cs="Calibri"/>
          <w:b/>
          <w:sz w:val="18"/>
        </w:rPr>
        <w:t>2016</w:t>
      </w:r>
      <w:r w:rsidR="0067412C" w:rsidRPr="0067412C">
        <w:rPr>
          <w:rFonts w:ascii="Calibri" w:eastAsia="Calibri" w:hAnsi="Calibri" w:cs="Calibri"/>
          <w:sz w:val="18"/>
        </w:rPr>
        <w:t>: p. 1-9</w:t>
      </w:r>
    </w:p>
    <w:p w:rsidR="00AE3E37" w:rsidRDefault="00CF305D" w:rsidP="0067412C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gramStart"/>
      <w:r>
        <w:rPr>
          <w:rFonts w:ascii="Calibri" w:eastAsia="Calibri" w:hAnsi="Calibri" w:cs="Calibri"/>
          <w:sz w:val="18"/>
        </w:rPr>
        <w:t>9-</w:t>
      </w:r>
      <w:r w:rsidR="0067412C" w:rsidRPr="0067412C">
        <w:rPr>
          <w:rFonts w:ascii="Calibri" w:eastAsia="Calibri" w:hAnsi="Calibri" w:cs="Calibri"/>
          <w:sz w:val="18"/>
        </w:rPr>
        <w:t xml:space="preserve">Khesro, A., Wang, D, </w:t>
      </w:r>
      <w:r w:rsidR="0067412C" w:rsidRPr="00B9654C">
        <w:rPr>
          <w:rFonts w:ascii="Calibri" w:eastAsia="Calibri" w:hAnsi="Calibri" w:cs="Calibri"/>
          <w:b/>
          <w:sz w:val="18"/>
        </w:rPr>
        <w:t>Hussain, F</w:t>
      </w:r>
      <w:r w:rsidR="0067412C" w:rsidRPr="0067412C">
        <w:rPr>
          <w:rFonts w:ascii="Calibri" w:eastAsia="Calibri" w:hAnsi="Calibri" w:cs="Calibri"/>
          <w:sz w:val="18"/>
        </w:rPr>
        <w:t>, et al., Temperature Stable and Fatigue Resistant Lead-free Ceramics for actuators,</w:t>
      </w:r>
      <w:r>
        <w:rPr>
          <w:rFonts w:ascii="Calibri" w:eastAsia="Calibri" w:hAnsi="Calibri" w:cs="Calibri"/>
          <w:sz w:val="18"/>
        </w:rPr>
        <w:t xml:space="preserve"> Applied Physics Letters, </w:t>
      </w:r>
      <w:r w:rsidRPr="00510FCA">
        <w:rPr>
          <w:rFonts w:ascii="Calibri" w:eastAsia="Calibri" w:hAnsi="Calibri" w:cs="Calibri"/>
          <w:b/>
          <w:sz w:val="18"/>
        </w:rPr>
        <w:t>2016</w:t>
      </w:r>
      <w:r>
        <w:rPr>
          <w:rFonts w:ascii="Calibri" w:eastAsia="Calibri" w:hAnsi="Calibri" w:cs="Calibri"/>
          <w:sz w:val="18"/>
        </w:rPr>
        <w:t>.</w:t>
      </w:r>
      <w:r w:rsidR="0067412C" w:rsidRPr="0067412C">
        <w:rPr>
          <w:rFonts w:ascii="Calibri" w:eastAsia="Calibri" w:hAnsi="Calibri" w:cs="Calibri"/>
          <w:sz w:val="18"/>
        </w:rPr>
        <w:t>109(14).</w:t>
      </w:r>
      <w:proofErr w:type="gramEnd"/>
    </w:p>
    <w:p w:rsidR="00AE3E37" w:rsidRDefault="006D06AA">
      <w:pPr>
        <w:pStyle w:val="BodyText"/>
        <w:rPr>
          <w:rFonts w:ascii="Calibri"/>
          <w:sz w:val="20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776377" cy="984997"/>
            <wp:effectExtent l="0" t="0" r="5080" b="5715"/>
            <wp:docPr id="3" name="Picture 3" descr="K:\Documents-FH\Profile-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Documents-FH\Profile-Pi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7" cy="98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1A5E9DDD" wp14:editId="3ADAE8F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D05A47" w:rsidRPr="00D05A47" w:rsidRDefault="00A9710C" w:rsidP="00D05A47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85"/>
      </w:tblGrid>
      <w:tr w:rsidR="00D05A47" w:rsidTr="00D05A47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10885" w:type="dxa"/>
          </w:tcPr>
          <w:p w:rsidR="00D05A47" w:rsidRPr="00D05A47" w:rsidRDefault="00D05A47" w:rsidP="00D05A47">
            <w:pPr>
              <w:pStyle w:val="Default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05A47">
              <w:rPr>
                <w:rFonts w:ascii="Arial" w:hAnsi="Arial" w:cs="Arial"/>
                <w:sz w:val="16"/>
                <w:szCs w:val="20"/>
              </w:rPr>
              <w:t>Dr Fayaz Hu</w:t>
            </w:r>
            <w:r w:rsidR="001E7857">
              <w:rPr>
                <w:rFonts w:ascii="Arial" w:hAnsi="Arial" w:cs="Arial"/>
                <w:sz w:val="16"/>
                <w:szCs w:val="20"/>
              </w:rPr>
              <w:t>ssain (Assistant Professor at NED University) has completed his PhD on ‘</w:t>
            </w:r>
            <w:r w:rsidRPr="00D05A47">
              <w:rPr>
                <w:rFonts w:ascii="Arial" w:hAnsi="Arial" w:cs="Arial"/>
                <w:sz w:val="16"/>
                <w:szCs w:val="20"/>
              </w:rPr>
              <w:t>KNN based lead-ox</w:t>
            </w:r>
            <w:r w:rsidR="001E7857">
              <w:rPr>
                <w:rFonts w:ascii="Arial" w:hAnsi="Arial" w:cs="Arial"/>
                <w:sz w:val="16"/>
                <w:szCs w:val="20"/>
              </w:rPr>
              <w:t xml:space="preserve">ide free piezoelectric </w:t>
            </w:r>
            <w:r w:rsidR="00FD159D">
              <w:rPr>
                <w:rFonts w:ascii="Arial" w:hAnsi="Arial" w:cs="Arial"/>
                <w:sz w:val="16"/>
                <w:szCs w:val="20"/>
              </w:rPr>
              <w:t>ceramics’</w:t>
            </w:r>
            <w:r w:rsidRPr="00D05A47">
              <w:rPr>
                <w:rFonts w:ascii="Arial" w:hAnsi="Arial" w:cs="Arial"/>
                <w:sz w:val="16"/>
                <w:szCs w:val="20"/>
              </w:rPr>
              <w:t xml:space="preserve"> have been studied from the perspective of optimising their performance for multilayer actuators potentially for energy harvesting applications under the supervision of Professor Ia</w:t>
            </w:r>
            <w:r w:rsidR="001E7857">
              <w:rPr>
                <w:rFonts w:ascii="Arial" w:hAnsi="Arial" w:cs="Arial"/>
                <w:sz w:val="16"/>
                <w:szCs w:val="20"/>
              </w:rPr>
              <w:t xml:space="preserve">n Reaney </w:t>
            </w:r>
            <w:r w:rsidRPr="00D05A47">
              <w:rPr>
                <w:rFonts w:ascii="Arial" w:hAnsi="Arial" w:cs="Arial"/>
                <w:sz w:val="16"/>
                <w:szCs w:val="20"/>
              </w:rPr>
              <w:t>at the University of Sheffield</w:t>
            </w:r>
            <w:r w:rsidR="001E7857">
              <w:rPr>
                <w:rFonts w:ascii="Arial" w:hAnsi="Arial" w:cs="Arial"/>
                <w:sz w:val="16"/>
                <w:szCs w:val="20"/>
              </w:rPr>
              <w:t>, UK</w:t>
            </w:r>
            <w:r w:rsidRPr="00D05A47">
              <w:rPr>
                <w:rFonts w:ascii="Arial" w:hAnsi="Arial" w:cs="Arial"/>
                <w:sz w:val="16"/>
                <w:szCs w:val="20"/>
              </w:rPr>
              <w:t xml:space="preserve"> in the year 2017. To fabricate the multilayers, a novel Wet-Multilayer-Method (WMM) was also developed to overcome the issues of delamination during firing of multilayers actuators. I have authored/co</w:t>
            </w:r>
            <w:r w:rsidR="00FD159D">
              <w:rPr>
                <w:rFonts w:ascii="Arial" w:hAnsi="Arial" w:cs="Arial"/>
                <w:sz w:val="16"/>
                <w:szCs w:val="20"/>
              </w:rPr>
              <w:t>-authored publications around 16</w:t>
            </w:r>
            <w:r w:rsidRPr="00D05A47">
              <w:rPr>
                <w:rFonts w:ascii="Arial" w:hAnsi="Arial" w:cs="Arial"/>
                <w:sz w:val="16"/>
                <w:szCs w:val="20"/>
              </w:rPr>
              <w:t xml:space="preserve"> papers including key articles on piezoelectric ceramics</w:t>
            </w:r>
            <w:r w:rsidR="009D22E4">
              <w:rPr>
                <w:rFonts w:ascii="Arial" w:hAnsi="Arial" w:cs="Arial"/>
                <w:sz w:val="16"/>
                <w:szCs w:val="20"/>
              </w:rPr>
              <w:t xml:space="preserve"> in bulk and multilayers with </w:t>
            </w:r>
            <w:r w:rsidR="00D72396">
              <w:rPr>
                <w:rFonts w:ascii="Arial" w:hAnsi="Arial" w:cs="Arial"/>
                <w:sz w:val="16"/>
                <w:szCs w:val="20"/>
              </w:rPr>
              <w:t>¬</w:t>
            </w:r>
            <w:r w:rsidR="009D22E4">
              <w:rPr>
                <w:rFonts w:ascii="Arial" w:hAnsi="Arial" w:cs="Arial"/>
                <w:sz w:val="16"/>
                <w:szCs w:val="20"/>
              </w:rPr>
              <w:t>100</w:t>
            </w:r>
            <w:r w:rsidRPr="00D05A47">
              <w:rPr>
                <w:rFonts w:ascii="Arial" w:hAnsi="Arial" w:cs="Arial"/>
                <w:sz w:val="16"/>
                <w:szCs w:val="20"/>
              </w:rPr>
              <w:t>-citations</w:t>
            </w:r>
            <w:r w:rsidRPr="00D05A47">
              <w:rPr>
                <w:rFonts w:ascii="Arial" w:hAnsi="Arial" w:cs="Arial"/>
                <w:sz w:val="18"/>
                <w:szCs w:val="20"/>
              </w:rPr>
              <w:t xml:space="preserve">. </w:t>
            </w:r>
            <w:r w:rsidR="00D72396">
              <w:rPr>
                <w:rFonts w:ascii="Arial" w:hAnsi="Arial" w:cs="Arial"/>
                <w:sz w:val="18"/>
                <w:szCs w:val="20"/>
              </w:rPr>
              <w:t>This work is mainly from my PhD data.</w:t>
            </w:r>
          </w:p>
          <w:p w:rsidR="00D05A47" w:rsidRDefault="00D05A4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4044F9" w:rsidRPr="006954BB">
          <w:rPr>
            <w:rStyle w:val="Hyperlink"/>
            <w:rFonts w:ascii="Arial"/>
            <w:sz w:val="14"/>
          </w:rPr>
          <w:t>fhussain@neduet.edu.pk</w:t>
        </w:r>
      </w:hyperlink>
    </w:p>
    <w:p w:rsidR="004044F9" w:rsidRDefault="004044F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</w:t>
      </w:r>
      <w:hyperlink r:id="rId13" w:history="1">
        <w:r w:rsidRPr="006954BB">
          <w:rPr>
            <w:rStyle w:val="Hyperlink"/>
            <w:rFonts w:ascii="Arial"/>
            <w:sz w:val="14"/>
          </w:rPr>
          <w:t>engrfayazned@gmail.com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A7F761D" wp14:editId="66E328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869" w:rsidRDefault="00246869">
      <w:r>
        <w:separator/>
      </w:r>
    </w:p>
  </w:endnote>
  <w:endnote w:type="continuationSeparator" w:id="0">
    <w:p w:rsidR="00246869" w:rsidRDefault="0024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869" w:rsidRDefault="00246869">
      <w:r>
        <w:separator/>
      </w:r>
    </w:p>
  </w:footnote>
  <w:footnote w:type="continuationSeparator" w:id="0">
    <w:p w:rsidR="00246869" w:rsidRDefault="002468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C4809"/>
    <w:rsid w:val="001E7857"/>
    <w:rsid w:val="00246869"/>
    <w:rsid w:val="00274978"/>
    <w:rsid w:val="00292ED9"/>
    <w:rsid w:val="002C525F"/>
    <w:rsid w:val="00316EB1"/>
    <w:rsid w:val="004044F9"/>
    <w:rsid w:val="00404E5B"/>
    <w:rsid w:val="00414F7B"/>
    <w:rsid w:val="004355DC"/>
    <w:rsid w:val="004749B4"/>
    <w:rsid w:val="00494130"/>
    <w:rsid w:val="004D3178"/>
    <w:rsid w:val="004F3523"/>
    <w:rsid w:val="00510FCA"/>
    <w:rsid w:val="005973B9"/>
    <w:rsid w:val="005B3A56"/>
    <w:rsid w:val="005D5D32"/>
    <w:rsid w:val="006060CE"/>
    <w:rsid w:val="0063497F"/>
    <w:rsid w:val="0067412C"/>
    <w:rsid w:val="006D06AA"/>
    <w:rsid w:val="0078327B"/>
    <w:rsid w:val="00873DF0"/>
    <w:rsid w:val="008756E6"/>
    <w:rsid w:val="008E53C0"/>
    <w:rsid w:val="009B2D44"/>
    <w:rsid w:val="009D22E4"/>
    <w:rsid w:val="00A07E82"/>
    <w:rsid w:val="00A9710C"/>
    <w:rsid w:val="00AE3E37"/>
    <w:rsid w:val="00B21A57"/>
    <w:rsid w:val="00B9654C"/>
    <w:rsid w:val="00C33602"/>
    <w:rsid w:val="00CD6F55"/>
    <w:rsid w:val="00CF305D"/>
    <w:rsid w:val="00D05A47"/>
    <w:rsid w:val="00D72396"/>
    <w:rsid w:val="00DA6DC5"/>
    <w:rsid w:val="00DE3104"/>
    <w:rsid w:val="00F17325"/>
    <w:rsid w:val="00F72EEA"/>
    <w:rsid w:val="00F84CAE"/>
    <w:rsid w:val="00FD1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D05A47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D05A47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engrfayazned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hussain@neduet.edu.p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 Fayaz Hussain</cp:lastModifiedBy>
  <cp:revision>26</cp:revision>
  <dcterms:created xsi:type="dcterms:W3CDTF">2016-08-31T10:27:00Z</dcterms:created>
  <dcterms:modified xsi:type="dcterms:W3CDTF">2020-03-09T23:11:00Z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