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52FB4" w14:textId="10109828" w:rsidR="00552FE6" w:rsidRPr="00552FE6" w:rsidRDefault="00552FE6" w:rsidP="00552FE6">
      <w:pPr>
        <w:jc w:val="center"/>
        <w:rPr>
          <w:rFonts w:ascii="Calibri" w:hAnsi="Calibri" w:cs="Times New Roman"/>
          <w:b/>
          <w:sz w:val="28"/>
          <w:szCs w:val="28"/>
        </w:rPr>
      </w:pPr>
      <w:r w:rsidRPr="00552FE6">
        <w:rPr>
          <w:rFonts w:ascii="Calibri" w:hAnsi="Calibri"/>
          <w:b/>
          <w:bCs/>
          <w:i/>
          <w:iCs/>
          <w:color w:val="000000" w:themeColor="text1"/>
          <w:sz w:val="28"/>
          <w:szCs w:val="28"/>
          <w:lang w:val="en-GB"/>
        </w:rPr>
        <w:t>Effects of polymer injectivity concentration on time-variation relative permeability</w:t>
      </w:r>
    </w:p>
    <w:p w14:paraId="759C430D" w14:textId="77777777" w:rsidR="00552FE6" w:rsidRPr="00552FE6" w:rsidRDefault="00552FE6" w:rsidP="00B06B94">
      <w:pPr>
        <w:jc w:val="center"/>
        <w:rPr>
          <w:rFonts w:ascii="Times New Roman" w:hAnsi="Times New Roman" w:cs="Times New Roman"/>
          <w:b/>
          <w:sz w:val="28"/>
          <w:szCs w:val="28"/>
          <w:lang w:val="en-GB"/>
        </w:rPr>
      </w:pPr>
    </w:p>
    <w:p w14:paraId="4874B032" w14:textId="56103CDA" w:rsidR="00552FE6" w:rsidRPr="000345C0" w:rsidRDefault="00552FE6" w:rsidP="00785D9B">
      <w:pPr>
        <w:pStyle w:val="NoSpacing"/>
        <w:spacing w:line="480" w:lineRule="auto"/>
        <w:rPr>
          <w:rFonts w:ascii="Calibri" w:hAnsi="Calibri" w:cs="Times New Roman"/>
          <w:color w:val="000000" w:themeColor="text1"/>
          <w:sz w:val="24"/>
          <w:szCs w:val="24"/>
        </w:rPr>
      </w:pPr>
      <w:r w:rsidRPr="000345C0">
        <w:rPr>
          <w:rFonts w:ascii="Calibri" w:hAnsi="Calibri" w:cs="Times New Roman"/>
          <w:color w:val="000000" w:themeColor="text1"/>
          <w:sz w:val="24"/>
          <w:szCs w:val="24"/>
        </w:rPr>
        <w:t xml:space="preserve">Mahamat Tahir Abdramane Mahamat Zene </w:t>
      </w:r>
      <w:r w:rsidRPr="000345C0">
        <w:rPr>
          <w:rFonts w:ascii="Calibri" w:hAnsi="Calibri" w:cs="Times New Roman"/>
          <w:color w:val="000000" w:themeColor="text1"/>
          <w:sz w:val="24"/>
          <w:szCs w:val="24"/>
          <w:vertAlign w:val="superscript"/>
        </w:rPr>
        <w:t>1</w:t>
      </w:r>
      <w:r w:rsidRPr="000345C0">
        <w:rPr>
          <w:rFonts w:ascii="Calibri" w:hAnsi="Calibri" w:cs="Times New Roman"/>
          <w:color w:val="000000" w:themeColor="text1"/>
          <w:sz w:val="24"/>
          <w:szCs w:val="24"/>
        </w:rPr>
        <w:t>,</w:t>
      </w:r>
      <w:r w:rsidRPr="000345C0">
        <w:rPr>
          <w:rFonts w:ascii="Calibri" w:hAnsi="Calibri" w:cs="Times New Roman"/>
          <w:noProof/>
          <w:color w:val="000000" w:themeColor="text1"/>
          <w:sz w:val="24"/>
          <w:szCs w:val="24"/>
        </w:rPr>
        <w:t xml:space="preserve"> </w:t>
      </w:r>
      <w:r w:rsidRPr="000345C0">
        <w:rPr>
          <w:rFonts w:ascii="Calibri" w:hAnsi="Calibri" w:cs="Times New Roman"/>
          <w:color w:val="000000" w:themeColor="text1"/>
          <w:sz w:val="24"/>
          <w:szCs w:val="24"/>
        </w:rPr>
        <w:t>Ruizhong</w:t>
      </w:r>
      <w:r w:rsidRPr="000345C0">
        <w:rPr>
          <w:rFonts w:ascii="Calibri" w:hAnsi="Calibri" w:cs="Times New Roman"/>
          <w:color w:val="000000" w:themeColor="text1"/>
          <w:sz w:val="24"/>
          <w:szCs w:val="24"/>
          <w:vertAlign w:val="superscript"/>
        </w:rPr>
        <w:t xml:space="preserve"> </w:t>
      </w:r>
      <w:r w:rsidRPr="000345C0">
        <w:rPr>
          <w:rFonts w:ascii="Calibri" w:hAnsi="Calibri" w:cs="Times New Roman"/>
          <w:noProof/>
          <w:color w:val="000000" w:themeColor="text1"/>
          <w:sz w:val="24"/>
          <w:szCs w:val="24"/>
        </w:rPr>
        <w:t xml:space="preserve">Jiang </w:t>
      </w:r>
      <w:r w:rsidRPr="000345C0">
        <w:rPr>
          <w:rFonts w:ascii="Calibri" w:hAnsi="Calibri" w:cs="Times New Roman"/>
          <w:noProof/>
          <w:color w:val="000000" w:themeColor="text1"/>
          <w:sz w:val="24"/>
          <w:szCs w:val="24"/>
          <w:vertAlign w:val="superscript"/>
        </w:rPr>
        <w:t>1</w:t>
      </w:r>
      <w:r w:rsidRPr="000345C0">
        <w:rPr>
          <w:rFonts w:ascii="Calibri" w:hAnsi="Calibri" w:cs="Times New Roman"/>
          <w:color w:val="000000" w:themeColor="text1"/>
          <w:sz w:val="24"/>
          <w:szCs w:val="24"/>
        </w:rPr>
        <w:t>,</w:t>
      </w:r>
      <w:r w:rsidR="00265455" w:rsidRPr="00265455">
        <w:rPr>
          <w:rFonts w:asciiTheme="majorBidi" w:hAnsiTheme="majorBidi" w:cstheme="majorBidi"/>
          <w:bCs/>
          <w:iCs/>
          <w:color w:val="000000" w:themeColor="text1"/>
          <w:sz w:val="24"/>
          <w:szCs w:val="24"/>
        </w:rPr>
        <w:t xml:space="preserve"> </w:t>
      </w:r>
      <w:r w:rsidR="00265455" w:rsidRPr="00265455">
        <w:rPr>
          <w:rFonts w:ascii="Calibri" w:hAnsi="Calibri" w:cstheme="majorBidi"/>
          <w:bCs/>
          <w:iCs/>
          <w:color w:val="000000" w:themeColor="text1"/>
          <w:sz w:val="24"/>
          <w:szCs w:val="24"/>
        </w:rPr>
        <w:t>Liu Xiu Wei</w:t>
      </w:r>
      <w:r w:rsidR="00265455" w:rsidRPr="00265455">
        <w:rPr>
          <w:rFonts w:ascii="Calibri" w:hAnsi="Calibri" w:cstheme="majorBidi"/>
          <w:b/>
          <w:iCs/>
          <w:color w:val="000000" w:themeColor="text1"/>
          <w:sz w:val="24"/>
          <w:szCs w:val="24"/>
        </w:rPr>
        <w:t xml:space="preserve"> </w:t>
      </w:r>
      <w:r w:rsidR="00265455" w:rsidRPr="00265455">
        <w:rPr>
          <w:rFonts w:ascii="Calibri" w:hAnsi="Calibri" w:cstheme="majorBidi"/>
          <w:bCs/>
          <w:iCs/>
          <w:color w:val="000000" w:themeColor="text1"/>
          <w:sz w:val="24"/>
          <w:szCs w:val="24"/>
          <w:vertAlign w:val="superscript"/>
        </w:rPr>
        <w:t>2</w:t>
      </w:r>
    </w:p>
    <w:p w14:paraId="3F985783" w14:textId="47FB4C50" w:rsidR="00552FE6" w:rsidRPr="000345C0" w:rsidRDefault="00552FE6" w:rsidP="00552FE6">
      <w:pPr>
        <w:pStyle w:val="NoSpacing"/>
        <w:spacing w:line="480" w:lineRule="auto"/>
        <w:rPr>
          <w:rFonts w:ascii="Calibri" w:hAnsi="Calibri" w:cs="Times New Roman"/>
          <w:i/>
          <w:color w:val="000000" w:themeColor="text1"/>
          <w:sz w:val="24"/>
          <w:szCs w:val="20"/>
        </w:rPr>
      </w:pPr>
      <w:r w:rsidRPr="000345C0">
        <w:rPr>
          <w:rFonts w:ascii="Calibri" w:hAnsi="Calibri" w:cs="Times New Roman"/>
          <w:i/>
          <w:color w:val="000000" w:themeColor="text1"/>
          <w:sz w:val="24"/>
          <w:szCs w:val="20"/>
        </w:rPr>
        <w:t>China University of Petroleum (East China) Qingdao, 266580, Shandong Province, China</w:t>
      </w:r>
    </w:p>
    <w:p w14:paraId="084967D3" w14:textId="5E9E7902" w:rsidR="00A4141D" w:rsidRDefault="000345C0" w:rsidP="00785D9B">
      <w:pPr>
        <w:spacing w:line="480" w:lineRule="auto"/>
        <w:rPr>
          <w:rStyle w:val="Hyperlink"/>
          <w:rFonts w:ascii="Calibri" w:hAnsi="Calibri" w:cstheme="majorBidi"/>
          <w:color w:val="000000" w:themeColor="text1"/>
          <w:sz w:val="24"/>
          <w:szCs w:val="24"/>
          <w:u w:val="none"/>
        </w:rPr>
      </w:pPr>
      <w:r w:rsidRPr="000345C0">
        <w:rPr>
          <w:rFonts w:ascii="Calibri" w:hAnsi="Calibri" w:cs="Times New Roman"/>
          <w:color w:val="000000" w:themeColor="text1"/>
          <w:sz w:val="24"/>
          <w:szCs w:val="24"/>
        </w:rPr>
        <w:t xml:space="preserve">Presenter: </w:t>
      </w:r>
      <w:r w:rsidR="004D4E94" w:rsidRPr="000345C0">
        <w:rPr>
          <w:rFonts w:ascii="Calibri" w:hAnsi="Calibri" w:cs="Times New Roman"/>
          <w:color w:val="000000" w:themeColor="text1"/>
          <w:sz w:val="24"/>
          <w:szCs w:val="24"/>
        </w:rPr>
        <w:t>Mahamat Tahir Abdramane Mahamat Zene</w:t>
      </w:r>
    </w:p>
    <w:p w14:paraId="2EA4A51A" w14:textId="77777777" w:rsidR="00785D9B" w:rsidRPr="00785D9B" w:rsidRDefault="00785D9B" w:rsidP="00785D9B">
      <w:pPr>
        <w:pStyle w:val="NoSpacing"/>
        <w:spacing w:line="480" w:lineRule="auto"/>
        <w:rPr>
          <w:rFonts w:cs="Times New Roman"/>
          <w:iCs/>
          <w:color w:val="000000" w:themeColor="text1"/>
          <w:sz w:val="24"/>
          <w:szCs w:val="24"/>
        </w:rPr>
      </w:pPr>
      <w:r w:rsidRPr="00785D9B">
        <w:rPr>
          <w:rFonts w:cs="Times New Roman"/>
          <w:iCs/>
          <w:color w:val="000000" w:themeColor="text1"/>
          <w:sz w:val="24"/>
          <w:szCs w:val="24"/>
        </w:rPr>
        <w:t>Corresponding authors: lb1702005@s.upc.edu.cn</w:t>
      </w:r>
    </w:p>
    <w:p w14:paraId="7D5EAAE3" w14:textId="77777777" w:rsidR="00785D9B" w:rsidRPr="00785D9B" w:rsidRDefault="00785D9B" w:rsidP="00785D9B">
      <w:pPr>
        <w:pStyle w:val="NoSpacing"/>
        <w:spacing w:line="480" w:lineRule="auto"/>
        <w:rPr>
          <w:rFonts w:cs="Times New Roman"/>
          <w:iCs/>
          <w:color w:val="000000" w:themeColor="text1"/>
          <w:sz w:val="24"/>
          <w:szCs w:val="24"/>
        </w:rPr>
      </w:pPr>
      <w:r w:rsidRPr="00785D9B">
        <w:rPr>
          <w:rFonts w:cs="Times New Roman"/>
          <w:iCs/>
          <w:color w:val="000000" w:themeColor="text1"/>
          <w:sz w:val="24"/>
          <w:szCs w:val="24"/>
        </w:rPr>
        <w:t>Corresponding authors:mhtzene01@hotmail.com</w:t>
      </w:r>
    </w:p>
    <w:p w14:paraId="744C4FF7" w14:textId="77777777" w:rsidR="00785D9B" w:rsidRDefault="00785D9B" w:rsidP="00785D9B">
      <w:pPr>
        <w:spacing w:line="480" w:lineRule="auto"/>
        <w:rPr>
          <w:rStyle w:val="Hyperlink"/>
          <w:rFonts w:ascii="Calibri" w:hAnsi="Calibri" w:cstheme="majorBidi"/>
          <w:color w:val="000000" w:themeColor="text1"/>
          <w:sz w:val="24"/>
          <w:szCs w:val="24"/>
          <w:u w:val="none"/>
        </w:rPr>
      </w:pPr>
    </w:p>
    <w:p w14:paraId="54642037" w14:textId="0320C00E" w:rsidR="004D4E94" w:rsidRPr="00A4141D" w:rsidRDefault="00A4141D" w:rsidP="00A4141D">
      <w:pPr>
        <w:spacing w:line="480" w:lineRule="auto"/>
        <w:rPr>
          <w:rFonts w:ascii="Calibri" w:hAnsi="Calibri" w:cstheme="majorBidi"/>
          <w:i/>
          <w:iCs/>
          <w:sz w:val="24"/>
          <w:szCs w:val="24"/>
        </w:rPr>
      </w:pPr>
      <w:r w:rsidRPr="00A4141D">
        <w:rPr>
          <w:rFonts w:asciiTheme="majorBidi" w:hAnsiTheme="majorBidi"/>
          <w:b/>
          <w:bCs/>
          <w:color w:val="000000" w:themeColor="text1"/>
          <w:lang w:val="en-GB"/>
        </w:rPr>
        <w:t>Abstract</w:t>
      </w:r>
    </w:p>
    <w:p w14:paraId="702D3D73" w14:textId="60049138" w:rsidR="000345C0" w:rsidRPr="000345C0" w:rsidRDefault="000345C0" w:rsidP="000345C0">
      <w:pPr>
        <w:spacing w:line="480" w:lineRule="auto"/>
        <w:jc w:val="both"/>
        <w:rPr>
          <w:rFonts w:ascii="Times New Roman" w:hAnsi="Times New Roman" w:cs="Times New Roman"/>
          <w:lang w:val="en-GB"/>
        </w:rPr>
      </w:pPr>
      <w:r w:rsidRPr="000345C0">
        <w:rPr>
          <w:rFonts w:ascii="Times New Roman" w:hAnsi="Times New Roman" w:cs="Times New Roman"/>
          <w:lang w:val="en-GB"/>
        </w:rPr>
        <w:t xml:space="preserve">Polymer flooding is a set Enhanced Oil Recovery (EOR) which is considered as the best candidate for the mature hydrocarbon reservoir. Many polymer flooding projects have been carried on successfully around the world, but there are still not understood effects of polymer flooding. One of the main effects is the polymer injectivity loss or polymer plugging which is the major affecting factor in the reservoir. The increase in polymer viscosity injection is a major influence for polymer injectivity reduction, as well as other mechanisms such as; mechanical, debris, permeability reduction, and water quality. </w:t>
      </w:r>
    </w:p>
    <w:p w14:paraId="129B521A" w14:textId="181F743A" w:rsidR="000345C0" w:rsidRPr="00790DFD" w:rsidRDefault="00790DFD" w:rsidP="00790DFD">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work is achieved by a physical model, some effects of polymer injectivity concentration time-variation are investigated as follows:  </w:t>
      </w:r>
    </w:p>
    <w:p w14:paraId="6BA96385" w14:textId="77777777" w:rsidR="000345C0" w:rsidRPr="000345C0" w:rsidRDefault="000345C0" w:rsidP="000345C0">
      <w:pPr>
        <w:spacing w:line="480" w:lineRule="auto"/>
        <w:jc w:val="both"/>
        <w:rPr>
          <w:rFonts w:ascii="Times New Roman" w:hAnsi="Times New Roman" w:cs="Times New Roman"/>
          <w:szCs w:val="20"/>
        </w:rPr>
      </w:pPr>
      <w:r w:rsidRPr="000345C0">
        <w:rPr>
          <w:rFonts w:ascii="Times New Roman" w:hAnsi="Times New Roman" w:cs="Times New Roman"/>
          <w:szCs w:val="20"/>
        </w:rPr>
        <w:t xml:space="preserve">Polymer entrapment during polymer injectivity left debris in the reservoir, polymer rheology, mechanical degradation, and permeability reduction are the main affecting factors. </w:t>
      </w:r>
    </w:p>
    <w:p w14:paraId="5C5BC85F" w14:textId="77777777" w:rsidR="000345C0" w:rsidRPr="000345C0" w:rsidRDefault="000345C0" w:rsidP="000345C0">
      <w:pPr>
        <w:spacing w:line="480" w:lineRule="auto"/>
        <w:jc w:val="both"/>
        <w:rPr>
          <w:rFonts w:ascii="Times New Roman" w:hAnsi="Times New Roman" w:cs="Times New Roman"/>
          <w:szCs w:val="20"/>
        </w:rPr>
      </w:pPr>
      <w:r w:rsidRPr="000345C0">
        <w:rPr>
          <w:rFonts w:ascii="Times New Roman" w:hAnsi="Times New Roman" w:cs="Times New Roman"/>
          <w:szCs w:val="20"/>
        </w:rPr>
        <w:t>When the liquid rate decreased in the function of polymer injectivity time-variation phase change concentration, the production rate has improved in the function of time-variation phase change.</w:t>
      </w:r>
    </w:p>
    <w:p w14:paraId="4822C372" w14:textId="77777777" w:rsidR="000345C0" w:rsidRDefault="000345C0" w:rsidP="000345C0">
      <w:pPr>
        <w:spacing w:line="480" w:lineRule="auto"/>
        <w:jc w:val="both"/>
        <w:rPr>
          <w:rFonts w:ascii="Times New Roman" w:hAnsi="Times New Roman" w:cs="Times New Roman"/>
        </w:rPr>
      </w:pPr>
      <w:r w:rsidRPr="000345C0">
        <w:rPr>
          <w:rFonts w:ascii="Times New Roman" w:hAnsi="Times New Roman" w:cs="Times New Roman"/>
        </w:rPr>
        <w:lastRenderedPageBreak/>
        <w:t>The dynamic change of reservoir in each iteration step is updated to achieve stable, reliable and continuous characterization of reservoir permeability changes, and objectively reflects the changes in the permeability of long term polymer flooding reservoirs and the effects of oil-water motion laws. The stability and reliability of the reservoir numerical results are guaranteed.</w:t>
      </w:r>
    </w:p>
    <w:p w14:paraId="62AF3152" w14:textId="438EDCE3" w:rsidR="00D91C03" w:rsidRPr="00D91C03" w:rsidRDefault="00D91C03" w:rsidP="00D91C03">
      <w:pPr>
        <w:spacing w:line="480" w:lineRule="auto"/>
        <w:jc w:val="both"/>
        <w:rPr>
          <w:rFonts w:ascii="Times New Roman" w:hAnsi="Times New Roman" w:cs="Times New Roman"/>
          <w:sz w:val="24"/>
          <w:szCs w:val="24"/>
          <w:lang w:val="en-GB"/>
        </w:rPr>
      </w:pPr>
      <w:r w:rsidRPr="00800383">
        <w:rPr>
          <w:rFonts w:ascii="Times New Roman" w:hAnsi="Times New Roman" w:cs="Times New Roman"/>
          <w:b/>
          <w:bCs/>
          <w:lang w:val="en-GB"/>
        </w:rPr>
        <w:t xml:space="preserve">Keywords:  </w:t>
      </w:r>
      <w:r w:rsidRPr="00800383">
        <w:rPr>
          <w:rFonts w:ascii="Times New Roman" w:hAnsi="Times New Roman" w:cs="Times New Roman"/>
          <w:lang w:val="en-GB"/>
        </w:rPr>
        <w:t>Relative permeability; injectivity; plugging; time-variation; polymer flooding</w:t>
      </w:r>
    </w:p>
    <w:p w14:paraId="7C6D8C43" w14:textId="20963D07" w:rsidR="00BC77D6" w:rsidRDefault="00BC77D6" w:rsidP="000C36DE">
      <w:pPr>
        <w:spacing w:line="480" w:lineRule="auto"/>
        <w:jc w:val="both"/>
        <w:rPr>
          <w:rFonts w:ascii="Times New Roman" w:hAnsi="Times New Roman" w:cs="Times New Roman"/>
        </w:rPr>
      </w:pPr>
    </w:p>
    <w:p w14:paraId="513D1F35" w14:textId="77777777" w:rsidR="00747BBF" w:rsidRPr="009B49D0" w:rsidRDefault="00747BBF" w:rsidP="000C36DE">
      <w:pPr>
        <w:spacing w:line="480" w:lineRule="auto"/>
        <w:jc w:val="both"/>
        <w:rPr>
          <w:rFonts w:ascii="Times New Roman" w:hAnsi="Times New Roman" w:cs="Times New Roman"/>
        </w:rPr>
      </w:pPr>
    </w:p>
    <w:p w14:paraId="03838A87" w14:textId="5FDD51FC" w:rsidR="00A4141D" w:rsidRDefault="00747BBF" w:rsidP="000C36DE">
      <w:pPr>
        <w:spacing w:line="480" w:lineRule="auto"/>
        <w:jc w:val="both"/>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noProof/>
          <w:lang w:eastAsia="zh-CN"/>
        </w:rPr>
        <w:drawing>
          <wp:inline distT="0" distB="0" distL="0" distR="0" wp14:anchorId="2D75BFE9" wp14:editId="19502790">
            <wp:extent cx="1228725" cy="1228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PPED-DSC_169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inline>
        </w:drawing>
      </w:r>
      <w:r>
        <w:rPr>
          <w:rFonts w:ascii="Times New Roman" w:hAnsi="Times New Roman" w:cs="Times New Roman"/>
          <w:b/>
        </w:rPr>
        <w:t xml:space="preserve">     </w:t>
      </w:r>
      <w:r w:rsidR="00BC77D6" w:rsidRPr="009B49D0">
        <w:rPr>
          <w:rFonts w:ascii="Times New Roman" w:hAnsi="Times New Roman" w:cs="Times New Roman"/>
          <w:b/>
        </w:rPr>
        <w:t xml:space="preserve">Biography: </w:t>
      </w:r>
    </w:p>
    <w:p w14:paraId="27407467" w14:textId="0AA632FF" w:rsidR="00265455" w:rsidRDefault="00D91C03" w:rsidP="000C36DE">
      <w:pPr>
        <w:spacing w:line="480" w:lineRule="auto"/>
        <w:jc w:val="both"/>
        <w:rPr>
          <w:rFonts w:ascii="Times New Roman" w:hAnsi="Times New Roman" w:cs="Times New Roman"/>
          <w:color w:val="000000" w:themeColor="text1"/>
        </w:rPr>
      </w:pPr>
      <w:r w:rsidRPr="00F141F2">
        <w:rPr>
          <w:rFonts w:ascii="Times New Roman" w:hAnsi="Times New Roman" w:cs="Times New Roman"/>
          <w:b/>
          <w:bCs/>
          <w:i/>
          <w:color w:val="000000" w:themeColor="text1"/>
        </w:rPr>
        <w:t>Mahamat Tahir Abdramane Mahamat Zene</w:t>
      </w:r>
      <w:r w:rsidRPr="00F141F2">
        <w:rPr>
          <w:rFonts w:ascii="Times New Roman" w:hAnsi="Times New Roman" w:cs="Times New Roman"/>
          <w:i/>
          <w:color w:val="000000" w:themeColor="text1"/>
        </w:rPr>
        <w:t xml:space="preserve"> </w:t>
      </w:r>
      <w:r w:rsidRPr="00F141F2">
        <w:rPr>
          <w:rFonts w:ascii="Times New Roman" w:hAnsi="Times New Roman" w:cs="Times New Roman"/>
          <w:color w:val="000000" w:themeColor="text1"/>
        </w:rPr>
        <w:t>is a Ph.D. student at the China University of Petroleum (East China)</w:t>
      </w:r>
      <w:r w:rsidR="00A53172">
        <w:rPr>
          <w:rFonts w:ascii="Times New Roman" w:hAnsi="Times New Roman" w:cs="Times New Roman"/>
          <w:color w:val="000000" w:themeColor="text1"/>
        </w:rPr>
        <w:t xml:space="preserve"> in the department of Petroleum Engineering</w:t>
      </w:r>
      <w:r w:rsidRPr="00F141F2">
        <w:rPr>
          <w:rFonts w:ascii="Times New Roman" w:hAnsi="Times New Roman" w:cs="Times New Roman"/>
          <w:color w:val="000000" w:themeColor="text1"/>
        </w:rPr>
        <w:t>. He has extensive expertise in reservoir modeling and simulation (CMG STARS, ECLIPSE SCHLUMBERGER, PETREL software).</w:t>
      </w:r>
      <w:r w:rsidR="00C406C4" w:rsidRPr="00F141F2">
        <w:rPr>
          <w:rFonts w:ascii="Times New Roman" w:hAnsi="Times New Roman" w:cs="Times New Roman"/>
          <w:color w:val="000000" w:themeColor="text1"/>
        </w:rPr>
        <w:t xml:space="preserve"> His research interests lie in Reservoir modeling and characterization, </w:t>
      </w:r>
      <w:r w:rsidR="00B80344" w:rsidRPr="00F141F2">
        <w:rPr>
          <w:rFonts w:ascii="Times New Roman" w:hAnsi="Times New Roman" w:cs="Times New Roman"/>
          <w:color w:val="000000" w:themeColor="text1"/>
        </w:rPr>
        <w:t>Reservoir Numerical Simulation,</w:t>
      </w:r>
      <w:r w:rsidR="00A51B1D" w:rsidRPr="00F141F2">
        <w:rPr>
          <w:rFonts w:ascii="Times New Roman" w:hAnsi="Times New Roman" w:cs="Times New Roman"/>
          <w:color w:val="000000" w:themeColor="text1"/>
        </w:rPr>
        <w:t xml:space="preserve"> Waterflooding</w:t>
      </w:r>
      <w:r w:rsidR="00F141F2" w:rsidRPr="00F141F2">
        <w:rPr>
          <w:rFonts w:ascii="Times New Roman" w:hAnsi="Times New Roman" w:cs="Times New Roman"/>
          <w:color w:val="000000" w:themeColor="text1"/>
        </w:rPr>
        <w:t>,</w:t>
      </w:r>
      <w:r w:rsidR="00B80344" w:rsidRPr="00F141F2">
        <w:rPr>
          <w:rFonts w:ascii="Times New Roman" w:hAnsi="Times New Roman" w:cs="Times New Roman"/>
          <w:color w:val="000000" w:themeColor="text1"/>
        </w:rPr>
        <w:t xml:space="preserve"> </w:t>
      </w:r>
      <w:r w:rsidR="00785D9B">
        <w:rPr>
          <w:rFonts w:ascii="Times New Roman" w:hAnsi="Times New Roman" w:cs="Times New Roman"/>
          <w:color w:val="000000" w:themeColor="text1"/>
        </w:rPr>
        <w:t xml:space="preserve">and </w:t>
      </w:r>
      <w:r w:rsidR="00B80344" w:rsidRPr="00F141F2">
        <w:rPr>
          <w:rFonts w:ascii="Times New Roman" w:hAnsi="Times New Roman" w:cs="Times New Roman"/>
          <w:color w:val="000000" w:themeColor="text1"/>
        </w:rPr>
        <w:t>Polymer flooding</w:t>
      </w:r>
      <w:r w:rsidR="00C406C4" w:rsidRPr="00F141F2">
        <w:rPr>
          <w:rFonts w:ascii="Times New Roman" w:hAnsi="Times New Roman" w:cs="Times New Roman"/>
          <w:color w:val="000000" w:themeColor="text1"/>
        </w:rPr>
        <w:t xml:space="preserve">. </w:t>
      </w:r>
    </w:p>
    <w:p w14:paraId="3AD2A69C" w14:textId="7A6C5E48" w:rsidR="00D91C03" w:rsidRPr="00747BBF" w:rsidRDefault="00265455" w:rsidP="000C36DE">
      <w:pPr>
        <w:spacing w:line="480" w:lineRule="auto"/>
        <w:jc w:val="both"/>
        <w:rPr>
          <w:rFonts w:ascii="Times New Roman" w:hAnsi="Times New Roman" w:cs="Times New Roman"/>
          <w:b/>
          <w:bCs/>
          <w:sz w:val="24"/>
        </w:rPr>
      </w:pPr>
      <w:r w:rsidRPr="00747BBF">
        <w:rPr>
          <w:rFonts w:ascii="Times New Roman" w:hAnsi="Times New Roman" w:cs="Times New Roman"/>
          <w:b/>
          <w:bCs/>
          <w:color w:val="000000" w:themeColor="text1"/>
        </w:rPr>
        <w:t>Some of the recent</w:t>
      </w:r>
      <w:r w:rsidR="00B75A0E" w:rsidRPr="00747BBF">
        <w:rPr>
          <w:rFonts w:ascii="Times New Roman" w:hAnsi="Times New Roman" w:cs="Times New Roman"/>
          <w:b/>
          <w:bCs/>
          <w:color w:val="000000" w:themeColor="text1"/>
        </w:rPr>
        <w:t xml:space="preserve"> publications are as following:</w:t>
      </w:r>
    </w:p>
    <w:p w14:paraId="59D5580B" w14:textId="6C1C4673" w:rsidR="00A51B1D" w:rsidRPr="00747BBF" w:rsidRDefault="00A51B1D" w:rsidP="00265455">
      <w:pPr>
        <w:pStyle w:val="ListParagraph"/>
        <w:numPr>
          <w:ilvl w:val="0"/>
          <w:numId w:val="4"/>
        </w:numPr>
        <w:autoSpaceDE w:val="0"/>
        <w:autoSpaceDN w:val="0"/>
        <w:adjustRightInd w:val="0"/>
        <w:spacing w:after="0" w:line="480" w:lineRule="auto"/>
        <w:rPr>
          <w:rFonts w:asciiTheme="majorBidi" w:hAnsiTheme="majorBidi" w:cstheme="majorBidi"/>
        </w:rPr>
      </w:pPr>
      <w:r w:rsidRPr="00747BBF">
        <w:rPr>
          <w:rFonts w:asciiTheme="majorBidi" w:hAnsiTheme="majorBidi" w:cstheme="majorBidi"/>
        </w:rPr>
        <w:t>Geological modeling and upscaling of the Ronier 4 block in Bongor</w:t>
      </w:r>
    </w:p>
    <w:p w14:paraId="689F7F07" w14:textId="15653C02" w:rsidR="00A51B1D" w:rsidRPr="00747BBF" w:rsidRDefault="00A51B1D" w:rsidP="000C36DE">
      <w:pPr>
        <w:autoSpaceDE w:val="0"/>
        <w:autoSpaceDN w:val="0"/>
        <w:adjustRightInd w:val="0"/>
        <w:spacing w:after="0" w:line="480" w:lineRule="auto"/>
        <w:rPr>
          <w:rFonts w:asciiTheme="majorBidi" w:hAnsiTheme="majorBidi" w:cstheme="majorBidi"/>
        </w:rPr>
      </w:pPr>
      <w:r w:rsidRPr="00747BBF">
        <w:rPr>
          <w:rFonts w:asciiTheme="majorBidi" w:hAnsiTheme="majorBidi" w:cstheme="majorBidi"/>
        </w:rPr>
        <w:t>Basin, Chad</w:t>
      </w:r>
    </w:p>
    <w:p w14:paraId="702B922D" w14:textId="35390947" w:rsidR="00A51B1D" w:rsidRPr="00747BBF" w:rsidRDefault="00A51B1D" w:rsidP="00265455">
      <w:pPr>
        <w:pStyle w:val="ListParagraph"/>
        <w:numPr>
          <w:ilvl w:val="0"/>
          <w:numId w:val="4"/>
        </w:numPr>
        <w:autoSpaceDE w:val="0"/>
        <w:autoSpaceDN w:val="0"/>
        <w:adjustRightInd w:val="0"/>
        <w:spacing w:after="0" w:line="480" w:lineRule="auto"/>
        <w:rPr>
          <w:rFonts w:asciiTheme="majorBidi" w:hAnsiTheme="majorBidi" w:cstheme="majorBidi"/>
        </w:rPr>
      </w:pPr>
      <w:r w:rsidRPr="00747BBF">
        <w:rPr>
          <w:rFonts w:asciiTheme="majorBidi" w:hAnsiTheme="majorBidi" w:cstheme="majorBidi"/>
        </w:rPr>
        <w:t>Volumetric estimation and OOIP calculation of the Ro</w:t>
      </w:r>
      <w:bookmarkStart w:id="0" w:name="_GoBack"/>
      <w:bookmarkEnd w:id="0"/>
      <w:r w:rsidRPr="00747BBF">
        <w:rPr>
          <w:rFonts w:asciiTheme="majorBidi" w:hAnsiTheme="majorBidi" w:cstheme="majorBidi"/>
        </w:rPr>
        <w:t>nier4</w:t>
      </w:r>
    </w:p>
    <w:p w14:paraId="52190B5B" w14:textId="6847D530" w:rsidR="00A51B1D" w:rsidRPr="00747BBF" w:rsidRDefault="00A51B1D" w:rsidP="000C36DE">
      <w:pPr>
        <w:autoSpaceDE w:val="0"/>
        <w:autoSpaceDN w:val="0"/>
        <w:adjustRightInd w:val="0"/>
        <w:spacing w:after="0" w:line="480" w:lineRule="auto"/>
        <w:rPr>
          <w:rFonts w:asciiTheme="majorBidi" w:hAnsiTheme="majorBidi" w:cstheme="majorBidi"/>
        </w:rPr>
      </w:pPr>
      <w:r w:rsidRPr="00747BBF">
        <w:rPr>
          <w:rFonts w:asciiTheme="majorBidi" w:hAnsiTheme="majorBidi" w:cstheme="majorBidi"/>
        </w:rPr>
        <w:t>Block of Ronier oilfield in the Bongor basin, Chad</w:t>
      </w:r>
    </w:p>
    <w:p w14:paraId="2C590443" w14:textId="77777777" w:rsidR="00A51B1D" w:rsidRPr="00F141F2" w:rsidRDefault="00A51B1D" w:rsidP="00A51B1D">
      <w:pPr>
        <w:autoSpaceDE w:val="0"/>
        <w:autoSpaceDN w:val="0"/>
        <w:adjustRightInd w:val="0"/>
        <w:spacing w:after="0" w:line="240" w:lineRule="auto"/>
        <w:rPr>
          <w:rFonts w:asciiTheme="majorBidi" w:hAnsiTheme="majorBidi" w:cstheme="majorBidi"/>
          <w:b/>
          <w:bCs/>
        </w:rPr>
      </w:pPr>
    </w:p>
    <w:p w14:paraId="65BFA434" w14:textId="6560D1FE" w:rsidR="00BC77D6" w:rsidRPr="009B49D0" w:rsidRDefault="00BC77D6" w:rsidP="00BC77D6">
      <w:pPr>
        <w:rPr>
          <w:rFonts w:ascii="Times New Roman" w:hAnsi="Times New Roman" w:cs="Times New Roman"/>
          <w:b/>
        </w:rPr>
      </w:pPr>
    </w:p>
    <w:sectPr w:rsidR="00BC77D6" w:rsidRPr="009B49D0"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76E34"/>
    <w:multiLevelType w:val="hybridMultilevel"/>
    <w:tmpl w:val="9E6AC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300C65"/>
    <w:multiLevelType w:val="hybridMultilevel"/>
    <w:tmpl w:val="593E12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1235E6"/>
    <w:multiLevelType w:val="hybridMultilevel"/>
    <w:tmpl w:val="3F921508"/>
    <w:lvl w:ilvl="0" w:tplc="5E404DA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F2363F"/>
    <w:multiLevelType w:val="hybridMultilevel"/>
    <w:tmpl w:val="C23E3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002A12"/>
    <w:rsid w:val="000345C0"/>
    <w:rsid w:val="000C36DE"/>
    <w:rsid w:val="00265455"/>
    <w:rsid w:val="002A0F8F"/>
    <w:rsid w:val="002A16B6"/>
    <w:rsid w:val="002C1FB8"/>
    <w:rsid w:val="00452826"/>
    <w:rsid w:val="004C2585"/>
    <w:rsid w:val="004D4E94"/>
    <w:rsid w:val="00552FE6"/>
    <w:rsid w:val="006C4D99"/>
    <w:rsid w:val="00747BBF"/>
    <w:rsid w:val="0075442C"/>
    <w:rsid w:val="00785D9B"/>
    <w:rsid w:val="00790DFD"/>
    <w:rsid w:val="00800383"/>
    <w:rsid w:val="009B49D0"/>
    <w:rsid w:val="009C6F9F"/>
    <w:rsid w:val="00A4141D"/>
    <w:rsid w:val="00A51B1D"/>
    <w:rsid w:val="00A53172"/>
    <w:rsid w:val="00B06B94"/>
    <w:rsid w:val="00B75A0E"/>
    <w:rsid w:val="00B80344"/>
    <w:rsid w:val="00BC77D6"/>
    <w:rsid w:val="00C406C4"/>
    <w:rsid w:val="00CE71CF"/>
    <w:rsid w:val="00CF48B5"/>
    <w:rsid w:val="00D429E7"/>
    <w:rsid w:val="00D91C03"/>
    <w:rsid w:val="00DD0FC6"/>
    <w:rsid w:val="00F141F2"/>
    <w:rsid w:val="00F430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5629"/>
  <w15:docId w15:val="{A259F789-6E55-4463-9733-D3141456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paragraph" w:styleId="Heading1">
    <w:name w:val="heading 1"/>
    <w:basedOn w:val="Normal"/>
    <w:next w:val="Normal"/>
    <w:link w:val="Heading1Char"/>
    <w:uiPriority w:val="9"/>
    <w:qFormat/>
    <w:rsid w:val="00552FE6"/>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Heading1Char">
    <w:name w:val="Heading 1 Char"/>
    <w:basedOn w:val="DefaultParagraphFont"/>
    <w:link w:val="Heading1"/>
    <w:uiPriority w:val="9"/>
    <w:rsid w:val="00552FE6"/>
    <w:rPr>
      <w:rFonts w:asciiTheme="majorHAnsi" w:eastAsiaTheme="majorEastAsia" w:hAnsiTheme="majorHAnsi" w:cstheme="majorBidi"/>
      <w:color w:val="244061" w:themeColor="accent1" w:themeShade="80"/>
      <w:sz w:val="36"/>
      <w:szCs w:val="36"/>
      <w:lang w:eastAsia="zh-CN"/>
    </w:rPr>
  </w:style>
  <w:style w:type="paragraph" w:styleId="NoSpacing">
    <w:name w:val="No Spacing"/>
    <w:uiPriority w:val="1"/>
    <w:qFormat/>
    <w:rsid w:val="00552FE6"/>
    <w:pPr>
      <w:spacing w:after="0" w:line="240" w:lineRule="auto"/>
    </w:pPr>
    <w:rPr>
      <w:rFonts w:eastAsiaTheme="minorEastAsia"/>
      <w:lang w:eastAsia="zh-CN"/>
    </w:rPr>
  </w:style>
  <w:style w:type="paragraph" w:styleId="ListParagraph">
    <w:name w:val="List Paragraph"/>
    <w:basedOn w:val="Normal"/>
    <w:uiPriority w:val="34"/>
    <w:qFormat/>
    <w:rsid w:val="00A51B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DAC6-F559-4DAC-8B42-57D58AB33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ZENE</dc:creator>
  <cp:lastModifiedBy>ZENE</cp:lastModifiedBy>
  <cp:revision>3</cp:revision>
  <dcterms:created xsi:type="dcterms:W3CDTF">2020-06-22T07:32:00Z</dcterms:created>
  <dcterms:modified xsi:type="dcterms:W3CDTF">2020-06-22T07:58:00Z</dcterms:modified>
</cp:coreProperties>
</file>