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C73" w:rsidRDefault="00214D4C" w:rsidP="00970C73">
      <w:pPr>
        <w:spacing w:line="360" w:lineRule="auto"/>
        <w:jc w:val="center"/>
        <w:rPr>
          <w:b/>
          <w:noProof/>
          <w:sz w:val="36"/>
          <w:szCs w:val="36"/>
        </w:rPr>
      </w:pPr>
      <w:r w:rsidRPr="009277E5">
        <w:rPr>
          <w:b/>
          <w:noProof/>
          <w:sz w:val="36"/>
          <w:szCs w:val="36"/>
        </w:rPr>
        <w:t>Fire retardant</w:t>
      </w:r>
      <w:r>
        <w:rPr>
          <w:b/>
          <w:noProof/>
          <w:sz w:val="36"/>
          <w:szCs w:val="36"/>
        </w:rPr>
        <w:t xml:space="preserve"> and</w:t>
      </w:r>
      <w:r w:rsidRPr="009277E5">
        <w:rPr>
          <w:b/>
          <w:noProof/>
          <w:sz w:val="36"/>
          <w:szCs w:val="36"/>
        </w:rPr>
        <w:t xml:space="preserve"> </w:t>
      </w:r>
      <w:r w:rsidR="00970C73" w:rsidRPr="009277E5">
        <w:rPr>
          <w:b/>
          <w:noProof/>
          <w:sz w:val="36"/>
          <w:szCs w:val="36"/>
        </w:rPr>
        <w:t xml:space="preserve">Smoke suppressant </w:t>
      </w:r>
      <w:r w:rsidR="00970C73">
        <w:rPr>
          <w:b/>
          <w:noProof/>
          <w:sz w:val="36"/>
          <w:szCs w:val="36"/>
        </w:rPr>
        <w:t>rigid</w:t>
      </w:r>
      <w:r>
        <w:rPr>
          <w:b/>
          <w:noProof/>
          <w:sz w:val="36"/>
          <w:szCs w:val="36"/>
        </w:rPr>
        <w:t xml:space="preserve"> </w:t>
      </w:r>
      <w:r w:rsidR="00970C73" w:rsidRPr="009277E5">
        <w:rPr>
          <w:b/>
          <w:noProof/>
          <w:sz w:val="36"/>
          <w:szCs w:val="36"/>
        </w:rPr>
        <w:t>PIR foam</w:t>
      </w:r>
    </w:p>
    <w:p w:rsidR="00970C73" w:rsidRDefault="00970C73" w:rsidP="00970C73">
      <w:pPr>
        <w:spacing w:line="360" w:lineRule="auto"/>
        <w:jc w:val="center"/>
        <w:rPr>
          <w:noProof/>
          <w:sz w:val="24"/>
          <w:szCs w:val="24"/>
          <w:vertAlign w:val="superscript"/>
          <w:lang w:val="de-DE"/>
        </w:rPr>
      </w:pPr>
      <w:r w:rsidRPr="00965F59">
        <w:rPr>
          <w:b/>
          <w:noProof/>
          <w:sz w:val="24"/>
          <w:szCs w:val="24"/>
          <w:u w:val="single"/>
          <w:lang w:val="de-DE"/>
        </w:rPr>
        <w:t>Berrin Değirmenci</w:t>
      </w:r>
      <w:r w:rsidRPr="00965F59">
        <w:rPr>
          <w:b/>
          <w:noProof/>
          <w:sz w:val="24"/>
          <w:szCs w:val="24"/>
          <w:lang w:val="de-DE"/>
        </w:rPr>
        <w:t>, Nesrin Köken</w:t>
      </w:r>
      <w:r w:rsidRPr="00965F59">
        <w:rPr>
          <w:noProof/>
          <w:sz w:val="24"/>
          <w:szCs w:val="24"/>
          <w:lang w:val="de-DE"/>
        </w:rPr>
        <w:t xml:space="preserve">, </w:t>
      </w:r>
      <w:r w:rsidRPr="00965F59">
        <w:rPr>
          <w:b/>
          <w:noProof/>
          <w:sz w:val="24"/>
          <w:szCs w:val="24"/>
          <w:lang w:val="de-DE"/>
        </w:rPr>
        <w:t>Ahmet Akar</w:t>
      </w:r>
    </w:p>
    <w:p w:rsidR="00256B6C" w:rsidRPr="00965F59" w:rsidRDefault="00256B6C" w:rsidP="00256B6C">
      <w:pPr>
        <w:jc w:val="center"/>
        <w:rPr>
          <w:noProof/>
          <w:sz w:val="24"/>
          <w:szCs w:val="24"/>
          <w:lang w:val="de-DE"/>
        </w:rPr>
      </w:pPr>
    </w:p>
    <w:p w:rsidR="00970C73" w:rsidRPr="00615B38" w:rsidRDefault="00970C73" w:rsidP="00256B6C">
      <w:pPr>
        <w:jc w:val="center"/>
        <w:rPr>
          <w:bCs/>
          <w:iCs/>
          <w:noProof/>
        </w:rPr>
      </w:pPr>
      <w:r w:rsidRPr="009277E5">
        <w:rPr>
          <w:bCs/>
          <w:iCs/>
          <w:noProof/>
          <w:sz w:val="24"/>
          <w:szCs w:val="24"/>
          <w:vertAlign w:val="superscript"/>
        </w:rPr>
        <w:t xml:space="preserve"> </w:t>
      </w:r>
      <w:r w:rsidRPr="00615B38">
        <w:rPr>
          <w:bCs/>
          <w:iCs/>
          <w:noProof/>
        </w:rPr>
        <w:t>Department of Polymer Science and Technology, Graduate School of Science Engineering and Technology, Istanbul Technical University, Maslak34469, Istanbul, Turkey</w:t>
      </w:r>
    </w:p>
    <w:p w:rsidR="00256B6C" w:rsidRPr="009277E5" w:rsidRDefault="00256B6C" w:rsidP="00256B6C">
      <w:pPr>
        <w:jc w:val="center"/>
        <w:rPr>
          <w:noProof/>
          <w:sz w:val="24"/>
          <w:szCs w:val="24"/>
        </w:rPr>
      </w:pPr>
    </w:p>
    <w:p w:rsidR="00256B6C" w:rsidRPr="00256B6C" w:rsidRDefault="00970C73" w:rsidP="00D6493F">
      <w:pPr>
        <w:pStyle w:val="Text"/>
        <w:spacing w:line="276" w:lineRule="auto"/>
        <w:ind w:firstLine="0"/>
        <w:rPr>
          <w:noProof/>
          <w:sz w:val="24"/>
          <w:szCs w:val="24"/>
        </w:rPr>
      </w:pPr>
      <w:r w:rsidRPr="00256B6C">
        <w:rPr>
          <w:noProof/>
          <w:sz w:val="24"/>
          <w:szCs w:val="24"/>
        </w:rPr>
        <w:t xml:space="preserve">In this work, the combinations of phosphorous-containing fire retardants and smoke suppressant Zinc borate (Firebrake ZB) are used as additives to produce fire retardant and smoke suppressant rigid polyurethane-polyisocyanurate (PIR) foam. Fire retardants are ammonium polyphosphate (APP), triethyl phosphate (TEP), diethyl ethyl phosphate (DEEP), and Oligomeric TEP. The </w:t>
      </w:r>
      <w:r w:rsidR="005E1DC1">
        <w:rPr>
          <w:noProof/>
          <w:sz w:val="24"/>
          <w:szCs w:val="24"/>
        </w:rPr>
        <w:t>impact</w:t>
      </w:r>
      <w:r w:rsidRPr="00256B6C">
        <w:rPr>
          <w:noProof/>
          <w:sz w:val="24"/>
          <w:szCs w:val="24"/>
        </w:rPr>
        <w:t xml:space="preserve"> of </w:t>
      </w:r>
      <w:r w:rsidR="005E1DC1">
        <w:rPr>
          <w:noProof/>
          <w:sz w:val="24"/>
          <w:szCs w:val="24"/>
        </w:rPr>
        <w:t xml:space="preserve">the </w:t>
      </w:r>
      <w:r w:rsidRPr="00256B6C">
        <w:rPr>
          <w:noProof/>
          <w:sz w:val="24"/>
          <w:szCs w:val="24"/>
        </w:rPr>
        <w:t xml:space="preserve">combustion modifier on the flame height and smoke density </w:t>
      </w:r>
      <w:r w:rsidR="00214D4C">
        <w:rPr>
          <w:noProof/>
          <w:sz w:val="24"/>
          <w:szCs w:val="24"/>
        </w:rPr>
        <w:t>is</w:t>
      </w:r>
      <w:r w:rsidRPr="00256B6C">
        <w:rPr>
          <w:noProof/>
          <w:sz w:val="24"/>
          <w:szCs w:val="24"/>
        </w:rPr>
        <w:t xml:space="preserve"> examined by DIN 4102 and </w:t>
      </w:r>
      <w:r w:rsidR="00214D4C">
        <w:rPr>
          <w:noProof/>
          <w:sz w:val="24"/>
          <w:szCs w:val="24"/>
        </w:rPr>
        <w:t xml:space="preserve">the </w:t>
      </w:r>
      <w:r w:rsidRPr="00256B6C">
        <w:rPr>
          <w:noProof/>
          <w:sz w:val="24"/>
          <w:szCs w:val="24"/>
        </w:rPr>
        <w:t>NBS smoke chamber</w:t>
      </w:r>
      <w:r w:rsidR="00615B38">
        <w:rPr>
          <w:noProof/>
          <w:sz w:val="24"/>
          <w:szCs w:val="24"/>
        </w:rPr>
        <w:t xml:space="preserve"> method</w:t>
      </w:r>
      <w:r w:rsidRPr="00256B6C">
        <w:rPr>
          <w:noProof/>
          <w:sz w:val="24"/>
          <w:szCs w:val="24"/>
        </w:rPr>
        <w:t>. TGA and SEM are also used to observe the thermal effect of additives on the foams. The results are summarized in the following table.</w:t>
      </w:r>
      <w:r w:rsidR="00256B6C" w:rsidRPr="00256B6C">
        <w:rPr>
          <w:noProof/>
          <w:sz w:val="24"/>
          <w:szCs w:val="24"/>
        </w:rPr>
        <w:t xml:space="preserve"> The lowest flame height and smoke density are obtained from </w:t>
      </w:r>
      <w:r w:rsidR="00256B6C" w:rsidRPr="00214D4C">
        <w:rPr>
          <w:noProof/>
          <w:sz w:val="24"/>
          <w:szCs w:val="24"/>
        </w:rPr>
        <w:t>T2-Z2</w:t>
      </w:r>
      <w:r w:rsidR="00256B6C" w:rsidRPr="00256B6C">
        <w:rPr>
          <w:noProof/>
          <w:sz w:val="24"/>
          <w:szCs w:val="24"/>
        </w:rPr>
        <w:t xml:space="preserve"> (TEP-zinc borate mixture).</w:t>
      </w:r>
      <w:r w:rsidR="00C61153">
        <w:rPr>
          <w:noProof/>
          <w:sz w:val="24"/>
          <w:szCs w:val="24"/>
        </w:rPr>
        <w:t xml:space="preserve"> There is a synergy between TEP and zinc borate in terms of the reduction of flame height and smoke density.</w:t>
      </w:r>
      <w:r w:rsidR="00831252">
        <w:rPr>
          <w:noProof/>
          <w:sz w:val="24"/>
          <w:szCs w:val="24"/>
        </w:rPr>
        <w:t xml:space="preserve"> Phosphorous content does not directly determine the </w:t>
      </w:r>
      <w:bookmarkStart w:id="0" w:name="_GoBack"/>
      <w:bookmarkEnd w:id="0"/>
      <w:r w:rsidR="00A96632" w:rsidRPr="009D6BA6">
        <w:rPr>
          <w:noProof/>
          <w:sz w:val="24"/>
          <w:szCs w:val="24"/>
        </w:rPr>
        <w:t>combustion</w:t>
      </w:r>
      <w:r w:rsidR="00831252">
        <w:rPr>
          <w:noProof/>
          <w:sz w:val="24"/>
          <w:szCs w:val="24"/>
        </w:rPr>
        <w:t xml:space="preserve"> behavior of PIR.</w:t>
      </w:r>
    </w:p>
    <w:p w:rsidR="00970C73" w:rsidRPr="00F53026" w:rsidRDefault="00970C73" w:rsidP="00970C73">
      <w:pPr>
        <w:jc w:val="both"/>
        <w:rPr>
          <w:rFonts w:cstheme="minorHAnsi"/>
          <w:b/>
          <w:color w:val="000000" w:themeColor="text1"/>
          <w:sz w:val="24"/>
          <w:szCs w:val="28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0"/>
        <w:gridCol w:w="630"/>
        <w:gridCol w:w="810"/>
        <w:gridCol w:w="810"/>
        <w:gridCol w:w="810"/>
        <w:gridCol w:w="900"/>
        <w:gridCol w:w="900"/>
        <w:gridCol w:w="990"/>
        <w:gridCol w:w="810"/>
        <w:gridCol w:w="810"/>
      </w:tblGrid>
      <w:tr w:rsidR="00615B38" w:rsidRPr="00335DC7" w:rsidTr="00615B38">
        <w:trPr>
          <w:trHeight w:val="340"/>
          <w:jc w:val="center"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15B38" w:rsidRPr="00A84759" w:rsidRDefault="00615B38" w:rsidP="00970C73">
            <w:pPr>
              <w:jc w:val="center"/>
              <w:rPr>
                <w:b/>
                <w:sz w:val="24"/>
                <w:szCs w:val="24"/>
                <w:lang w:eastAsia="it-IT"/>
              </w:rPr>
            </w:pPr>
            <w:r w:rsidRPr="00A84759">
              <w:rPr>
                <w:b/>
                <w:sz w:val="24"/>
                <w:szCs w:val="24"/>
                <w:lang w:eastAsia="it-IT"/>
              </w:rPr>
              <w:t>Code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T1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Z1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A1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D1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T2-Z2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A2-Z2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Z2-D2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 w:rsidRPr="00A84759">
              <w:rPr>
                <w:b/>
                <w:bCs/>
                <w:sz w:val="24"/>
                <w:szCs w:val="24"/>
                <w:lang w:val="it-IT" w:eastAsia="it-IT"/>
              </w:rPr>
              <w:t>O1-Z2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A84759" w:rsidRDefault="00615B38" w:rsidP="00970C73">
            <w:pPr>
              <w:jc w:val="center"/>
              <w:rPr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b/>
                <w:bCs/>
                <w:sz w:val="24"/>
                <w:szCs w:val="24"/>
                <w:lang w:val="it-IT" w:eastAsia="it-IT"/>
              </w:rPr>
              <w:t>T3-O2-Z2</w:t>
            </w:r>
          </w:p>
        </w:tc>
      </w:tr>
      <w:tr w:rsidR="00615B38" w:rsidRPr="00335DC7" w:rsidTr="00615B38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Polyol Blend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75.7</w:t>
            </w:r>
          </w:p>
        </w:tc>
      </w:tr>
      <w:tr w:rsidR="00615B38" w:rsidRPr="00335DC7" w:rsidTr="00615B38">
        <w:trPr>
          <w:trHeight w:val="52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TEP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24.3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14.1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615B38" w:rsidRPr="00335DC7" w:rsidTr="00615B38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Firebreak ZB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24.3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10.2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10.2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10.2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10.2</w:t>
            </w:r>
          </w:p>
        </w:tc>
      </w:tr>
      <w:tr w:rsidR="00615B38" w:rsidRPr="00335DC7" w:rsidTr="00615B38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APP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24.3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14.1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615B38" w:rsidRPr="00335DC7" w:rsidTr="00615B38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DEEP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24.3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14.1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615B38" w:rsidRPr="00335DC7" w:rsidTr="00615B38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Oligomeric TEP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14.1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7.1</w:t>
            </w:r>
          </w:p>
        </w:tc>
      </w:tr>
      <w:tr w:rsidR="00615B38" w:rsidRPr="00335DC7" w:rsidTr="00615B38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C61153">
              <w:rPr>
                <w:color w:val="000000"/>
                <w:sz w:val="24"/>
                <w:szCs w:val="24"/>
                <w:lang w:eastAsia="it-IT"/>
              </w:rPr>
              <w:t>P(</w:t>
            </w:r>
            <w:proofErr w:type="gramEnd"/>
            <w:r w:rsidRPr="00C61153">
              <w:rPr>
                <w:color w:val="000000"/>
                <w:sz w:val="24"/>
                <w:szCs w:val="24"/>
                <w:lang w:eastAsia="it-IT"/>
              </w:rPr>
              <w:t>%)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B38" w:rsidRPr="00831252" w:rsidRDefault="00615B38" w:rsidP="002D0B74">
            <w:pPr>
              <w:jc w:val="both"/>
              <w:rPr>
                <w:b/>
                <w:color w:val="000000"/>
                <w:sz w:val="24"/>
                <w:szCs w:val="24"/>
                <w:lang w:val="it-IT" w:eastAsia="it-IT"/>
              </w:rPr>
            </w:pPr>
            <w:r w:rsidRPr="00831252">
              <w:rPr>
                <w:b/>
                <w:color w:val="000000"/>
                <w:sz w:val="24"/>
                <w:szCs w:val="24"/>
                <w:lang w:eastAsia="it-IT"/>
              </w:rPr>
              <w:t>1.7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1.87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B38" w:rsidRPr="00831252" w:rsidRDefault="00615B38" w:rsidP="002D0B74">
            <w:pPr>
              <w:jc w:val="both"/>
              <w:rPr>
                <w:b/>
                <w:color w:val="000000"/>
                <w:sz w:val="24"/>
                <w:szCs w:val="24"/>
                <w:lang w:val="it-IT" w:eastAsia="it-IT"/>
              </w:rPr>
            </w:pPr>
            <w:r w:rsidRPr="00831252">
              <w:rPr>
                <w:b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1.76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1.09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eastAsia="it-IT"/>
              </w:rPr>
              <w:t>0.96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5B38" w:rsidRPr="00831252" w:rsidRDefault="00A63BA4" w:rsidP="002D0B74">
            <w:pPr>
              <w:jc w:val="both"/>
              <w:rPr>
                <w:b/>
                <w:color w:val="000000"/>
                <w:sz w:val="24"/>
                <w:szCs w:val="24"/>
                <w:lang w:eastAsia="it-IT"/>
              </w:rPr>
            </w:pPr>
            <w:r w:rsidRPr="00831252">
              <w:rPr>
                <w:b/>
                <w:color w:val="000000"/>
                <w:sz w:val="24"/>
                <w:szCs w:val="24"/>
                <w:lang w:eastAsia="it-IT"/>
              </w:rPr>
              <w:t>1.04</w:t>
            </w:r>
          </w:p>
        </w:tc>
      </w:tr>
      <w:tr w:rsidR="00615B38" w:rsidRPr="00335DC7" w:rsidTr="00A63BA4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Average Flame Height (mm)</w:t>
            </w:r>
            <w:r w:rsidR="00737139">
              <w:rPr>
                <w:color w:val="000000"/>
                <w:sz w:val="24"/>
                <w:szCs w:val="24"/>
                <w:lang w:val="it-IT" w:eastAsia="it-IT"/>
              </w:rPr>
              <w:t xml:space="preserve"> ±10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A63BA4" w:rsidRDefault="00615B38" w:rsidP="002D0B74">
            <w:pPr>
              <w:jc w:val="both"/>
              <w:rPr>
                <w:b/>
                <w:color w:val="000000"/>
                <w:sz w:val="24"/>
                <w:szCs w:val="24"/>
                <w:lang w:val="it-IT" w:eastAsia="it-IT"/>
              </w:rPr>
            </w:pPr>
            <w:r w:rsidRPr="00A63BA4">
              <w:rPr>
                <w:b/>
                <w:color w:val="000000"/>
                <w:sz w:val="24"/>
                <w:szCs w:val="24"/>
                <w:lang w:val="it-IT" w:eastAsia="it-IT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15B38" w:rsidRPr="00A63BA4" w:rsidRDefault="00A63BA4" w:rsidP="00A63BA4">
            <w:pPr>
              <w:rPr>
                <w:b/>
                <w:color w:val="000000"/>
                <w:sz w:val="24"/>
                <w:szCs w:val="24"/>
                <w:lang w:val="it-IT" w:eastAsia="it-IT"/>
              </w:rPr>
            </w:pPr>
            <w:r w:rsidRPr="00A63BA4">
              <w:rPr>
                <w:b/>
                <w:color w:val="000000"/>
                <w:sz w:val="24"/>
                <w:szCs w:val="24"/>
                <w:lang w:val="it-IT" w:eastAsia="it-IT"/>
              </w:rPr>
              <w:t>108</w:t>
            </w:r>
          </w:p>
        </w:tc>
      </w:tr>
      <w:tr w:rsidR="00615B38" w:rsidRPr="00335DC7" w:rsidTr="00A63BA4">
        <w:trPr>
          <w:trHeight w:val="300"/>
          <w:jc w:val="center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 xml:space="preserve">Average Smoke Density </w:t>
            </w:r>
            <w:r w:rsidR="00737139">
              <w:rPr>
                <w:color w:val="000000"/>
                <w:sz w:val="24"/>
                <w:szCs w:val="24"/>
                <w:lang w:val="it-IT" w:eastAsia="it-IT"/>
              </w:rPr>
              <w:t xml:space="preserve"> ±5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60.7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A63BA4" w:rsidRDefault="00615B38" w:rsidP="002D0B74">
            <w:pPr>
              <w:jc w:val="both"/>
              <w:rPr>
                <w:b/>
                <w:color w:val="000000"/>
                <w:sz w:val="24"/>
                <w:szCs w:val="24"/>
                <w:lang w:val="it-IT" w:eastAsia="it-IT"/>
              </w:rPr>
            </w:pPr>
            <w:r w:rsidRPr="00A63BA4">
              <w:rPr>
                <w:b/>
                <w:color w:val="000000"/>
                <w:sz w:val="24"/>
                <w:szCs w:val="24"/>
                <w:lang w:val="it-IT" w:eastAsia="it-IT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15B38" w:rsidRPr="00C61153" w:rsidRDefault="00615B38" w:rsidP="002D0B74">
            <w:pPr>
              <w:jc w:val="both"/>
              <w:rPr>
                <w:color w:val="000000"/>
                <w:sz w:val="24"/>
                <w:szCs w:val="24"/>
                <w:lang w:val="it-IT" w:eastAsia="it-IT"/>
              </w:rPr>
            </w:pPr>
            <w:r w:rsidRPr="00C61153">
              <w:rPr>
                <w:color w:val="000000"/>
                <w:sz w:val="24"/>
                <w:szCs w:val="24"/>
                <w:lang w:val="it-IT" w:eastAsia="it-IT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15B38" w:rsidRPr="00A63BA4" w:rsidRDefault="00A63BA4" w:rsidP="00A63BA4">
            <w:pPr>
              <w:rPr>
                <w:b/>
                <w:color w:val="000000"/>
                <w:sz w:val="24"/>
                <w:szCs w:val="24"/>
                <w:lang w:val="it-IT" w:eastAsia="it-IT"/>
              </w:rPr>
            </w:pPr>
            <w:r w:rsidRPr="00A63BA4">
              <w:rPr>
                <w:b/>
                <w:color w:val="000000"/>
                <w:sz w:val="24"/>
                <w:szCs w:val="24"/>
                <w:lang w:val="it-IT" w:eastAsia="it-IT"/>
              </w:rPr>
              <w:t>16</w:t>
            </w:r>
          </w:p>
        </w:tc>
      </w:tr>
    </w:tbl>
    <w:p w:rsidR="00970C73" w:rsidRDefault="00970C73" w:rsidP="00970C73">
      <w:pPr>
        <w:pStyle w:val="Text"/>
        <w:spacing w:line="360" w:lineRule="auto"/>
        <w:ind w:firstLine="0"/>
        <w:rPr>
          <w:noProof/>
          <w:sz w:val="24"/>
          <w:szCs w:val="24"/>
        </w:rPr>
      </w:pPr>
    </w:p>
    <w:p w:rsidR="00970C73" w:rsidRPr="00D6493F" w:rsidRDefault="00970C73" w:rsidP="00D6493F">
      <w:pPr>
        <w:pStyle w:val="Text"/>
        <w:spacing w:line="276" w:lineRule="auto"/>
        <w:ind w:firstLine="0"/>
        <w:rPr>
          <w:noProof/>
          <w:sz w:val="24"/>
          <w:szCs w:val="24"/>
        </w:rPr>
      </w:pPr>
      <w:r w:rsidRPr="00D6493F">
        <w:rPr>
          <w:noProof/>
          <w:sz w:val="24"/>
          <w:szCs w:val="24"/>
        </w:rPr>
        <w:t>References:</w:t>
      </w:r>
    </w:p>
    <w:p w:rsidR="00194C1D" w:rsidRPr="00D6493F" w:rsidRDefault="00970C73" w:rsidP="00D6493F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6493F">
        <w:rPr>
          <w:noProof/>
          <w:sz w:val="24"/>
          <w:szCs w:val="24"/>
        </w:rPr>
        <w:t>1.</w:t>
      </w:r>
      <w:r w:rsidR="00615B38">
        <w:rPr>
          <w:noProof/>
          <w:sz w:val="24"/>
          <w:szCs w:val="24"/>
        </w:rPr>
        <w:t xml:space="preserve">  </w:t>
      </w:r>
      <w:hyperlink r:id="rId4" w:history="1">
        <w:r w:rsidRPr="00D6493F">
          <w:rPr>
            <w:noProof/>
            <w:sz w:val="24"/>
            <w:szCs w:val="24"/>
            <w:lang w:val="de-DE"/>
          </w:rPr>
          <w:t>Akar,</w:t>
        </w:r>
        <w:r w:rsidR="00615B38">
          <w:rPr>
            <w:noProof/>
            <w:sz w:val="24"/>
            <w:szCs w:val="24"/>
            <w:lang w:val="de-DE"/>
          </w:rPr>
          <w:t xml:space="preserve"> A.;</w:t>
        </w:r>
        <w:r w:rsidRPr="00D6493F">
          <w:rPr>
            <w:noProof/>
            <w:sz w:val="24"/>
            <w:szCs w:val="24"/>
            <w:lang w:val="de-DE"/>
          </w:rPr>
          <w:t> </w:t>
        </w:r>
      </w:hyperlink>
      <w:hyperlink r:id="rId5" w:history="1">
        <w:r w:rsidRPr="00D6493F">
          <w:rPr>
            <w:noProof/>
            <w:sz w:val="24"/>
            <w:szCs w:val="24"/>
            <w:lang w:val="de-DE"/>
          </w:rPr>
          <w:t>Berrin Değirmenci, </w:t>
        </w:r>
      </w:hyperlink>
      <w:r w:rsidR="00615B38">
        <w:rPr>
          <w:noProof/>
          <w:sz w:val="24"/>
          <w:szCs w:val="24"/>
          <w:lang w:val="de-DE"/>
        </w:rPr>
        <w:t>B.;</w:t>
      </w:r>
      <w:hyperlink r:id="rId6" w:history="1">
        <w:r w:rsidR="00615B38">
          <w:rPr>
            <w:noProof/>
            <w:sz w:val="24"/>
            <w:szCs w:val="24"/>
            <w:lang w:val="de-DE"/>
          </w:rPr>
          <w:t xml:space="preserve"> </w:t>
        </w:r>
        <w:r w:rsidRPr="00D6493F">
          <w:rPr>
            <w:noProof/>
            <w:sz w:val="24"/>
            <w:szCs w:val="24"/>
            <w:lang w:val="de-DE"/>
          </w:rPr>
          <w:t>Köken</w:t>
        </w:r>
      </w:hyperlink>
      <w:r w:rsidRPr="00D6493F">
        <w:rPr>
          <w:noProof/>
          <w:sz w:val="24"/>
          <w:szCs w:val="24"/>
          <w:lang w:val="de-DE"/>
        </w:rPr>
        <w:t>,</w:t>
      </w:r>
      <w:r w:rsidR="00615B38">
        <w:rPr>
          <w:noProof/>
          <w:sz w:val="24"/>
          <w:szCs w:val="24"/>
          <w:lang w:val="de-DE"/>
        </w:rPr>
        <w:t xml:space="preserve"> N.</w:t>
      </w:r>
      <w:r w:rsidRPr="00D6493F">
        <w:rPr>
          <w:noProof/>
          <w:sz w:val="24"/>
          <w:szCs w:val="24"/>
          <w:lang w:val="de-DE"/>
        </w:rPr>
        <w:t xml:space="preserve"> “</w:t>
      </w:r>
      <w:r w:rsidRPr="00D6493F">
        <w:rPr>
          <w:noProof/>
          <w:kern w:val="36"/>
          <w:sz w:val="24"/>
          <w:szCs w:val="24"/>
        </w:rPr>
        <w:t xml:space="preserve">Fire-retardant and smoke-suppressant rigid polyurethane foam composites”,  </w:t>
      </w:r>
      <w:hyperlink r:id="rId7" w:history="1">
        <w:r w:rsidRPr="00D6493F">
          <w:rPr>
            <w:i/>
            <w:noProof/>
            <w:sz w:val="24"/>
            <w:szCs w:val="24"/>
          </w:rPr>
          <w:t>Pigment &amp; Resin Technology</w:t>
        </w:r>
      </w:hyperlink>
      <w:r w:rsidR="00D6493F" w:rsidRPr="00D6493F">
        <w:rPr>
          <w:noProof/>
          <w:sz w:val="24"/>
          <w:szCs w:val="24"/>
        </w:rPr>
        <w:t xml:space="preserve"> (2022)</w:t>
      </w:r>
      <w:r w:rsidR="00D6493F">
        <w:rPr>
          <w:noProof/>
          <w:sz w:val="24"/>
          <w:szCs w:val="24"/>
        </w:rPr>
        <w:t>.</w:t>
      </w:r>
    </w:p>
    <w:p w:rsidR="00970C73" w:rsidRPr="00D6493F" w:rsidRDefault="009D6BA6" w:rsidP="00D6493F">
      <w:pPr>
        <w:spacing w:line="276" w:lineRule="auto"/>
        <w:jc w:val="both"/>
        <w:rPr>
          <w:noProof/>
          <w:sz w:val="24"/>
          <w:szCs w:val="24"/>
        </w:rPr>
      </w:pPr>
      <w:hyperlink r:id="rId8" w:tooltip="DOI: https://doi.org/10.1108/PRT-06-2021-0062" w:history="1">
        <w:r w:rsidR="00194C1D" w:rsidRPr="00D6493F">
          <w:rPr>
            <w:rStyle w:val="Hyperlink"/>
            <w:rFonts w:eastAsia="Batang"/>
            <w:color w:val="auto"/>
            <w:sz w:val="24"/>
            <w:szCs w:val="24"/>
            <w:u w:val="none"/>
            <w:shd w:val="clear" w:color="auto" w:fill="FFFFFF"/>
          </w:rPr>
          <w:t xml:space="preserve">DOI: </w:t>
        </w:r>
        <w:r w:rsidR="00970C73" w:rsidRPr="00D6493F">
          <w:rPr>
            <w:rStyle w:val="Hyperlink"/>
            <w:rFonts w:eastAsia="Batang"/>
            <w:color w:val="auto"/>
            <w:sz w:val="24"/>
            <w:szCs w:val="24"/>
            <w:u w:val="none"/>
            <w:shd w:val="clear" w:color="auto" w:fill="FFFFFF"/>
          </w:rPr>
          <w:t>org/10.1108/PRT-06-2021-0062</w:t>
        </w:r>
      </w:hyperlink>
      <w:r w:rsidR="00D6493F">
        <w:rPr>
          <w:sz w:val="24"/>
          <w:szCs w:val="24"/>
        </w:rPr>
        <w:t>.</w:t>
      </w:r>
    </w:p>
    <w:p w:rsidR="00970C73" w:rsidRDefault="00970C73" w:rsidP="00D139F0">
      <w:pPr>
        <w:spacing w:line="276" w:lineRule="auto"/>
        <w:jc w:val="both"/>
        <w:rPr>
          <w:noProof/>
          <w:sz w:val="24"/>
          <w:szCs w:val="24"/>
        </w:rPr>
      </w:pPr>
      <w:r w:rsidRPr="00D6493F">
        <w:rPr>
          <w:noProof/>
          <w:sz w:val="24"/>
          <w:szCs w:val="24"/>
        </w:rPr>
        <w:t>2.</w:t>
      </w:r>
      <w:r w:rsidR="00615B38">
        <w:rPr>
          <w:noProof/>
          <w:sz w:val="24"/>
          <w:szCs w:val="24"/>
        </w:rPr>
        <w:t xml:space="preserve"> </w:t>
      </w:r>
      <w:r w:rsidRPr="00D6493F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D6493F">
        <w:rPr>
          <w:color w:val="222222"/>
          <w:sz w:val="24"/>
          <w:szCs w:val="24"/>
          <w:shd w:val="clear" w:color="auto" w:fill="FFFFFF"/>
        </w:rPr>
        <w:t>Akar</w:t>
      </w:r>
      <w:proofErr w:type="spellEnd"/>
      <w:r w:rsidRPr="00D6493F">
        <w:rPr>
          <w:color w:val="222222"/>
          <w:sz w:val="24"/>
          <w:szCs w:val="24"/>
          <w:shd w:val="clear" w:color="auto" w:fill="FFFFFF"/>
        </w:rPr>
        <w:t xml:space="preserve">, A.; </w:t>
      </w:r>
      <w:proofErr w:type="spellStart"/>
      <w:r w:rsidRPr="00D6493F">
        <w:rPr>
          <w:color w:val="222222"/>
          <w:sz w:val="24"/>
          <w:szCs w:val="24"/>
          <w:shd w:val="clear" w:color="auto" w:fill="FFFFFF"/>
        </w:rPr>
        <w:t>Kızılcan</w:t>
      </w:r>
      <w:proofErr w:type="spellEnd"/>
      <w:r w:rsidRPr="00D6493F">
        <w:rPr>
          <w:color w:val="222222"/>
          <w:sz w:val="24"/>
          <w:szCs w:val="24"/>
          <w:shd w:val="clear" w:color="auto" w:fill="FFFFFF"/>
        </w:rPr>
        <w:t xml:space="preserve">, N.; </w:t>
      </w:r>
      <w:proofErr w:type="spellStart"/>
      <w:r w:rsidRPr="00D6493F">
        <w:rPr>
          <w:color w:val="222222"/>
          <w:sz w:val="24"/>
          <w:szCs w:val="24"/>
          <w:shd w:val="clear" w:color="auto" w:fill="FFFFFF"/>
        </w:rPr>
        <w:t>Yivlik</w:t>
      </w:r>
      <w:proofErr w:type="spellEnd"/>
      <w:r w:rsidRPr="00D6493F">
        <w:rPr>
          <w:color w:val="222222"/>
          <w:sz w:val="24"/>
          <w:szCs w:val="24"/>
          <w:shd w:val="clear" w:color="auto" w:fill="FFFFFF"/>
        </w:rPr>
        <w:t xml:space="preserve">, Y.; </w:t>
      </w:r>
      <w:proofErr w:type="spellStart"/>
      <w:r w:rsidRPr="00D6493F">
        <w:rPr>
          <w:sz w:val="24"/>
          <w:szCs w:val="24"/>
          <w:shd w:val="clear" w:color="auto" w:fill="FFFFFF"/>
        </w:rPr>
        <w:t>Önen</w:t>
      </w:r>
      <w:proofErr w:type="spellEnd"/>
      <w:r w:rsidRPr="00D6493F">
        <w:rPr>
          <w:sz w:val="24"/>
          <w:szCs w:val="24"/>
          <w:shd w:val="clear" w:color="auto" w:fill="FFFFFF"/>
        </w:rPr>
        <w:t xml:space="preserve">, D. </w:t>
      </w:r>
      <w:proofErr w:type="spellStart"/>
      <w:r w:rsidRPr="00256B6C">
        <w:rPr>
          <w:sz w:val="24"/>
          <w:szCs w:val="24"/>
        </w:rPr>
        <w:t>A</w:t>
      </w:r>
      <w:hyperlink r:id="rId9" w:history="1">
        <w:r w:rsidRPr="00256B6C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lendronic</w:t>
        </w:r>
        <w:proofErr w:type="spellEnd"/>
        <w:r w:rsidRPr="00256B6C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 xml:space="preserve"> acid bearing ketone‐formaldehyde resin and clay nanocomposites for fire‐retardant polyurethanes</w:t>
        </w:r>
      </w:hyperlink>
      <w:r w:rsidRPr="00D6493F">
        <w:rPr>
          <w:sz w:val="24"/>
          <w:szCs w:val="24"/>
        </w:rPr>
        <w:t xml:space="preserve">. </w:t>
      </w:r>
      <w:r w:rsidRPr="00D6493F">
        <w:rPr>
          <w:i/>
          <w:sz w:val="24"/>
          <w:szCs w:val="24"/>
        </w:rPr>
        <w:t>J. Appl</w:t>
      </w:r>
      <w:r w:rsidR="009A566B">
        <w:rPr>
          <w:i/>
          <w:sz w:val="24"/>
          <w:szCs w:val="24"/>
        </w:rPr>
        <w:t>ied</w:t>
      </w:r>
      <w:r w:rsidRPr="00D6493F">
        <w:rPr>
          <w:i/>
          <w:sz w:val="24"/>
          <w:szCs w:val="24"/>
        </w:rPr>
        <w:t xml:space="preserve"> Polym</w:t>
      </w:r>
      <w:r w:rsidR="009A566B">
        <w:rPr>
          <w:i/>
          <w:sz w:val="24"/>
          <w:szCs w:val="24"/>
        </w:rPr>
        <w:t>er</w:t>
      </w:r>
      <w:r w:rsidRPr="00D6493F">
        <w:rPr>
          <w:i/>
          <w:sz w:val="24"/>
          <w:szCs w:val="24"/>
        </w:rPr>
        <w:t xml:space="preserve"> Sci</w:t>
      </w:r>
      <w:r w:rsidR="009A566B">
        <w:rPr>
          <w:i/>
          <w:sz w:val="24"/>
          <w:szCs w:val="24"/>
        </w:rPr>
        <w:t>ence</w:t>
      </w:r>
      <w:r w:rsidRPr="00D6493F">
        <w:rPr>
          <w:sz w:val="24"/>
          <w:szCs w:val="24"/>
        </w:rPr>
        <w:t xml:space="preserve">, </w:t>
      </w:r>
      <w:r w:rsidRPr="00D6493F">
        <w:rPr>
          <w:b/>
          <w:sz w:val="24"/>
          <w:szCs w:val="24"/>
          <w:shd w:val="clear" w:color="auto" w:fill="FFFFFF"/>
        </w:rPr>
        <w:t>2021</w:t>
      </w:r>
      <w:r w:rsidRPr="00D6493F">
        <w:rPr>
          <w:sz w:val="24"/>
          <w:szCs w:val="24"/>
          <w:shd w:val="clear" w:color="auto" w:fill="FFFFFF"/>
        </w:rPr>
        <w:t xml:space="preserve">, </w:t>
      </w:r>
      <w:r w:rsidRPr="00D6493F">
        <w:rPr>
          <w:i/>
          <w:sz w:val="24"/>
          <w:szCs w:val="24"/>
          <w:shd w:val="clear" w:color="auto" w:fill="FFFFFF"/>
        </w:rPr>
        <w:t>138</w:t>
      </w:r>
      <w:r w:rsidRPr="00D6493F">
        <w:rPr>
          <w:sz w:val="24"/>
          <w:szCs w:val="24"/>
          <w:shd w:val="clear" w:color="auto" w:fill="FFFFFF"/>
        </w:rPr>
        <w:t xml:space="preserve">, 50829-50844. </w:t>
      </w:r>
      <w:hyperlink r:id="rId10" w:tgtFrame="_blank" w:history="1">
        <w:r w:rsidRPr="00256B6C">
          <w:rPr>
            <w:rStyle w:val="Hyperlink"/>
            <w:bCs/>
            <w:color w:val="auto"/>
            <w:sz w:val="24"/>
            <w:szCs w:val="24"/>
            <w:u w:val="none"/>
            <w:shd w:val="clear" w:color="auto" w:fill="FFFFFF"/>
          </w:rPr>
          <w:t>DOI: 10.1002/app.50829</w:t>
        </w:r>
      </w:hyperlink>
      <w:r w:rsidRPr="00D6493F">
        <w:rPr>
          <w:sz w:val="24"/>
          <w:szCs w:val="24"/>
        </w:rPr>
        <w:t>.</w:t>
      </w:r>
    </w:p>
    <w:p w:rsidR="00CE57CE" w:rsidRDefault="00CE57CE"/>
    <w:sectPr w:rsidR="00CE5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73"/>
    <w:rsid w:val="00194C1D"/>
    <w:rsid w:val="00214D4C"/>
    <w:rsid w:val="00251962"/>
    <w:rsid w:val="00256B6C"/>
    <w:rsid w:val="005E1DC1"/>
    <w:rsid w:val="00615B38"/>
    <w:rsid w:val="006C4ADF"/>
    <w:rsid w:val="00737139"/>
    <w:rsid w:val="00831252"/>
    <w:rsid w:val="00970C73"/>
    <w:rsid w:val="009A566B"/>
    <w:rsid w:val="009D6BA6"/>
    <w:rsid w:val="00A63BA4"/>
    <w:rsid w:val="00A84759"/>
    <w:rsid w:val="00A96632"/>
    <w:rsid w:val="00C61153"/>
    <w:rsid w:val="00CE57CE"/>
    <w:rsid w:val="00D139F0"/>
    <w:rsid w:val="00D6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F35AC"/>
  <w15:chartTrackingRefBased/>
  <w15:docId w15:val="{F833DE95-6799-4F7A-960C-CDD04F4E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0C7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70C73"/>
    <w:pPr>
      <w:widowControl w:val="0"/>
      <w:spacing w:line="252" w:lineRule="auto"/>
      <w:ind w:firstLine="202"/>
      <w:jc w:val="both"/>
    </w:pPr>
  </w:style>
  <w:style w:type="character" w:customStyle="1" w:styleId="GOVDEChar">
    <w:name w:val="GOVDE Char"/>
    <w:link w:val="GOVDE"/>
    <w:locked/>
    <w:rsid w:val="00970C73"/>
    <w:rPr>
      <w:rFonts w:ascii="Batang" w:eastAsia="Batang"/>
      <w:noProof/>
      <w:sz w:val="24"/>
      <w:szCs w:val="24"/>
      <w:lang w:eastAsia="tr-TR"/>
    </w:rPr>
  </w:style>
  <w:style w:type="paragraph" w:customStyle="1" w:styleId="GOVDE">
    <w:name w:val="GOVDE"/>
    <w:basedOn w:val="Normal"/>
    <w:link w:val="GOVDEChar"/>
    <w:qFormat/>
    <w:rsid w:val="00970C73"/>
    <w:pPr>
      <w:autoSpaceDE/>
      <w:autoSpaceDN/>
      <w:spacing w:before="120" w:after="120" w:line="360" w:lineRule="auto"/>
      <w:jc w:val="both"/>
    </w:pPr>
    <w:rPr>
      <w:rFonts w:ascii="Batang" w:eastAsia="Batang" w:hAnsiTheme="minorHAnsi" w:cstheme="minorBidi"/>
      <w:noProof/>
      <w:sz w:val="24"/>
      <w:szCs w:val="24"/>
      <w:lang w:eastAsia="tr-TR"/>
    </w:rPr>
  </w:style>
  <w:style w:type="character" w:styleId="Hyperlink">
    <w:name w:val="Hyperlink"/>
    <w:basedOn w:val="DefaultParagraphFont"/>
    <w:uiPriority w:val="99"/>
    <w:semiHidden/>
    <w:unhideWhenUsed/>
    <w:rsid w:val="00970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PRT-06-2021-00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merald.com/insight/publication/issn/0369-94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rald.com/insight/search?q=Nesrin%20K%C3%B6ke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merald.com/insight/search?q=Berrin%20De%C4%9Firmenci" TargetMode="External"/><Relationship Id="rId10" Type="http://schemas.openxmlformats.org/officeDocument/2006/relationships/hyperlink" Target="https://doi.org/10.1002/app.50829" TargetMode="External"/><Relationship Id="rId4" Type="http://schemas.openxmlformats.org/officeDocument/2006/relationships/hyperlink" Target="https://www.emerald.com/insight/search?q=Ahmet%20Akar" TargetMode="External"/><Relationship Id="rId9" Type="http://schemas.openxmlformats.org/officeDocument/2006/relationships/hyperlink" Target="https://onlinelibrary.wiley.com/doi/abs/10.1002/app.508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</dc:creator>
  <cp:keywords/>
  <dc:description/>
  <cp:lastModifiedBy>ITU</cp:lastModifiedBy>
  <cp:revision>17</cp:revision>
  <dcterms:created xsi:type="dcterms:W3CDTF">2022-10-19T06:48:00Z</dcterms:created>
  <dcterms:modified xsi:type="dcterms:W3CDTF">2022-11-03T08:56:00Z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089d1bbf-d944-431f-b6be-4b848dc1dfe2</vt:lpwstr>
  </property>
</Properties>
</file>