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805C1" w:rsidRPr="00900168" w:rsidRDefault="00E805C1" w:rsidP="003E70C5">
      <w:pPr>
        <w:pStyle w:val="CommentText"/>
        <w:spacing w:line="480" w:lineRule="auto"/>
        <w:rPr>
          <w:rFonts w:ascii="Times New Roman" w:hAnsi="Times New Roman" w:cs="Times New Roman"/>
          <w:b/>
          <w:bCs/>
          <w:color w:val="000000" w:themeColor="text1"/>
          <w:sz w:val="24"/>
          <w:szCs w:val="24"/>
        </w:rPr>
      </w:pPr>
      <w:r w:rsidRPr="00900168">
        <w:rPr>
          <w:rFonts w:ascii="Times New Roman" w:hAnsi="Times New Roman" w:cs="Times New Roman"/>
          <w:b/>
          <w:bCs/>
          <w:color w:val="000000" w:themeColor="text1"/>
          <w:sz w:val="24"/>
          <w:szCs w:val="24"/>
        </w:rPr>
        <w:t>Enhancing Precision in Plastic Surgery Hand Trauma: A Multi-Centre Exploration of Optimal Local Anaesthetic Formulations and Volumes in WALANT Procedures.</w:t>
      </w:r>
    </w:p>
    <w:p w:rsidR="00E805C1" w:rsidRPr="00900168" w:rsidRDefault="00E805C1" w:rsidP="003E70C5">
      <w:pPr>
        <w:pStyle w:val="CommentText"/>
        <w:spacing w:line="480" w:lineRule="auto"/>
        <w:rPr>
          <w:rFonts w:ascii="Times New Roman" w:hAnsi="Times New Roman" w:cs="Times New Roman"/>
          <w:b/>
          <w:bCs/>
          <w:color w:val="000000" w:themeColor="text1"/>
          <w:sz w:val="24"/>
          <w:szCs w:val="24"/>
        </w:rPr>
      </w:pPr>
    </w:p>
    <w:p w:rsidR="00E805C1" w:rsidRPr="00900168" w:rsidRDefault="00E805C1" w:rsidP="003E70C5">
      <w:pPr>
        <w:spacing w:line="480" w:lineRule="auto"/>
        <w:jc w:val="center"/>
        <w:rPr>
          <w:b/>
          <w:bCs/>
          <w:color w:val="000000" w:themeColor="text1"/>
        </w:rPr>
      </w:pPr>
    </w:p>
    <w:p w:rsidR="00E805C1" w:rsidRPr="00900168" w:rsidRDefault="00E805C1" w:rsidP="003E70C5">
      <w:pPr>
        <w:spacing w:line="480" w:lineRule="auto"/>
        <w:jc w:val="center"/>
        <w:rPr>
          <w:b/>
          <w:bCs/>
          <w:color w:val="000000" w:themeColor="text1"/>
        </w:rPr>
      </w:pPr>
      <w:r w:rsidRPr="00900168">
        <w:rPr>
          <w:b/>
          <w:bCs/>
          <w:color w:val="000000" w:themeColor="text1"/>
        </w:rPr>
        <w:t>ABSTRACT</w:t>
      </w:r>
    </w:p>
    <w:p w:rsidR="00E805C1" w:rsidRPr="00900168" w:rsidRDefault="00E805C1" w:rsidP="003E70C5">
      <w:pPr>
        <w:spacing w:line="480" w:lineRule="auto"/>
        <w:rPr>
          <w:color w:val="000000" w:themeColor="text1"/>
        </w:rPr>
      </w:pPr>
      <w:r w:rsidRPr="00900168">
        <w:rPr>
          <w:color w:val="000000" w:themeColor="text1"/>
        </w:rPr>
        <w:t>During the COVID-19 pandemic, traditional hand trauma management in the United Kingdom faced significant disruptions, including limitations in operating theatre and anaesthetic staff availability. This study assessed the</w:t>
      </w:r>
      <w:r>
        <w:rPr>
          <w:color w:val="000000" w:themeColor="text1"/>
        </w:rPr>
        <w:t xml:space="preserve"> methods,</w:t>
      </w:r>
      <w:r w:rsidRPr="00900168">
        <w:rPr>
          <w:color w:val="000000" w:themeColor="text1"/>
        </w:rPr>
        <w:t xml:space="preserve"> efficacy and outcomes of the Wide-Awake Local Anaesthesia No Tourniquet (WALANT) technique in hand surgeries through a year-long prospective audit across multiple healthcare centres, involving 110 cases executed by surgeons at various training levels. Despite fluctuations in anaesthetic supplies, the study found no complications across the WALANT procedures, confirming its safety. The most commonly performed procedure was wound exploration, followed by washout, debridement, and closure. The predominant anaesthetic used was 1% lidocaine with 1:200,000 adrenaline, though other combinations were equally safe and effective. The study found the WALANT technique to be a safe, versatile option for hand surgery during the COVID-19 pandemic, even with varied anaesthetics. No complications were observed, indicating its resilience amid healthcare disruptions. Further research is needed for anaesthetic</w:t>
      </w:r>
      <w:r>
        <w:rPr>
          <w:color w:val="000000" w:themeColor="text1"/>
        </w:rPr>
        <w:t xml:space="preserve"> protocols </w:t>
      </w:r>
      <w:r w:rsidRPr="00900168">
        <w:rPr>
          <w:color w:val="000000" w:themeColor="text1"/>
        </w:rPr>
        <w:t>standardization.</w:t>
      </w:r>
    </w:p>
    <w:p w:rsidR="00E805C1" w:rsidRDefault="00E805C1"/>
    <w:sectPr w:rsidR="00E805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5C1"/>
    <w:rsid w:val="00E805C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798691D-359D-A242-A2AB-F7B34A41C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E805C1"/>
    <w:pPr>
      <w:spacing w:after="0" w:line="240" w:lineRule="auto"/>
    </w:pPr>
    <w:rPr>
      <w:rFonts w:eastAsiaTheme="minorHAnsi"/>
      <w:kern w:val="0"/>
      <w:sz w:val="20"/>
      <w:szCs w:val="20"/>
      <w:lang w:eastAsia="en-US"/>
      <w14:ligatures w14:val="none"/>
    </w:rPr>
  </w:style>
  <w:style w:type="character" w:customStyle="1" w:styleId="CommentTextChar">
    <w:name w:val="Comment Text Char"/>
    <w:basedOn w:val="DefaultParagraphFont"/>
    <w:link w:val="CommentText"/>
    <w:uiPriority w:val="99"/>
    <w:semiHidden/>
    <w:rsid w:val="00E805C1"/>
    <w:rPr>
      <w:rFonts w:eastAsiaTheme="minorHAnsi"/>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1130</Characters>
  <Application>Microsoft Office Word</Application>
  <DocSecurity>0</DocSecurity>
  <Lines>9</Lines>
  <Paragraphs>2</Paragraphs>
  <ScaleCrop>false</ScaleCrop>
  <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Firas Alaswad</dc:creator>
  <cp:keywords/>
  <dc:description/>
  <cp:lastModifiedBy>Firas Alaswad</cp:lastModifiedBy>
  <cp:revision>2</cp:revision>
  <dcterms:created xsi:type="dcterms:W3CDTF">2023-09-29T11:50:00Z</dcterms:created>
  <dcterms:modified xsi:type="dcterms:W3CDTF">2023-09-29T11:50:00Z</dcterms:modified>
</cp:coreProperties>
</file>