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F2A6" w14:textId="77777777" w:rsidR="001A269F" w:rsidRPr="00BB7AE4" w:rsidRDefault="001A269F" w:rsidP="003E70C5">
      <w:pPr>
        <w:jc w:val="center"/>
        <w:rPr>
          <w:sz w:val="32"/>
          <w:szCs w:val="32"/>
        </w:rPr>
      </w:pPr>
      <w:r w:rsidRPr="00BB7AE4">
        <w:rPr>
          <w:sz w:val="32"/>
          <w:szCs w:val="32"/>
        </w:rPr>
        <w:t>Evaluation of excision margins of</w:t>
      </w:r>
      <w:r w:rsidRPr="006A5888">
        <w:rPr>
          <w:sz w:val="32"/>
          <w:szCs w:val="32"/>
        </w:rPr>
        <w:t xml:space="preserve"> immobile</w:t>
      </w:r>
      <w:r w:rsidRPr="00BB7AE4">
        <w:rPr>
          <w:sz w:val="32"/>
          <w:szCs w:val="32"/>
        </w:rPr>
        <w:t xml:space="preserve"> Scalp Skin Tumours and survival of Split thickness Vs Full thickness grafts on burred </w:t>
      </w:r>
      <w:proofErr w:type="spellStart"/>
      <w:r>
        <w:rPr>
          <w:sz w:val="32"/>
          <w:szCs w:val="32"/>
        </w:rPr>
        <w:t>calvarium</w:t>
      </w:r>
      <w:proofErr w:type="spellEnd"/>
    </w:p>
    <w:p w14:paraId="086F73E5" w14:textId="77777777" w:rsidR="001A269F" w:rsidRPr="00BB7AE4" w:rsidRDefault="001A269F" w:rsidP="003E70C5">
      <w:pPr>
        <w:rPr>
          <w:sz w:val="28"/>
          <w:szCs w:val="28"/>
        </w:rPr>
      </w:pPr>
      <w:r>
        <w:rPr>
          <w:sz w:val="28"/>
          <w:szCs w:val="28"/>
        </w:rPr>
        <w:t>Abstract</w:t>
      </w:r>
    </w:p>
    <w:p w14:paraId="36BDC466" w14:textId="77777777" w:rsidR="001A269F" w:rsidRDefault="001A269F" w:rsidP="003E70C5">
      <w:pPr>
        <w:rPr>
          <w:sz w:val="24"/>
          <w:szCs w:val="24"/>
        </w:rPr>
      </w:pPr>
      <w:r w:rsidRPr="00BB7AE4">
        <w:rPr>
          <w:sz w:val="24"/>
          <w:szCs w:val="24"/>
        </w:rPr>
        <w:t>Background</w:t>
      </w:r>
      <w:r>
        <w:rPr>
          <w:sz w:val="24"/>
          <w:szCs w:val="24"/>
        </w:rPr>
        <w:t xml:space="preserve">: </w:t>
      </w:r>
    </w:p>
    <w:p w14:paraId="29245D57" w14:textId="77777777" w:rsidR="001A269F" w:rsidRDefault="001A269F" w:rsidP="003E70C5">
      <w:pPr>
        <w:rPr>
          <w:sz w:val="24"/>
          <w:szCs w:val="24"/>
        </w:rPr>
      </w:pPr>
      <w:r>
        <w:rPr>
          <w:sz w:val="24"/>
          <w:szCs w:val="24"/>
        </w:rPr>
        <w:t>Cutaneous malignancies of scalp which are clinically adherent to deep structures pose a challenge to manage for clinicians, while most skin cancer excision procedures are performed under local anaesthetic,</w:t>
      </w:r>
      <w:r w:rsidRPr="004A483F">
        <w:rPr>
          <w:sz w:val="24"/>
          <w:szCs w:val="24"/>
        </w:rPr>
        <w:t xml:space="preserve"> </w:t>
      </w:r>
      <w:r>
        <w:rPr>
          <w:sz w:val="24"/>
          <w:szCs w:val="24"/>
        </w:rPr>
        <w:t xml:space="preserve">traditionally these lesion presumed to require existing periosteum, burring the outer table of the </w:t>
      </w:r>
      <w:proofErr w:type="spellStart"/>
      <w:r>
        <w:rPr>
          <w:sz w:val="24"/>
          <w:szCs w:val="24"/>
        </w:rPr>
        <w:t>calvarium</w:t>
      </w:r>
      <w:proofErr w:type="spellEnd"/>
      <w:r>
        <w:rPr>
          <w:sz w:val="24"/>
          <w:szCs w:val="24"/>
        </w:rPr>
        <w:t>, to achieve clear deep margins, and assist in soft tissue reconstruction, as they are likely to be large in size, and not amenable to primary closure, therefore will require the procedure to be performed under general anaesthetic, this is crucial to planning treatment.</w:t>
      </w:r>
    </w:p>
    <w:p w14:paraId="731D95BD" w14:textId="77777777" w:rsidR="001A269F" w:rsidRDefault="001A269F" w:rsidP="003E70C5">
      <w:pPr>
        <w:rPr>
          <w:sz w:val="24"/>
          <w:szCs w:val="24"/>
        </w:rPr>
      </w:pPr>
      <w:r>
        <w:rPr>
          <w:sz w:val="24"/>
          <w:szCs w:val="24"/>
        </w:rPr>
        <w:t>However, there is little evidence for or against this practice, also there is very few studies evaluating full thickness graft take on burred bone and almost no studies on full thickness graft take in the same area, this study aims to address this question.</w:t>
      </w:r>
    </w:p>
    <w:p w14:paraId="51066A45" w14:textId="77777777" w:rsidR="001A269F" w:rsidRPr="00BB7AE4" w:rsidRDefault="001A269F" w:rsidP="003E70C5">
      <w:pPr>
        <w:rPr>
          <w:sz w:val="24"/>
          <w:szCs w:val="24"/>
        </w:rPr>
      </w:pPr>
    </w:p>
    <w:p w14:paraId="7E27C795" w14:textId="77777777" w:rsidR="001A269F" w:rsidRPr="00BB7AE4" w:rsidRDefault="001A269F" w:rsidP="003E70C5">
      <w:pPr>
        <w:rPr>
          <w:sz w:val="24"/>
          <w:szCs w:val="24"/>
        </w:rPr>
      </w:pPr>
    </w:p>
    <w:p w14:paraId="57209C42" w14:textId="77777777" w:rsidR="001A269F" w:rsidRDefault="001A269F" w:rsidP="003E70C5">
      <w:pPr>
        <w:rPr>
          <w:sz w:val="24"/>
          <w:szCs w:val="24"/>
        </w:rPr>
      </w:pPr>
      <w:r w:rsidRPr="00BB7AE4">
        <w:rPr>
          <w:sz w:val="24"/>
          <w:szCs w:val="24"/>
        </w:rPr>
        <w:t>Objectives</w:t>
      </w:r>
    </w:p>
    <w:p w14:paraId="191776DB" w14:textId="77777777" w:rsidR="001A269F" w:rsidRDefault="001A269F" w:rsidP="003E70C5">
      <w:pPr>
        <w:rPr>
          <w:sz w:val="24"/>
          <w:szCs w:val="24"/>
        </w:rPr>
      </w:pPr>
      <w:r>
        <w:rPr>
          <w:sz w:val="24"/>
          <w:szCs w:val="24"/>
        </w:rPr>
        <w:t>To evaluate accuracy of clinical examination of tethered scalp skin malignancies, through the assessment of clearance margins from the post operative histopathological report.</w:t>
      </w:r>
    </w:p>
    <w:p w14:paraId="34377219" w14:textId="77777777" w:rsidR="001A269F" w:rsidRPr="00BB7AE4" w:rsidRDefault="001A269F" w:rsidP="003E70C5">
      <w:pPr>
        <w:rPr>
          <w:sz w:val="24"/>
          <w:szCs w:val="24"/>
        </w:rPr>
      </w:pPr>
      <w:r>
        <w:rPr>
          <w:sz w:val="24"/>
          <w:szCs w:val="24"/>
        </w:rPr>
        <w:t xml:space="preserve">To document the types of skin malignancies found to be tethered to deep tissue in scalp, and assess survival rate of skin grafts on burred </w:t>
      </w:r>
      <w:proofErr w:type="spellStart"/>
      <w:r>
        <w:rPr>
          <w:sz w:val="24"/>
          <w:szCs w:val="24"/>
        </w:rPr>
        <w:t>calvarium</w:t>
      </w:r>
      <w:proofErr w:type="spellEnd"/>
      <w:r>
        <w:rPr>
          <w:sz w:val="24"/>
          <w:szCs w:val="24"/>
        </w:rPr>
        <w:t>, and compare split thickness skin grafts to full thickness skin grafts take.</w:t>
      </w:r>
    </w:p>
    <w:p w14:paraId="4E20E7F2" w14:textId="77777777" w:rsidR="001A269F" w:rsidRPr="00BB7AE4" w:rsidRDefault="001A269F" w:rsidP="003E70C5">
      <w:pPr>
        <w:rPr>
          <w:sz w:val="24"/>
          <w:szCs w:val="24"/>
        </w:rPr>
      </w:pPr>
    </w:p>
    <w:p w14:paraId="5F6F17F6" w14:textId="77777777" w:rsidR="001A269F" w:rsidRPr="00C01031" w:rsidRDefault="001A269F" w:rsidP="003E70C5">
      <w:pPr>
        <w:rPr>
          <w:sz w:val="28"/>
          <w:szCs w:val="28"/>
        </w:rPr>
      </w:pPr>
      <w:r w:rsidRPr="00C01031">
        <w:rPr>
          <w:sz w:val="28"/>
          <w:szCs w:val="28"/>
        </w:rPr>
        <w:t>Methods</w:t>
      </w:r>
    </w:p>
    <w:p w14:paraId="43F72B88" w14:textId="77777777" w:rsidR="001A269F" w:rsidRDefault="001A269F" w:rsidP="003E70C5">
      <w:pPr>
        <w:rPr>
          <w:sz w:val="24"/>
          <w:szCs w:val="24"/>
        </w:rPr>
      </w:pPr>
      <w:r>
        <w:rPr>
          <w:sz w:val="24"/>
          <w:szCs w:val="24"/>
        </w:rPr>
        <w:t xml:space="preserve">Twelve clinically immobile scalp malignancies were studied, all lesions were excised under general anaesthetic and sent to histological analysis, the outer table of </w:t>
      </w:r>
      <w:proofErr w:type="spellStart"/>
      <w:r>
        <w:rPr>
          <w:sz w:val="24"/>
          <w:szCs w:val="24"/>
        </w:rPr>
        <w:t>calvarium</w:t>
      </w:r>
      <w:proofErr w:type="spellEnd"/>
      <w:r>
        <w:rPr>
          <w:sz w:val="24"/>
          <w:szCs w:val="24"/>
        </w:rPr>
        <w:t xml:space="preserve"> was burred and the defect was reconstructed with immediate skin graft either split of full thickness.</w:t>
      </w:r>
    </w:p>
    <w:p w14:paraId="7C4DE136" w14:textId="77777777" w:rsidR="001A269F" w:rsidRPr="00BB7AE4" w:rsidRDefault="001A269F" w:rsidP="003E70C5">
      <w:pPr>
        <w:rPr>
          <w:sz w:val="24"/>
          <w:szCs w:val="24"/>
        </w:rPr>
      </w:pPr>
      <w:r>
        <w:rPr>
          <w:sz w:val="24"/>
          <w:szCs w:val="24"/>
        </w:rPr>
        <w:t>All patients followed up one week post-surgery for graft take assessment, and subsequently the type of malignancy along with the deep and peripheral margins of excision were evaluated.</w:t>
      </w:r>
    </w:p>
    <w:p w14:paraId="52C5C888" w14:textId="77777777" w:rsidR="001A269F" w:rsidRPr="00C01031" w:rsidRDefault="001A269F" w:rsidP="003E70C5">
      <w:pPr>
        <w:rPr>
          <w:sz w:val="28"/>
          <w:szCs w:val="28"/>
        </w:rPr>
      </w:pPr>
      <w:r w:rsidRPr="00C01031">
        <w:rPr>
          <w:sz w:val="28"/>
          <w:szCs w:val="28"/>
        </w:rPr>
        <w:t>Results</w:t>
      </w:r>
    </w:p>
    <w:p w14:paraId="08AAE340" w14:textId="77777777" w:rsidR="001A269F" w:rsidRDefault="001A269F" w:rsidP="003E70C5">
      <w:pPr>
        <w:rPr>
          <w:sz w:val="24"/>
          <w:szCs w:val="24"/>
        </w:rPr>
      </w:pPr>
      <w:r>
        <w:rPr>
          <w:sz w:val="24"/>
          <w:szCs w:val="24"/>
        </w:rPr>
        <w:t>Histopathology showed seven Squamous Cell Carcinoma, two Malignant Melanoma, one Basal Cell Carcinoma, one Adenocarcinoma and one metastatic Squamous Cell Carcinoma</w:t>
      </w:r>
    </w:p>
    <w:p w14:paraId="1EDCB990" w14:textId="77777777" w:rsidR="001A269F" w:rsidRDefault="001A269F" w:rsidP="003E70C5">
      <w:pPr>
        <w:rPr>
          <w:sz w:val="24"/>
          <w:szCs w:val="24"/>
        </w:rPr>
      </w:pPr>
      <w:r>
        <w:rPr>
          <w:sz w:val="24"/>
          <w:szCs w:val="24"/>
        </w:rPr>
        <w:t>Deep margins clearance ranged between involved and 0.9 mm.</w:t>
      </w:r>
    </w:p>
    <w:p w14:paraId="14C77C57" w14:textId="77777777" w:rsidR="001A269F" w:rsidRDefault="001A269F" w:rsidP="003E70C5">
      <w:pPr>
        <w:rPr>
          <w:sz w:val="24"/>
          <w:szCs w:val="24"/>
        </w:rPr>
      </w:pPr>
      <w:r>
        <w:rPr>
          <w:sz w:val="24"/>
          <w:szCs w:val="24"/>
        </w:rPr>
        <w:t>Peripheral margins clearance ranged between involved and 12.2 mm.</w:t>
      </w:r>
    </w:p>
    <w:p w14:paraId="43F9E3D5" w14:textId="77777777" w:rsidR="001A269F" w:rsidRDefault="001A269F" w:rsidP="003E70C5">
      <w:pPr>
        <w:rPr>
          <w:sz w:val="24"/>
          <w:szCs w:val="24"/>
        </w:rPr>
      </w:pPr>
      <w:r>
        <w:rPr>
          <w:sz w:val="24"/>
          <w:szCs w:val="24"/>
        </w:rPr>
        <w:t>Skin graft take was 100% in eight cases, total failure in two cases, and the remaining two cases take was 75% and 90%.</w:t>
      </w:r>
    </w:p>
    <w:p w14:paraId="64A62E21" w14:textId="77777777" w:rsidR="001A269F" w:rsidRDefault="001A269F" w:rsidP="003E70C5">
      <w:pPr>
        <w:rPr>
          <w:sz w:val="24"/>
          <w:szCs w:val="24"/>
        </w:rPr>
      </w:pPr>
      <w:r>
        <w:rPr>
          <w:sz w:val="24"/>
          <w:szCs w:val="24"/>
        </w:rPr>
        <w:t xml:space="preserve">In terms of type of skin graft take, out of six split thickness skin grafts, 100% take in five cases and 90% </w:t>
      </w:r>
      <w:r w:rsidRPr="008B76C0">
        <w:rPr>
          <w:sz w:val="24"/>
          <w:szCs w:val="24"/>
        </w:rPr>
        <w:t>in one</w:t>
      </w:r>
      <w:r>
        <w:rPr>
          <w:sz w:val="24"/>
          <w:szCs w:val="24"/>
        </w:rPr>
        <w:t xml:space="preserve"> case.</w:t>
      </w:r>
    </w:p>
    <w:p w14:paraId="56449A54" w14:textId="77777777" w:rsidR="001A269F" w:rsidRPr="00BB7AE4" w:rsidRDefault="001A269F" w:rsidP="003E70C5">
      <w:pPr>
        <w:rPr>
          <w:sz w:val="24"/>
          <w:szCs w:val="24"/>
        </w:rPr>
      </w:pPr>
      <w:r>
        <w:rPr>
          <w:sz w:val="24"/>
          <w:szCs w:val="24"/>
        </w:rPr>
        <w:t>Out of six full thickness skin grafts, 100% take in three cases, 75% take in one case. and total loss in two cases.</w:t>
      </w:r>
    </w:p>
    <w:p w14:paraId="38B52FD2" w14:textId="77777777" w:rsidR="00387868" w:rsidRPr="00387868" w:rsidRDefault="00387868" w:rsidP="00387868"/>
    <w:sectPr w:rsidR="00387868" w:rsidRPr="00387868">
      <w:footerReference w:type="default" r:id="rId7"/>
      <w:pgSz w:w="11907" w:h="16839"/>
      <w:pgMar w:top="720" w:right="1440" w:bottom="18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C27FF" w14:textId="77777777" w:rsidR="008C3D8F" w:rsidRDefault="008C3D8F">
      <w:r>
        <w:separator/>
      </w:r>
    </w:p>
    <w:p w14:paraId="5E672FDC" w14:textId="77777777" w:rsidR="008C3D8F" w:rsidRDefault="008C3D8F"/>
  </w:endnote>
  <w:endnote w:type="continuationSeparator" w:id="0">
    <w:p w14:paraId="292F349D" w14:textId="77777777" w:rsidR="008C3D8F" w:rsidRDefault="008C3D8F">
      <w:r>
        <w:continuationSeparator/>
      </w:r>
    </w:p>
    <w:p w14:paraId="1302258F" w14:textId="77777777" w:rsidR="008C3D8F" w:rsidRDefault="008C3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699706"/>
      <w:docPartObj>
        <w:docPartGallery w:val="Page Numbers (Bottom of Page)"/>
        <w:docPartUnique/>
      </w:docPartObj>
    </w:sdtPr>
    <w:sdtEndPr>
      <w:rPr>
        <w:noProof/>
      </w:rPr>
    </w:sdtEndPr>
    <w:sdtContent>
      <w:p w14:paraId="2583BAA9" w14:textId="77777777" w:rsidR="008722C3" w:rsidRDefault="00000000">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26C40" w14:textId="77777777" w:rsidR="008C3D8F" w:rsidRDefault="008C3D8F">
      <w:r>
        <w:separator/>
      </w:r>
    </w:p>
    <w:p w14:paraId="1C0FC49E" w14:textId="77777777" w:rsidR="008C3D8F" w:rsidRDefault="008C3D8F"/>
  </w:footnote>
  <w:footnote w:type="continuationSeparator" w:id="0">
    <w:p w14:paraId="4A74509A" w14:textId="77777777" w:rsidR="008C3D8F" w:rsidRDefault="008C3D8F">
      <w:r>
        <w:continuationSeparator/>
      </w:r>
    </w:p>
    <w:p w14:paraId="6B44F4B7" w14:textId="77777777" w:rsidR="008C3D8F" w:rsidRDefault="008C3D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30A86D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1682D62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906CDF"/>
    <w:multiLevelType w:val="hybridMultilevel"/>
    <w:tmpl w:val="9E244A1C"/>
    <w:lvl w:ilvl="0" w:tplc="A78AD9E8">
      <w:start w:val="1"/>
      <w:numFmt w:val="bullet"/>
      <w:pStyle w:val="ListBullet"/>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AB4355"/>
    <w:multiLevelType w:val="hybridMultilevel"/>
    <w:tmpl w:val="0B203272"/>
    <w:lvl w:ilvl="0" w:tplc="CE0E85FE">
      <w:start w:val="1"/>
      <w:numFmt w:val="decimal"/>
      <w:pStyle w:val="ListNumber"/>
      <w:lvlText w:val="%1."/>
      <w:lvlJc w:val="left"/>
      <w:pPr>
        <w:tabs>
          <w:tab w:val="num" w:pos="432"/>
        </w:tabs>
        <w:ind w:left="432"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39595673">
    <w:abstractNumId w:val="1"/>
  </w:num>
  <w:num w:numId="2" w16cid:durableId="2063944752">
    <w:abstractNumId w:val="0"/>
  </w:num>
  <w:num w:numId="3" w16cid:durableId="1526946273">
    <w:abstractNumId w:val="2"/>
  </w:num>
  <w:num w:numId="4" w16cid:durableId="1669357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3C1"/>
    <w:rsid w:val="00060A0D"/>
    <w:rsid w:val="001A269F"/>
    <w:rsid w:val="00387868"/>
    <w:rsid w:val="008722C3"/>
    <w:rsid w:val="008C3D8F"/>
    <w:rsid w:val="00A903C1"/>
    <w:rsid w:val="00E61F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264B6"/>
  <w15:chartTrackingRefBased/>
  <w15:docId w15:val="{30FFE2F8-6788-EF44-AAFC-ECDE3E70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30"/>
        <w:szCs w:val="30"/>
        <w:lang w:val="en-US" w:eastAsia="ja-JP"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pBdr>
        <w:bottom w:val="single" w:sz="12" w:space="12" w:color="56152F" w:themeColor="accent4"/>
      </w:pBdr>
      <w:spacing w:before="460" w:after="480"/>
      <w:outlineLvl w:val="0"/>
    </w:pPr>
    <w:rPr>
      <w:rFonts w:asciiTheme="majorHAnsi" w:eastAsiaTheme="majorEastAsia" w:hAnsiTheme="majorHAnsi" w:cstheme="majorBidi"/>
      <w:color w:val="731C3F" w:themeColor="accent1"/>
      <w:sz w:val="40"/>
      <w:szCs w:val="32"/>
    </w:rPr>
  </w:style>
  <w:style w:type="paragraph" w:styleId="Heading2">
    <w:name w:val="heading 2"/>
    <w:basedOn w:val="Normal"/>
    <w:next w:val="Normal"/>
    <w:link w:val="Heading2Char"/>
    <w:uiPriority w:val="9"/>
    <w:unhideWhenUsed/>
    <w:qFormat/>
    <w:pPr>
      <w:keepNext/>
      <w:keepLines/>
      <w:spacing w:before="460"/>
      <w:outlineLvl w:val="1"/>
    </w:pPr>
    <w:rPr>
      <w:rFonts w:asciiTheme="majorHAnsi" w:eastAsiaTheme="majorEastAsia" w:hAnsiTheme="majorHAnsi" w:cstheme="majorBidi"/>
      <w:b/>
      <w:color w:val="7F7F7F" w:themeColor="text1" w:themeTint="8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3"/>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731C3F" w:themeColor="accent1"/>
      <w:sz w:val="40"/>
      <w:szCs w:val="32"/>
    </w:rPr>
  </w:style>
  <w:style w:type="paragraph" w:styleId="ListNumber">
    <w:name w:val="List Number"/>
    <w:basedOn w:val="Normal"/>
    <w:uiPriority w:val="9"/>
    <w:qFormat/>
    <w:pPr>
      <w:numPr>
        <w:numId w:val="4"/>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7F7F7F" w:themeColor="text1" w:themeTint="8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Pr>
      <w:color w:val="731C3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7b35A381BD-FD88-7040-9088-4A6FA206A89A%7dtf50002051.dotx" TargetMode="External" /></Relationships>
</file>

<file path=word/theme/theme1.xml><?xml version="1.0" encoding="utf-8"?>
<a:theme xmlns:a="http://schemas.openxmlformats.org/drawingml/2006/main" name="Office Theme">
  <a:themeElements>
    <a:clrScheme name="Notes">
      <a:dk1>
        <a:sysClr val="windowText" lastClr="000000"/>
      </a:dk1>
      <a:lt1>
        <a:sysClr val="window" lastClr="FFFFFF"/>
      </a:lt1>
      <a:dk2>
        <a:srgbClr val="37030F"/>
      </a:dk2>
      <a:lt2>
        <a:srgbClr val="DEE4C3"/>
      </a:lt2>
      <a:accent1>
        <a:srgbClr val="731C3F"/>
      </a:accent1>
      <a:accent2>
        <a:srgbClr val="214C5E"/>
      </a:accent2>
      <a:accent3>
        <a:srgbClr val="62C7AD"/>
      </a:accent3>
      <a:accent4>
        <a:srgbClr val="56152F"/>
      </a:accent4>
      <a:accent5>
        <a:srgbClr val="D87330"/>
      </a:accent5>
      <a:accent6>
        <a:srgbClr val="DEBC53"/>
      </a:accent6>
      <a:hlink>
        <a:srgbClr val="731C3F"/>
      </a:hlink>
      <a:folHlink>
        <a:srgbClr val="214C5E"/>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%7b35A381BD-FD88-7040-9088-4A6FA206A89A%7dtf50002051.dotx</Template>
  <TotalTime>2</TotalTime>
  <Pages>1</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Alaswad</dc:creator>
  <cp:keywords/>
  <dc:description/>
  <cp:lastModifiedBy>Firas Alaswad</cp:lastModifiedBy>
  <cp:revision>5</cp:revision>
  <dcterms:created xsi:type="dcterms:W3CDTF">2023-09-29T11:35:00Z</dcterms:created>
  <dcterms:modified xsi:type="dcterms:W3CDTF">2023-09-29T11:41:00Z</dcterms:modified>
</cp:coreProperties>
</file>