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50C" w:rsidRPr="008B150C" w:rsidRDefault="008B150C" w:rsidP="008B150C">
      <w:pPr>
        <w:spacing w:line="360" w:lineRule="auto"/>
        <w:jc w:val="both"/>
        <w:rPr>
          <w:rFonts w:ascii="Arial" w:hAnsi="Arial" w:cs="Arial"/>
          <w:b/>
          <w:bCs/>
          <w:iCs/>
          <w:sz w:val="32"/>
          <w:szCs w:val="32"/>
        </w:rPr>
      </w:pPr>
      <w:r w:rsidRPr="008B150C">
        <w:rPr>
          <w:rFonts w:ascii="Arial" w:hAnsi="Arial" w:cs="Arial"/>
          <w:b/>
          <w:bCs/>
          <w:iCs/>
          <w:sz w:val="32"/>
          <w:szCs w:val="32"/>
        </w:rPr>
        <w:t>COVID-19 Vaccination and Delayed Inflammatory Reaction to Dermal Fillers: What Aestheticians Should Know</w:t>
      </w:r>
    </w:p>
    <w:p w:rsidR="008B150C" w:rsidRDefault="008B150C">
      <w:pPr>
        <w:rPr>
          <w:rFonts w:cs="Arial"/>
          <w:bCs/>
          <w:sz w:val="20"/>
          <w:szCs w:val="20"/>
        </w:rPr>
      </w:pPr>
    </w:p>
    <w:p w:rsidR="008B150C" w:rsidRDefault="008B150C" w:rsidP="008B150C">
      <w:pPr>
        <w:autoSpaceDE w:val="0"/>
        <w:autoSpaceDN w:val="0"/>
        <w:adjustRightInd w:val="0"/>
        <w:spacing w:line="360" w:lineRule="auto"/>
        <w:rPr>
          <w:rFonts w:ascii="Arial" w:hAnsi="Arial" w:cs="Arial"/>
          <w:sz w:val="20"/>
          <w:szCs w:val="20"/>
        </w:rPr>
      </w:pPr>
      <w:r w:rsidRPr="008B150C">
        <w:rPr>
          <w:rFonts w:ascii="Arial" w:hAnsi="Arial" w:cs="Arial"/>
          <w:b/>
          <w:bCs/>
          <w:sz w:val="20"/>
          <w:szCs w:val="20"/>
        </w:rPr>
        <w:t>Background:</w:t>
      </w:r>
      <w:r>
        <w:rPr>
          <w:rFonts w:ascii="Arial" w:hAnsi="Arial" w:cs="Arial"/>
          <w:bCs/>
          <w:sz w:val="20"/>
          <w:szCs w:val="20"/>
        </w:rPr>
        <w:t xml:space="preserve"> </w:t>
      </w:r>
      <w:r>
        <w:rPr>
          <w:rFonts w:ascii="Arial" w:hAnsi="Arial" w:cs="Arial"/>
          <w:bCs/>
          <w:sz w:val="20"/>
          <w:szCs w:val="20"/>
        </w:rPr>
        <w:t>The association between COVID-19 vaccination and delayed inflammatory reaction (DIR) to hyaluronic acid (HA) dermal fillers has been debated as a clinical conundrum since the recent vaccination drive. This study aimed to review, compare and analyze the literature for DIR presentation, mechanisms of association with vaccination and treatment modalities, in order to device a unified source of information and recommendations for aestheticians.</w:t>
      </w:r>
      <w:r>
        <w:rPr>
          <w:rFonts w:ascii="Arial" w:hAnsi="Arial" w:cs="Arial"/>
          <w:bCs/>
          <w:sz w:val="20"/>
          <w:szCs w:val="20"/>
        </w:rPr>
        <w:br/>
      </w:r>
      <w:r w:rsidRPr="008B150C">
        <w:rPr>
          <w:rFonts w:ascii="Arial" w:hAnsi="Arial" w:cs="Arial"/>
          <w:b/>
          <w:bCs/>
          <w:sz w:val="20"/>
          <w:szCs w:val="20"/>
        </w:rPr>
        <w:t>Methods:</w:t>
      </w:r>
      <w:r>
        <w:rPr>
          <w:rFonts w:ascii="Arial" w:hAnsi="Arial" w:cs="Arial"/>
          <w:bCs/>
          <w:sz w:val="20"/>
          <w:szCs w:val="20"/>
        </w:rPr>
        <w:t xml:space="preserve"> </w:t>
      </w:r>
      <w:r>
        <w:rPr>
          <w:rFonts w:ascii="Arial" w:hAnsi="Arial" w:cs="Arial"/>
          <w:color w:val="000000" w:themeColor="text1"/>
          <w:sz w:val="20"/>
          <w:szCs w:val="20"/>
        </w:rPr>
        <w:t>The electronic database sources used for research were PubMed, Scopus, Cochrane Library and Google Scholar. All articles related to the topic of research were identified and screened</w:t>
      </w:r>
      <w:r>
        <w:rPr>
          <w:rFonts w:ascii="Arial" w:hAnsi="Arial" w:cs="Arial"/>
          <w:color w:val="000000" w:themeColor="text1"/>
          <w:sz w:val="20"/>
          <w:szCs w:val="20"/>
        </w:rPr>
        <w:t xml:space="preserve"> for inclusion. The studies were then critically analyzed to derive an association between COVID-19 vaccination and DIR to HA fillers, mechanisms of association were studied and treatment modalities were advocated.</w:t>
      </w:r>
      <w:r>
        <w:rPr>
          <w:rFonts w:ascii="Arial" w:hAnsi="Arial" w:cs="Arial"/>
          <w:color w:val="000000" w:themeColor="text1"/>
          <w:sz w:val="20"/>
          <w:szCs w:val="20"/>
        </w:rPr>
        <w:br/>
      </w:r>
      <w:bookmarkStart w:id="0" w:name="_GoBack"/>
      <w:bookmarkEnd w:id="0"/>
      <w:r w:rsidRPr="008B150C">
        <w:rPr>
          <w:rFonts w:ascii="Arial" w:hAnsi="Arial" w:cs="Arial"/>
          <w:b/>
          <w:bCs/>
          <w:sz w:val="20"/>
          <w:szCs w:val="20"/>
        </w:rPr>
        <w:t>Results:</w:t>
      </w:r>
      <w:r>
        <w:rPr>
          <w:rFonts w:ascii="Arial" w:hAnsi="Arial" w:cs="Arial"/>
          <w:bCs/>
          <w:sz w:val="20"/>
          <w:szCs w:val="20"/>
        </w:rPr>
        <w:t xml:space="preserve"> </w:t>
      </w:r>
      <w:r>
        <w:rPr>
          <w:rFonts w:ascii="Arial" w:hAnsi="Arial" w:cs="Arial"/>
          <w:bCs/>
          <w:sz w:val="20"/>
          <w:szCs w:val="20"/>
        </w:rPr>
        <w:t xml:space="preserve">Based on the current evidence, a positive association could be concluded and treatment </w:t>
      </w:r>
      <w:r w:rsidR="000010D2">
        <w:rPr>
          <w:rFonts w:ascii="Arial" w:hAnsi="Arial" w:cs="Arial"/>
          <w:bCs/>
          <w:sz w:val="20"/>
          <w:szCs w:val="20"/>
        </w:rPr>
        <w:t>recommendations were devised for aestheticians</w:t>
      </w:r>
      <w:r>
        <w:rPr>
          <w:rFonts w:ascii="Arial" w:hAnsi="Arial" w:cs="Arial"/>
          <w:bCs/>
          <w:sz w:val="20"/>
          <w:szCs w:val="20"/>
        </w:rPr>
        <w:t>. Despite the association, COVID-19 vaccination was encouraged. Gaps in literature were identified and a common ground for further research was established</w:t>
      </w:r>
      <w:r>
        <w:rPr>
          <w:rFonts w:ascii="Arial" w:hAnsi="Arial" w:cs="Arial"/>
          <w:bCs/>
          <w:sz w:val="20"/>
          <w:szCs w:val="20"/>
        </w:rPr>
        <w:br/>
      </w:r>
      <w:r w:rsidRPr="008B150C">
        <w:rPr>
          <w:rFonts w:ascii="Arial" w:hAnsi="Arial" w:cs="Arial"/>
          <w:b/>
          <w:bCs/>
          <w:sz w:val="20"/>
          <w:szCs w:val="20"/>
        </w:rPr>
        <w:t>Conclusion:</w:t>
      </w:r>
      <w:r>
        <w:rPr>
          <w:rFonts w:ascii="Arial" w:hAnsi="Arial" w:cs="Arial"/>
          <w:bCs/>
          <w:sz w:val="20"/>
          <w:szCs w:val="20"/>
        </w:rPr>
        <w:t xml:space="preserve"> </w:t>
      </w:r>
      <w:r>
        <w:rPr>
          <w:rFonts w:ascii="Arial" w:hAnsi="Arial" w:cs="Arial"/>
          <w:sz w:val="20"/>
          <w:szCs w:val="20"/>
        </w:rPr>
        <w:t>Through this study it could be concluded that the incidence of DIR to HA fillers in association with COVID-19 vaccination is rare and it is treatable</w:t>
      </w:r>
      <w:r>
        <w:rPr>
          <w:rFonts w:ascii="Arial" w:hAnsi="Arial" w:cs="Arial"/>
          <w:sz w:val="20"/>
          <w:szCs w:val="20"/>
        </w:rPr>
        <w:t xml:space="preserve"> with</w:t>
      </w:r>
      <w:r>
        <w:rPr>
          <w:rFonts w:ascii="Arial" w:hAnsi="Arial" w:cs="Arial"/>
          <w:sz w:val="20"/>
          <w:szCs w:val="20"/>
        </w:rPr>
        <w:t xml:space="preserve"> available</w:t>
      </w:r>
      <w:r>
        <w:rPr>
          <w:rFonts w:ascii="Arial" w:hAnsi="Arial" w:cs="Arial"/>
          <w:sz w:val="20"/>
          <w:szCs w:val="20"/>
        </w:rPr>
        <w:t xml:space="preserve"> modalities</w:t>
      </w:r>
      <w:r>
        <w:rPr>
          <w:rFonts w:ascii="Arial" w:hAnsi="Arial" w:cs="Arial"/>
          <w:sz w:val="20"/>
          <w:szCs w:val="20"/>
        </w:rPr>
        <w:t>.</w:t>
      </w:r>
      <w:r>
        <w:rPr>
          <w:rFonts w:ascii="Arial" w:hAnsi="Arial" w:cs="Arial"/>
          <w:sz w:val="20"/>
          <w:szCs w:val="20"/>
        </w:rPr>
        <w:t xml:space="preserve"> </w:t>
      </w:r>
      <w:r w:rsidR="000010D2">
        <w:rPr>
          <w:rFonts w:ascii="Arial" w:hAnsi="Arial" w:cs="Arial"/>
          <w:sz w:val="20"/>
          <w:szCs w:val="20"/>
        </w:rPr>
        <w:t>The exact mechanism of association and n</w:t>
      </w:r>
      <w:r>
        <w:rPr>
          <w:rFonts w:ascii="Arial" w:hAnsi="Arial" w:cs="Arial"/>
          <w:sz w:val="20"/>
          <w:szCs w:val="20"/>
        </w:rPr>
        <w:t>ewer treatment</w:t>
      </w:r>
      <w:r>
        <w:rPr>
          <w:rFonts w:ascii="Arial" w:hAnsi="Arial" w:cs="Arial"/>
          <w:sz w:val="20"/>
          <w:szCs w:val="20"/>
        </w:rPr>
        <w:t xml:space="preserve">s </w:t>
      </w:r>
      <w:r>
        <w:rPr>
          <w:rFonts w:ascii="Arial" w:hAnsi="Arial" w:cs="Arial"/>
          <w:sz w:val="20"/>
          <w:szCs w:val="20"/>
        </w:rPr>
        <w:t xml:space="preserve">like ACEI need further </w:t>
      </w:r>
      <w:r w:rsidR="000010D2">
        <w:rPr>
          <w:rFonts w:ascii="Arial" w:hAnsi="Arial" w:cs="Arial"/>
          <w:sz w:val="20"/>
          <w:szCs w:val="20"/>
        </w:rPr>
        <w:t>studies</w:t>
      </w:r>
      <w:r>
        <w:rPr>
          <w:rFonts w:ascii="Arial" w:hAnsi="Arial" w:cs="Arial"/>
          <w:sz w:val="20"/>
          <w:szCs w:val="20"/>
        </w:rPr>
        <w:t>.</w:t>
      </w:r>
      <w:r w:rsidR="000010D2">
        <w:rPr>
          <w:rFonts w:ascii="Arial" w:hAnsi="Arial" w:cs="Arial"/>
          <w:sz w:val="20"/>
          <w:szCs w:val="20"/>
        </w:rPr>
        <w:t xml:space="preserve"> A</w:t>
      </w:r>
      <w:r>
        <w:rPr>
          <w:rFonts w:ascii="Arial" w:hAnsi="Arial" w:cs="Arial"/>
          <w:sz w:val="20"/>
          <w:szCs w:val="20"/>
        </w:rPr>
        <w:t>estheticians are recommended to educate their patients about the risks and window period to be maintained between vaccination and HA filler procedures</w:t>
      </w:r>
      <w:r w:rsidR="000010D2">
        <w:rPr>
          <w:rFonts w:ascii="Arial" w:hAnsi="Arial" w:cs="Arial"/>
          <w:sz w:val="20"/>
          <w:szCs w:val="20"/>
        </w:rPr>
        <w:t xml:space="preserve"> and to treat as recommended based on recent evidence.</w:t>
      </w:r>
    </w:p>
    <w:p w:rsidR="00831850" w:rsidRDefault="00831850"/>
    <w:sectPr w:rsidR="008318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0C"/>
    <w:rsid w:val="000010D2"/>
    <w:rsid w:val="001B5945"/>
    <w:rsid w:val="00831850"/>
    <w:rsid w:val="008B150C"/>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BBDF"/>
  <w15:chartTrackingRefBased/>
  <w15:docId w15:val="{AD130AB1-510C-4994-AC73-3621886E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150C"/>
    <w:pPr>
      <w:spacing w:after="0" w:line="240" w:lineRule="auto"/>
    </w:pPr>
    <w:rPr>
      <w:rFonts w:ascii="Times New Roman" w:eastAsia="MS Mincho" w:hAnsi="Times New Roman"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1064">
      <w:bodyDiv w:val="1"/>
      <w:marLeft w:val="0"/>
      <w:marRight w:val="0"/>
      <w:marTop w:val="0"/>
      <w:marBottom w:val="0"/>
      <w:divBdr>
        <w:top w:val="none" w:sz="0" w:space="0" w:color="auto"/>
        <w:left w:val="none" w:sz="0" w:space="0" w:color="auto"/>
        <w:bottom w:val="none" w:sz="0" w:space="0" w:color="auto"/>
        <w:right w:val="none" w:sz="0" w:space="0" w:color="auto"/>
      </w:divBdr>
    </w:div>
    <w:div w:id="93686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Kar</dc:creator>
  <cp:keywords/>
  <dc:description/>
  <cp:lastModifiedBy>Jill Kar</cp:lastModifiedBy>
  <cp:revision>1</cp:revision>
  <dcterms:created xsi:type="dcterms:W3CDTF">2022-03-20T08:00:00Z</dcterms:created>
  <dcterms:modified xsi:type="dcterms:W3CDTF">2022-03-20T09:49:00Z</dcterms:modified>
</cp:coreProperties>
</file>