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844A4" w14:textId="77777777" w:rsidR="00B17E77" w:rsidRDefault="00B17E77" w:rsidP="00C62AA2">
      <w:pPr>
        <w:pStyle w:val="a3"/>
      </w:pPr>
      <w:r w:rsidRPr="00B17E77">
        <w:t xml:space="preserve">Modified Lower Blepharoplasty with Fat Repositioning via </w:t>
      </w:r>
      <w:proofErr w:type="spellStart"/>
      <w:r w:rsidRPr="00B17E77">
        <w:t>Transconjunctival</w:t>
      </w:r>
      <w:proofErr w:type="spellEnd"/>
      <w:r w:rsidRPr="00B17E77">
        <w:t xml:space="preserve"> Approach </w:t>
      </w:r>
      <w:r>
        <w:t>to Correct Tear Trough Deformity</w:t>
      </w:r>
    </w:p>
    <w:p w14:paraId="242C99F7" w14:textId="3CBE8AF3" w:rsidR="00B17E77" w:rsidRDefault="00B17E77" w:rsidP="00C62AA2">
      <w:pPr>
        <w:pStyle w:val="a3"/>
        <w:rPr>
          <w:rFonts w:ascii="AdvPTimesI" w:hAnsi="AdvPTimesI"/>
          <w:b/>
          <w:sz w:val="20"/>
          <w:szCs w:val="20"/>
        </w:rPr>
      </w:pPr>
      <w:r>
        <w:t xml:space="preserve">Feng </w:t>
      </w:r>
      <w:proofErr w:type="gramStart"/>
      <w:r>
        <w:t xml:space="preserve">Xie </w:t>
      </w:r>
      <w:r w:rsidR="006115A0">
        <w:rPr>
          <w:rFonts w:hint="eastAsia"/>
        </w:rPr>
        <w:t xml:space="preserve"> </w:t>
      </w:r>
      <w:r w:rsidR="006115A0">
        <w:t>M.D.</w:t>
      </w:r>
      <w:proofErr w:type="gramEnd"/>
      <w:r w:rsidR="006115A0">
        <w:t xml:space="preserve">  </w:t>
      </w:r>
      <w:proofErr w:type="gramStart"/>
      <w:r w:rsidR="006115A0">
        <w:t xml:space="preserve">PHD  </w:t>
      </w:r>
      <w:r w:rsidR="00B53E55">
        <w:rPr>
          <w:rFonts w:hint="eastAsia"/>
        </w:rPr>
        <w:t>Shang</w:t>
      </w:r>
      <w:proofErr w:type="gramEnd"/>
      <w:r w:rsidR="00B53E55">
        <w:t xml:space="preserve"> Hai Ninth Hospital, Medicine school of Shang Hai Jiao Tong  University </w:t>
      </w:r>
      <w:r w:rsidRPr="00C62AA2">
        <w:rPr>
          <w:rFonts w:ascii="AdvPTimesI" w:hAnsi="AdvPTimesI"/>
          <w:b/>
          <w:sz w:val="20"/>
          <w:szCs w:val="20"/>
        </w:rPr>
        <w:t xml:space="preserve"> </w:t>
      </w:r>
    </w:p>
    <w:p w14:paraId="01B1305E" w14:textId="5F1D4A97" w:rsidR="005B6D40" w:rsidRDefault="005B6D40" w:rsidP="00C62AA2">
      <w:pPr>
        <w:pStyle w:val="a3"/>
        <w:rPr>
          <w:rFonts w:ascii="AdvPTimesI" w:hAnsi="AdvPTimesI"/>
          <w:b/>
          <w:sz w:val="20"/>
          <w:szCs w:val="20"/>
        </w:rPr>
      </w:pPr>
      <w:r>
        <w:rPr>
          <w:rFonts w:ascii="AdvPTimesI" w:hAnsi="AdvPTimesI" w:hint="eastAsia"/>
          <w:b/>
          <w:sz w:val="20"/>
          <w:szCs w:val="20"/>
        </w:rPr>
        <w:t>A</w:t>
      </w:r>
      <w:r>
        <w:rPr>
          <w:rFonts w:ascii="AdvPTimesI" w:hAnsi="AdvPTimesI"/>
          <w:b/>
          <w:sz w:val="20"/>
          <w:szCs w:val="20"/>
        </w:rPr>
        <w:t>bstract:</w:t>
      </w:r>
    </w:p>
    <w:p w14:paraId="6434F2CC" w14:textId="5E1B4E27" w:rsidR="00C62AA2" w:rsidRDefault="00C62AA2" w:rsidP="00C62AA2">
      <w:pPr>
        <w:pStyle w:val="a3"/>
      </w:pPr>
      <w:r w:rsidRPr="00C62AA2">
        <w:rPr>
          <w:rFonts w:ascii="AdvPTimesI" w:hAnsi="AdvPTimesI"/>
          <w:b/>
          <w:sz w:val="20"/>
          <w:szCs w:val="20"/>
        </w:rPr>
        <w:t>Background</w:t>
      </w:r>
      <w:r w:rsidRPr="00C62AA2">
        <w:rPr>
          <w:rFonts w:ascii="AdvPTimesI" w:hAnsi="AdvPTimesI" w:hint="eastAsia"/>
          <w:b/>
          <w:sz w:val="20"/>
          <w:szCs w:val="20"/>
        </w:rPr>
        <w:t>：</w:t>
      </w:r>
      <w:r w:rsidRPr="00C62AA2">
        <w:rPr>
          <w:rFonts w:ascii="AdvPTimesI" w:hAnsi="AdvPTimesI"/>
          <w:b/>
          <w:sz w:val="20"/>
          <w:szCs w:val="20"/>
        </w:rPr>
        <w:t xml:space="preserve"> </w:t>
      </w:r>
      <w:r>
        <w:rPr>
          <w:rFonts w:ascii="AdvPTimes" w:hAnsi="AdvPTimes"/>
          <w:sz w:val="20"/>
          <w:szCs w:val="20"/>
        </w:rPr>
        <w:t xml:space="preserve">Over the years, many techniques have been described to correct </w:t>
      </w:r>
      <w:r>
        <w:rPr>
          <w:rFonts w:ascii="AdvPTimes" w:hAnsi="AdvPTimes" w:hint="eastAsia"/>
          <w:sz w:val="20"/>
          <w:szCs w:val="20"/>
        </w:rPr>
        <w:t>eye</w:t>
      </w:r>
      <w:r>
        <w:rPr>
          <w:rFonts w:ascii="AdvPTimes" w:hAnsi="AdvPTimes"/>
          <w:sz w:val="20"/>
          <w:szCs w:val="20"/>
        </w:rPr>
        <w:t xml:space="preserve"> bag </w:t>
      </w:r>
      <w:r w:rsidR="003F48A9">
        <w:rPr>
          <w:rFonts w:ascii="AdvPTimes" w:hAnsi="AdvPTimes"/>
          <w:sz w:val="20"/>
          <w:szCs w:val="20"/>
        </w:rPr>
        <w:t xml:space="preserve">and </w:t>
      </w:r>
      <w:r>
        <w:rPr>
          <w:rFonts w:ascii="AdvPTimes" w:hAnsi="AdvPTimes"/>
          <w:sz w:val="20"/>
          <w:szCs w:val="20"/>
        </w:rPr>
        <w:t xml:space="preserve"> tear trough deformity (TTD). Fat- repositioning lower blepharoplasty via a </w:t>
      </w:r>
      <w:proofErr w:type="spellStart"/>
      <w:r>
        <w:rPr>
          <w:rFonts w:ascii="AdvPTimes" w:hAnsi="AdvPTimes"/>
          <w:sz w:val="20"/>
          <w:szCs w:val="20"/>
        </w:rPr>
        <w:t>transconjunctival</w:t>
      </w:r>
      <w:proofErr w:type="spellEnd"/>
      <w:r>
        <w:rPr>
          <w:rFonts w:ascii="AdvPTimes" w:hAnsi="AdvPTimes"/>
          <w:sz w:val="20"/>
          <w:szCs w:val="20"/>
        </w:rPr>
        <w:t xml:space="preserve"> approach is increasingly applied due to its satisfactory rejuvenating effect. However, </w:t>
      </w:r>
      <w:r w:rsidR="007B05BB">
        <w:rPr>
          <w:rFonts w:ascii="AdvPTimes" w:hAnsi="AdvPTimes" w:hint="eastAsia"/>
          <w:sz w:val="20"/>
          <w:szCs w:val="20"/>
        </w:rPr>
        <w:t xml:space="preserve"> this </w:t>
      </w:r>
      <w:r w:rsidR="007B05BB">
        <w:rPr>
          <w:rFonts w:ascii="AdvPTimes" w:hAnsi="AdvPTimes"/>
          <w:sz w:val="20"/>
          <w:szCs w:val="20"/>
        </w:rPr>
        <w:t xml:space="preserve">operation is difficult because </w:t>
      </w:r>
      <w:r w:rsidR="00E27139">
        <w:rPr>
          <w:rFonts w:ascii="AdvPTimes" w:hAnsi="AdvPTimes"/>
          <w:sz w:val="20"/>
          <w:szCs w:val="20"/>
        </w:rPr>
        <w:t xml:space="preserve">of </w:t>
      </w:r>
      <w:r w:rsidR="007B05BB">
        <w:rPr>
          <w:rFonts w:ascii="AdvPTimes" w:hAnsi="AdvPTimes"/>
          <w:sz w:val="20"/>
          <w:szCs w:val="20"/>
        </w:rPr>
        <w:t>small operation field</w:t>
      </w:r>
      <w:r>
        <w:rPr>
          <w:rFonts w:ascii="AdvPTimes" w:hAnsi="AdvPTimes"/>
          <w:sz w:val="20"/>
          <w:szCs w:val="20"/>
        </w:rPr>
        <w:t xml:space="preserve">. We modified the surgical technique of </w:t>
      </w:r>
      <w:proofErr w:type="spellStart"/>
      <w:r>
        <w:rPr>
          <w:rFonts w:ascii="AdvPTimes" w:hAnsi="AdvPTimes"/>
          <w:sz w:val="20"/>
          <w:szCs w:val="20"/>
        </w:rPr>
        <w:t>transconjunctival</w:t>
      </w:r>
      <w:proofErr w:type="spellEnd"/>
      <w:r>
        <w:rPr>
          <w:rFonts w:ascii="AdvPTimes" w:hAnsi="AdvPTimes"/>
          <w:sz w:val="20"/>
          <w:szCs w:val="20"/>
        </w:rPr>
        <w:t xml:space="preserve"> </w:t>
      </w:r>
      <w:r w:rsidR="00E27139">
        <w:rPr>
          <w:rFonts w:ascii="AdvPTimes" w:hAnsi="AdvPTimes"/>
          <w:sz w:val="20"/>
          <w:szCs w:val="20"/>
        </w:rPr>
        <w:t xml:space="preserve">orbital </w:t>
      </w:r>
      <w:r>
        <w:rPr>
          <w:rFonts w:ascii="AdvPTimes" w:hAnsi="AdvPTimes"/>
          <w:sz w:val="20"/>
          <w:szCs w:val="20"/>
        </w:rPr>
        <w:t xml:space="preserve">fat release and repositioning via pre-maxillary and pre- zygomatic </w:t>
      </w:r>
      <w:r w:rsidR="00E27139">
        <w:rPr>
          <w:rFonts w:ascii="AdvPTimes" w:hAnsi="AdvPTimes"/>
          <w:sz w:val="20"/>
          <w:szCs w:val="20"/>
        </w:rPr>
        <w:t>space</w:t>
      </w:r>
      <w:r>
        <w:rPr>
          <w:rFonts w:ascii="AdvPTimes" w:hAnsi="AdvPTimes"/>
          <w:sz w:val="20"/>
          <w:szCs w:val="20"/>
        </w:rPr>
        <w:t xml:space="preserve"> with an effective but easy internal fixation method. </w:t>
      </w:r>
    </w:p>
    <w:p w14:paraId="5E53769E" w14:textId="69EA9945" w:rsidR="00E27139" w:rsidRDefault="00C62AA2" w:rsidP="00C62AA2">
      <w:pPr>
        <w:pStyle w:val="a3"/>
        <w:rPr>
          <w:rFonts w:ascii="AdvPTimes" w:hAnsi="AdvPTimes" w:hint="eastAsia"/>
          <w:sz w:val="20"/>
          <w:szCs w:val="20"/>
        </w:rPr>
      </w:pPr>
      <w:r w:rsidRPr="00E27139">
        <w:rPr>
          <w:rFonts w:ascii="AdvPTimesI" w:hAnsi="AdvPTimesI"/>
          <w:b/>
          <w:sz w:val="20"/>
          <w:szCs w:val="20"/>
        </w:rPr>
        <w:t>Methods</w:t>
      </w:r>
      <w:r w:rsidR="00E27139">
        <w:rPr>
          <w:rFonts w:ascii="AdvPTimesI" w:hAnsi="AdvPTimesI"/>
          <w:b/>
          <w:sz w:val="20"/>
          <w:szCs w:val="20"/>
        </w:rPr>
        <w:t xml:space="preserve">: </w:t>
      </w:r>
      <w:r>
        <w:rPr>
          <w:rFonts w:ascii="AdvPTimes" w:hAnsi="AdvPTimes"/>
          <w:sz w:val="20"/>
          <w:szCs w:val="20"/>
        </w:rPr>
        <w:t>From January 201</w:t>
      </w:r>
      <w:r w:rsidR="00E27139">
        <w:rPr>
          <w:rFonts w:ascii="AdvPTimes" w:hAnsi="AdvPTimes"/>
          <w:sz w:val="20"/>
          <w:szCs w:val="20"/>
        </w:rPr>
        <w:t>7</w:t>
      </w:r>
      <w:r>
        <w:rPr>
          <w:rFonts w:ascii="AdvPTimes" w:hAnsi="AdvPTimes"/>
          <w:sz w:val="20"/>
          <w:szCs w:val="20"/>
        </w:rPr>
        <w:t xml:space="preserve"> to December 20</w:t>
      </w:r>
      <w:r w:rsidR="00E27139">
        <w:rPr>
          <w:rFonts w:ascii="AdvPTimes" w:hAnsi="AdvPTimes"/>
          <w:sz w:val="20"/>
          <w:szCs w:val="20"/>
        </w:rPr>
        <w:t>21</w:t>
      </w:r>
      <w:r>
        <w:rPr>
          <w:rFonts w:ascii="AdvPTimes" w:hAnsi="AdvPTimes"/>
          <w:sz w:val="20"/>
          <w:szCs w:val="20"/>
        </w:rPr>
        <w:t>, 110 patients underwent bilateral modified lower blepharoplasty with fat-repositioning. Preoperatively, the grade of TTD was evaluated according to Barton’s grading system.</w:t>
      </w:r>
      <w:r w:rsidR="00E27139">
        <w:rPr>
          <w:rFonts w:ascii="AdvPTimes" w:hAnsi="AdvPTimes"/>
          <w:sz w:val="20"/>
          <w:szCs w:val="20"/>
        </w:rPr>
        <w:t xml:space="preserve"> </w:t>
      </w:r>
      <w:r>
        <w:rPr>
          <w:rFonts w:ascii="AdvPTimes" w:hAnsi="AdvPTimes"/>
          <w:sz w:val="20"/>
          <w:szCs w:val="20"/>
        </w:rPr>
        <w:t>Postoperative results and complications were assessed during the follow-up period.</w:t>
      </w:r>
      <w:r>
        <w:rPr>
          <w:rFonts w:ascii="AdvPTimes" w:hAnsi="AdvPTimes"/>
          <w:sz w:val="20"/>
          <w:szCs w:val="20"/>
        </w:rPr>
        <w:br/>
      </w:r>
      <w:r w:rsidRPr="00E27139">
        <w:rPr>
          <w:rFonts w:ascii="AdvPTimesI" w:hAnsi="AdvPTimesI"/>
          <w:b/>
          <w:sz w:val="20"/>
          <w:szCs w:val="20"/>
        </w:rPr>
        <w:t>Results</w:t>
      </w:r>
      <w:r w:rsidR="00E27139">
        <w:rPr>
          <w:rFonts w:ascii="AdvPTimesI" w:hAnsi="AdvPTimesI"/>
          <w:b/>
          <w:sz w:val="20"/>
          <w:szCs w:val="20"/>
        </w:rPr>
        <w:t>:</w:t>
      </w:r>
      <w:r w:rsidRPr="00E27139">
        <w:rPr>
          <w:rFonts w:ascii="AdvPTimesI" w:hAnsi="AdvPTimesI"/>
          <w:b/>
          <w:sz w:val="20"/>
          <w:szCs w:val="20"/>
        </w:rPr>
        <w:t xml:space="preserve"> </w:t>
      </w:r>
      <w:r>
        <w:rPr>
          <w:rFonts w:ascii="AdvPTimes" w:hAnsi="AdvPTimes"/>
          <w:sz w:val="20"/>
          <w:szCs w:val="20"/>
        </w:rPr>
        <w:t xml:space="preserve">TTD was ameliorated in 97.73% of the cases; the remaining 2.27% cases with </w:t>
      </w:r>
      <w:r w:rsidR="004641CC">
        <w:rPr>
          <w:rFonts w:ascii="AdvPTimes" w:hAnsi="AdvPTimes"/>
          <w:sz w:val="20"/>
          <w:szCs w:val="20"/>
        </w:rPr>
        <w:t xml:space="preserve">few </w:t>
      </w:r>
      <w:r w:rsidR="00843A37">
        <w:rPr>
          <w:rFonts w:ascii="AdvPTimes" w:hAnsi="AdvPTimes"/>
          <w:sz w:val="20"/>
          <w:szCs w:val="20"/>
        </w:rPr>
        <w:t>tear t</w:t>
      </w:r>
      <w:r w:rsidR="00560E4C">
        <w:rPr>
          <w:rFonts w:ascii="AdvPTimes" w:hAnsi="AdvPTimes"/>
          <w:sz w:val="20"/>
          <w:szCs w:val="20"/>
        </w:rPr>
        <w:t xml:space="preserve">rough left </w:t>
      </w:r>
      <w:r w:rsidR="002F1389">
        <w:rPr>
          <w:rFonts w:ascii="AdvPTimes" w:hAnsi="AdvPTimes"/>
          <w:sz w:val="20"/>
          <w:szCs w:val="20"/>
        </w:rPr>
        <w:t xml:space="preserve">which need </w:t>
      </w:r>
      <w:r>
        <w:rPr>
          <w:rFonts w:ascii="AdvPTimes" w:hAnsi="AdvPTimes"/>
          <w:sz w:val="20"/>
          <w:szCs w:val="20"/>
        </w:rPr>
        <w:t xml:space="preserve">revision </w:t>
      </w:r>
      <w:r w:rsidR="002F1389">
        <w:rPr>
          <w:rFonts w:ascii="AdvPTimes" w:hAnsi="AdvPTimes"/>
          <w:sz w:val="20"/>
          <w:szCs w:val="20"/>
        </w:rPr>
        <w:t xml:space="preserve">by fat injection </w:t>
      </w:r>
      <w:r>
        <w:rPr>
          <w:rFonts w:ascii="AdvPTimes" w:hAnsi="AdvPTimes"/>
          <w:sz w:val="20"/>
          <w:szCs w:val="20"/>
        </w:rPr>
        <w:t xml:space="preserve">and achieved Grade 0 on Barton’s grading system thereafter. All patients were satisfied with the final outcome. Few postoperative complications were observed, none of which led to a permanent condition. Three cases of </w:t>
      </w:r>
      <w:proofErr w:type="gramStart"/>
      <w:r>
        <w:rPr>
          <w:rFonts w:ascii="AdvPTimes" w:hAnsi="AdvPTimes"/>
          <w:sz w:val="20"/>
          <w:szCs w:val="20"/>
        </w:rPr>
        <w:t xml:space="preserve">local </w:t>
      </w:r>
      <w:r w:rsidR="003F48A9">
        <w:rPr>
          <w:rFonts w:ascii="AdvPTimes" w:hAnsi="AdvPTimes"/>
          <w:sz w:val="20"/>
          <w:szCs w:val="20"/>
        </w:rPr>
        <w:t xml:space="preserve"> skin</w:t>
      </w:r>
      <w:proofErr w:type="gramEnd"/>
      <w:r w:rsidR="003F48A9">
        <w:rPr>
          <w:rFonts w:ascii="AdvPTimes" w:hAnsi="AdvPTimes"/>
          <w:sz w:val="20"/>
          <w:szCs w:val="20"/>
        </w:rPr>
        <w:t xml:space="preserve"> </w:t>
      </w:r>
      <w:r>
        <w:rPr>
          <w:rFonts w:ascii="AdvPTimes" w:hAnsi="AdvPTimes"/>
          <w:sz w:val="20"/>
          <w:szCs w:val="20"/>
        </w:rPr>
        <w:t xml:space="preserve">depression and one case of local </w:t>
      </w:r>
      <w:r w:rsidR="001A1C46">
        <w:rPr>
          <w:rFonts w:ascii="AdvPTimes" w:hAnsi="AdvPTimes"/>
          <w:sz w:val="20"/>
          <w:szCs w:val="20"/>
        </w:rPr>
        <w:t xml:space="preserve">skin </w:t>
      </w:r>
      <w:r>
        <w:rPr>
          <w:rFonts w:ascii="AdvPTimes" w:hAnsi="AdvPTimes"/>
          <w:sz w:val="20"/>
          <w:szCs w:val="20"/>
        </w:rPr>
        <w:t xml:space="preserve">bulge were treated with surgical refinements. </w:t>
      </w:r>
    </w:p>
    <w:p w14:paraId="42FA6490" w14:textId="641CA54F" w:rsidR="00C62AA2" w:rsidRDefault="00C62AA2" w:rsidP="00C62AA2">
      <w:pPr>
        <w:pStyle w:val="a3"/>
      </w:pPr>
      <w:r w:rsidRPr="00E27139">
        <w:rPr>
          <w:rFonts w:ascii="AdvPTimesI" w:hAnsi="AdvPTimesI"/>
          <w:b/>
          <w:sz w:val="20"/>
          <w:szCs w:val="20"/>
        </w:rPr>
        <w:t>Conclusions</w:t>
      </w:r>
      <w:r w:rsidR="00E27139">
        <w:rPr>
          <w:rFonts w:ascii="AdvPTimesI" w:hAnsi="AdvPTimesI"/>
          <w:b/>
          <w:sz w:val="20"/>
          <w:szCs w:val="20"/>
        </w:rPr>
        <w:t>:</w:t>
      </w:r>
      <w:r w:rsidRPr="00E27139">
        <w:rPr>
          <w:rFonts w:ascii="AdvPTimesI" w:hAnsi="AdvPTimesI"/>
          <w:b/>
          <w:sz w:val="20"/>
          <w:szCs w:val="20"/>
        </w:rPr>
        <w:t xml:space="preserve"> </w:t>
      </w:r>
      <w:r>
        <w:rPr>
          <w:rFonts w:ascii="AdvPTimes" w:hAnsi="AdvPTimes"/>
          <w:sz w:val="20"/>
          <w:szCs w:val="20"/>
        </w:rPr>
        <w:t xml:space="preserve">Our modified method of </w:t>
      </w:r>
      <w:proofErr w:type="spellStart"/>
      <w:r>
        <w:rPr>
          <w:rFonts w:ascii="AdvPTimes" w:hAnsi="AdvPTimes"/>
          <w:sz w:val="20"/>
          <w:szCs w:val="20"/>
        </w:rPr>
        <w:t>transconjunctival</w:t>
      </w:r>
      <w:proofErr w:type="spellEnd"/>
      <w:r>
        <w:rPr>
          <w:rFonts w:ascii="AdvPTimes" w:hAnsi="AdvPTimes"/>
          <w:sz w:val="20"/>
          <w:szCs w:val="20"/>
        </w:rPr>
        <w:t xml:space="preserve"> lower blepharoplasty with fat repositioning is safe and effective to </w:t>
      </w:r>
      <w:r w:rsidR="003F48A9">
        <w:rPr>
          <w:rFonts w:ascii="AdvPTimes" w:hAnsi="AdvPTimes"/>
          <w:sz w:val="20"/>
          <w:szCs w:val="20"/>
        </w:rPr>
        <w:t xml:space="preserve">correct </w:t>
      </w:r>
      <w:proofErr w:type="spellStart"/>
      <w:r w:rsidR="003F48A9">
        <w:rPr>
          <w:rFonts w:ascii="AdvPTimes" w:hAnsi="AdvPTimes"/>
          <w:sz w:val="20"/>
          <w:szCs w:val="20"/>
        </w:rPr>
        <w:t>eyebag</w:t>
      </w:r>
      <w:proofErr w:type="spellEnd"/>
      <w:r w:rsidR="003F48A9">
        <w:rPr>
          <w:rFonts w:ascii="AdvPTimes" w:hAnsi="AdvPTimes"/>
          <w:sz w:val="20"/>
          <w:szCs w:val="20"/>
        </w:rPr>
        <w:t xml:space="preserve"> and</w:t>
      </w:r>
      <w:r>
        <w:rPr>
          <w:rFonts w:ascii="AdvPTimes" w:hAnsi="AdvPTimes"/>
          <w:sz w:val="20"/>
          <w:szCs w:val="20"/>
        </w:rPr>
        <w:t xml:space="preserve"> TTD without severe orbital skin laxity. </w:t>
      </w:r>
    </w:p>
    <w:p w14:paraId="1AF0C800" w14:textId="6E8F39CC" w:rsidR="00215AFE" w:rsidRDefault="00470B42">
      <w:r>
        <w:t>Recent publications:</w:t>
      </w:r>
    </w:p>
    <w:p w14:paraId="7CAC06D6" w14:textId="4C94812F" w:rsidR="00470B42" w:rsidRDefault="00470B42">
      <w:pPr>
        <w:rPr>
          <w:rFonts w:eastAsia="宋体"/>
        </w:rPr>
      </w:pPr>
      <w:r>
        <w:rPr>
          <w:rFonts w:eastAsia="宋体"/>
        </w:rPr>
        <w:t>1,</w:t>
      </w:r>
      <w:r w:rsidRPr="000B0930">
        <w:rPr>
          <w:rFonts w:eastAsia="宋体"/>
        </w:rPr>
        <w:t xml:space="preserve">Boxuan Wei, </w:t>
      </w:r>
      <w:proofErr w:type="spellStart"/>
      <w:r w:rsidRPr="000B0930">
        <w:rPr>
          <w:rFonts w:eastAsia="宋体"/>
        </w:rPr>
        <w:t>Jieyu</w:t>
      </w:r>
      <w:proofErr w:type="spellEnd"/>
      <w:r w:rsidRPr="000B0930">
        <w:rPr>
          <w:rFonts w:eastAsia="宋体"/>
        </w:rPr>
        <w:t xml:space="preserve"> </w:t>
      </w:r>
      <w:proofErr w:type="spellStart"/>
      <w:r w:rsidRPr="000B0930">
        <w:rPr>
          <w:rFonts w:eastAsia="宋体"/>
        </w:rPr>
        <w:t>Gu</w:t>
      </w:r>
      <w:proofErr w:type="spellEnd"/>
      <w:r w:rsidRPr="000B0930">
        <w:rPr>
          <w:rFonts w:eastAsia="宋体"/>
        </w:rPr>
        <w:t xml:space="preserve">, Bowen Gao, </w:t>
      </w:r>
      <w:proofErr w:type="spellStart"/>
      <w:r w:rsidRPr="000B0930">
        <w:rPr>
          <w:rFonts w:eastAsia="宋体"/>
        </w:rPr>
        <w:t>Yongyang</w:t>
      </w:r>
      <w:proofErr w:type="spellEnd"/>
      <w:r w:rsidRPr="000B0930">
        <w:rPr>
          <w:rFonts w:eastAsia="宋体"/>
        </w:rPr>
        <w:t xml:space="preserve"> </w:t>
      </w:r>
      <w:proofErr w:type="spellStart"/>
      <w:r w:rsidRPr="000B0930">
        <w:rPr>
          <w:rFonts w:eastAsia="宋体"/>
        </w:rPr>
        <w:t>Bao</w:t>
      </w:r>
      <w:proofErr w:type="spellEnd"/>
      <w:r w:rsidRPr="000B0930">
        <w:rPr>
          <w:rFonts w:eastAsia="宋体"/>
        </w:rPr>
        <w:t xml:space="preserve">, Ran </w:t>
      </w:r>
      <w:proofErr w:type="spellStart"/>
      <w:r w:rsidRPr="000B0930">
        <w:rPr>
          <w:rFonts w:eastAsia="宋体"/>
        </w:rPr>
        <w:t>Duan</w:t>
      </w:r>
      <w:proofErr w:type="spellEnd"/>
      <w:r w:rsidRPr="000B0930">
        <w:rPr>
          <w:rFonts w:eastAsia="宋体"/>
        </w:rPr>
        <w:t xml:space="preserve">, </w:t>
      </w:r>
      <w:proofErr w:type="spellStart"/>
      <w:r w:rsidRPr="000B0930">
        <w:rPr>
          <w:rFonts w:eastAsia="宋体"/>
        </w:rPr>
        <w:t>Qingfeng</w:t>
      </w:r>
      <w:proofErr w:type="spellEnd"/>
      <w:r w:rsidRPr="000B0930">
        <w:rPr>
          <w:rFonts w:eastAsia="宋体"/>
        </w:rPr>
        <w:t xml:space="preserve"> Li, </w:t>
      </w:r>
      <w:r w:rsidRPr="00470B42">
        <w:rPr>
          <w:rFonts w:eastAsia="宋体"/>
          <w:b/>
        </w:rPr>
        <w:t>Feng Xie</w:t>
      </w:r>
      <w:r w:rsidRPr="000B0930">
        <w:rPr>
          <w:rFonts w:eastAsia="宋体"/>
        </w:rPr>
        <w:t xml:space="preserve">, Deficient mismatch repair is detected in large to giant congenital melanocytic </w:t>
      </w:r>
      <w:proofErr w:type="spellStart"/>
      <w:r w:rsidRPr="000B0930">
        <w:rPr>
          <w:rFonts w:eastAsia="宋体"/>
        </w:rPr>
        <w:t>naevi</w:t>
      </w:r>
      <w:proofErr w:type="spellEnd"/>
      <w:r w:rsidRPr="000B0930">
        <w:rPr>
          <w:rFonts w:eastAsia="宋体"/>
        </w:rPr>
        <w:t xml:space="preserve">: Providing new insight into </w:t>
      </w:r>
      <w:proofErr w:type="spellStart"/>
      <w:r w:rsidRPr="000B0930">
        <w:rPr>
          <w:rFonts w:eastAsia="宋体"/>
        </w:rPr>
        <w:t>aetiology</w:t>
      </w:r>
      <w:proofErr w:type="spellEnd"/>
      <w:r w:rsidRPr="000B0930">
        <w:rPr>
          <w:rFonts w:eastAsia="宋体"/>
        </w:rPr>
        <w:t xml:space="preserve"> and diagnosis, </w:t>
      </w:r>
      <w:r w:rsidRPr="000B0930">
        <w:rPr>
          <w:rFonts w:eastAsia="宋体"/>
          <w:i/>
          <w:iCs/>
        </w:rPr>
        <w:t>British Journal of Dermatology</w:t>
      </w:r>
      <w:r w:rsidRPr="000B0930">
        <w:rPr>
          <w:rFonts w:eastAsia="宋体"/>
        </w:rPr>
        <w:t>, 2022;, ljac020, </w:t>
      </w:r>
      <w:hyperlink r:id="rId4" w:history="1">
        <w:r w:rsidRPr="000B0930">
          <w:rPr>
            <w:rStyle w:val="a4"/>
            <w:rFonts w:eastAsia="宋体"/>
          </w:rPr>
          <w:t>https://doi.org/10.1093/bjd/ljac020</w:t>
        </w:r>
      </w:hyperlink>
      <w:r>
        <w:rPr>
          <w:rFonts w:eastAsia="宋体" w:hint="eastAsia"/>
        </w:rPr>
        <w:t xml:space="preserve"> </w:t>
      </w:r>
    </w:p>
    <w:p w14:paraId="1F170DDB" w14:textId="24BF1A8A" w:rsidR="00DB39AD" w:rsidRDefault="00DB39AD" w:rsidP="00DB39AD">
      <w:pPr>
        <w:rPr>
          <w:rFonts w:eastAsia="Times New Roman" w:hint="eastAsia"/>
        </w:rPr>
      </w:pPr>
      <w:r>
        <w:rPr>
          <w:rFonts w:hint="eastAsia"/>
          <w:bCs/>
          <w:szCs w:val="21"/>
        </w:rPr>
        <w:t>2</w:t>
      </w:r>
      <w:r>
        <w:rPr>
          <w:rFonts w:hint="eastAsia"/>
          <w:bCs/>
          <w:szCs w:val="21"/>
        </w:rPr>
        <w:t>，</w:t>
      </w:r>
      <w:proofErr w:type="spellStart"/>
      <w:r w:rsidRPr="00B17E77">
        <w:rPr>
          <w:rFonts w:eastAsia="宋体"/>
        </w:rPr>
        <w:t>Duan</w:t>
      </w:r>
      <w:proofErr w:type="spellEnd"/>
      <w:r w:rsidRPr="00B17E77">
        <w:rPr>
          <w:rFonts w:eastAsia="宋体"/>
        </w:rPr>
        <w:t xml:space="preserve"> R, Wu M, </w:t>
      </w:r>
      <w:proofErr w:type="spellStart"/>
      <w:r w:rsidRPr="00B17E77">
        <w:rPr>
          <w:rFonts w:eastAsia="宋体"/>
        </w:rPr>
        <w:t>Tremp</w:t>
      </w:r>
      <w:proofErr w:type="spellEnd"/>
      <w:r w:rsidRPr="00B17E77">
        <w:rPr>
          <w:rFonts w:eastAsia="宋体"/>
        </w:rPr>
        <w:t xml:space="preserve"> M, Oranges CM, Xie F, Li Q. </w:t>
      </w:r>
      <w:r w:rsidR="0091414B" w:rsidRPr="00B17E77">
        <w:rPr>
          <w:rFonts w:eastAsia="宋体" w:hint="eastAsia"/>
        </w:rPr>
        <w:t xml:space="preserve"> </w:t>
      </w:r>
      <w:r w:rsidR="00B17E77" w:rsidRPr="00B17E77">
        <w:rPr>
          <w:rFonts w:eastAsia="宋体"/>
        </w:rPr>
        <w:t xml:space="preserve">Modified Lower </w:t>
      </w:r>
      <w:r w:rsidRPr="00B17E77">
        <w:rPr>
          <w:rFonts w:eastAsia="宋体"/>
        </w:rPr>
        <w:t xml:space="preserve">Blepharoplasty with Fat Repositioning via </w:t>
      </w:r>
      <w:proofErr w:type="spellStart"/>
      <w:r w:rsidRPr="00B17E77">
        <w:rPr>
          <w:rFonts w:eastAsia="宋体"/>
        </w:rPr>
        <w:t>Transconjunctival</w:t>
      </w:r>
      <w:proofErr w:type="spellEnd"/>
      <w:r w:rsidRPr="00B17E77">
        <w:rPr>
          <w:rFonts w:eastAsia="宋体"/>
        </w:rPr>
        <w:t xml:space="preserve"> Approach to Correct Tear Trough Deformity. Aesthetic </w:t>
      </w:r>
      <w:proofErr w:type="spellStart"/>
      <w:r w:rsidRPr="00B17E77">
        <w:rPr>
          <w:rFonts w:eastAsia="宋体"/>
        </w:rPr>
        <w:t>Plast</w:t>
      </w:r>
      <w:proofErr w:type="spellEnd"/>
      <w:r w:rsidRPr="00B17E77">
        <w:rPr>
          <w:rFonts w:eastAsia="宋体"/>
        </w:rPr>
        <w:t xml:space="preserve"> Surg. 2019 Jun;43(3):680-685. </w:t>
      </w:r>
      <w:proofErr w:type="spellStart"/>
      <w:r w:rsidRPr="00B17E77">
        <w:rPr>
          <w:rFonts w:eastAsia="宋体"/>
        </w:rPr>
        <w:t>doi</w:t>
      </w:r>
      <w:proofErr w:type="spellEnd"/>
      <w:r w:rsidRPr="00B17E77">
        <w:rPr>
          <w:rFonts w:eastAsia="宋体"/>
        </w:rPr>
        <w:t xml:space="preserve">: 10.1007/s00266-019-01309-5. </w:t>
      </w:r>
      <w:proofErr w:type="spellStart"/>
      <w:r w:rsidRPr="00B17E77">
        <w:rPr>
          <w:rFonts w:eastAsia="宋体"/>
        </w:rPr>
        <w:t>Epub</w:t>
      </w:r>
      <w:proofErr w:type="spellEnd"/>
      <w:r w:rsidRPr="00B17E77">
        <w:rPr>
          <w:rFonts w:eastAsia="宋体"/>
        </w:rPr>
        <w:t xml:space="preserve"> 2019 Feb 7</w:t>
      </w:r>
      <w:r>
        <w:rPr>
          <w:rFonts w:eastAsia="Times New Roman"/>
        </w:rPr>
        <w:t>. PMID: 30734070.</w:t>
      </w:r>
    </w:p>
    <w:p w14:paraId="23039585" w14:textId="77777777" w:rsidR="0091414B" w:rsidRDefault="0091414B" w:rsidP="00DB39AD">
      <w:pPr>
        <w:rPr>
          <w:rFonts w:eastAsia="Times New Roman" w:hint="eastAsia"/>
        </w:rPr>
      </w:pPr>
    </w:p>
    <w:p w14:paraId="037B648B" w14:textId="77777777" w:rsidR="008F0AFB" w:rsidRDefault="0091414B" w:rsidP="008F0AFB">
      <w:pPr>
        <w:rPr>
          <w:rFonts w:eastAsia="Times New Roman"/>
        </w:rPr>
      </w:pPr>
      <w:r>
        <w:rPr>
          <w:rFonts w:eastAsia="Times New Roman" w:hint="eastAsia"/>
        </w:rPr>
        <w:t>3，</w:t>
      </w:r>
      <w:r w:rsidR="008F0AFB">
        <w:rPr>
          <w:rFonts w:eastAsia="Times New Roman"/>
        </w:rPr>
        <w:t xml:space="preserve">Zhou SB, Gao BW, Tan PC, Zhang HZ, Li QF, Xie F. A Strategy for Integrative Reconstruction of Midface Defects Using an Extended Forehead Flap. Facial </w:t>
      </w:r>
      <w:proofErr w:type="spellStart"/>
      <w:r w:rsidR="008F0AFB">
        <w:rPr>
          <w:rFonts w:eastAsia="Times New Roman"/>
        </w:rPr>
        <w:t>Plast</w:t>
      </w:r>
      <w:proofErr w:type="spellEnd"/>
      <w:r w:rsidR="008F0AFB">
        <w:rPr>
          <w:rFonts w:eastAsia="Times New Roman"/>
        </w:rPr>
        <w:t xml:space="preserve"> </w:t>
      </w:r>
      <w:proofErr w:type="spellStart"/>
      <w:r w:rsidR="008F0AFB">
        <w:rPr>
          <w:rFonts w:eastAsia="Times New Roman"/>
        </w:rPr>
        <w:t>Surg</w:t>
      </w:r>
      <w:proofErr w:type="spellEnd"/>
      <w:r w:rsidR="008F0AFB">
        <w:rPr>
          <w:rFonts w:eastAsia="Times New Roman"/>
        </w:rPr>
        <w:t xml:space="preserve"> </w:t>
      </w:r>
      <w:proofErr w:type="spellStart"/>
      <w:r w:rsidR="008F0AFB">
        <w:rPr>
          <w:rFonts w:eastAsia="Times New Roman"/>
        </w:rPr>
        <w:t>Aesthet</w:t>
      </w:r>
      <w:proofErr w:type="spellEnd"/>
      <w:r w:rsidR="008F0AFB">
        <w:rPr>
          <w:rFonts w:eastAsia="Times New Roman"/>
        </w:rPr>
        <w:t xml:space="preserve"> Med. 2021 Dec;23(6):430-436. </w:t>
      </w:r>
      <w:proofErr w:type="spellStart"/>
      <w:r w:rsidR="008F0AFB">
        <w:rPr>
          <w:rFonts w:eastAsia="Times New Roman"/>
        </w:rPr>
        <w:t>doi</w:t>
      </w:r>
      <w:proofErr w:type="spellEnd"/>
      <w:r w:rsidR="008F0AFB">
        <w:rPr>
          <w:rFonts w:eastAsia="Times New Roman"/>
        </w:rPr>
        <w:t xml:space="preserve">: 10.1089/fpsam.2020.0484. </w:t>
      </w:r>
      <w:proofErr w:type="spellStart"/>
      <w:r w:rsidR="008F0AFB">
        <w:rPr>
          <w:rFonts w:eastAsia="Times New Roman"/>
        </w:rPr>
        <w:t>Epub</w:t>
      </w:r>
      <w:proofErr w:type="spellEnd"/>
      <w:r w:rsidR="008F0AFB">
        <w:rPr>
          <w:rFonts w:eastAsia="Times New Roman"/>
        </w:rPr>
        <w:t xml:space="preserve"> 2021 Apr 20. PMID: 33877902.</w:t>
      </w:r>
    </w:p>
    <w:p w14:paraId="61853AE1" w14:textId="6AADAE11" w:rsidR="00AD5527" w:rsidRDefault="00AD5527" w:rsidP="00AD5527">
      <w:pPr>
        <w:rPr>
          <w:rFonts w:eastAsia="Times New Roman"/>
        </w:rPr>
      </w:pPr>
      <w:r>
        <w:rPr>
          <w:rFonts w:eastAsia="Times New Roman" w:hint="eastAsia"/>
        </w:rPr>
        <w:lastRenderedPageBreak/>
        <w:t>4，</w:t>
      </w:r>
      <w:r>
        <w:rPr>
          <w:rFonts w:eastAsia="Times New Roman"/>
        </w:rPr>
        <w:t xml:space="preserve">Zhu H, Gao Z, </w:t>
      </w:r>
      <w:proofErr w:type="spellStart"/>
      <w:r>
        <w:rPr>
          <w:rFonts w:eastAsia="Times New Roman"/>
        </w:rPr>
        <w:t>Tremp</w:t>
      </w:r>
      <w:proofErr w:type="spellEnd"/>
      <w:r>
        <w:rPr>
          <w:rFonts w:eastAsia="Times New Roman"/>
        </w:rPr>
        <w:t xml:space="preserve"> M, </w:t>
      </w:r>
      <w:proofErr w:type="spellStart"/>
      <w:r>
        <w:rPr>
          <w:rFonts w:eastAsia="Times New Roman"/>
        </w:rPr>
        <w:t>Zan</w:t>
      </w:r>
      <w:proofErr w:type="spellEnd"/>
      <w:r>
        <w:rPr>
          <w:rFonts w:eastAsia="Times New Roman"/>
        </w:rPr>
        <w:t xml:space="preserve"> T, Li Q, Xie F, </w:t>
      </w:r>
      <w:proofErr w:type="spellStart"/>
      <w:r>
        <w:rPr>
          <w:rFonts w:eastAsia="Times New Roman"/>
        </w:rPr>
        <w:t>Gu</w:t>
      </w:r>
      <w:proofErr w:type="spellEnd"/>
      <w:r>
        <w:rPr>
          <w:rFonts w:eastAsia="Times New Roman"/>
        </w:rPr>
        <w:t xml:space="preserve"> B. Application of Tissue Expansion with Perforator Flaps for Reconstruction of Challenging Skin Lesions. J </w:t>
      </w:r>
      <w:proofErr w:type="spellStart"/>
      <w:r>
        <w:rPr>
          <w:rFonts w:eastAsia="Times New Roman"/>
        </w:rPr>
        <w:t>Reconstr</w:t>
      </w:r>
      <w:proofErr w:type="spellEnd"/>
      <w:r>
        <w:rPr>
          <w:rFonts w:eastAsia="Times New Roman"/>
        </w:rPr>
        <w:t xml:space="preserve"> </w:t>
      </w:r>
      <w:proofErr w:type="spellStart"/>
      <w:r>
        <w:rPr>
          <w:rFonts w:eastAsia="Times New Roman"/>
        </w:rPr>
        <w:t>Microsurg</w:t>
      </w:r>
      <w:proofErr w:type="spellEnd"/>
      <w:r>
        <w:rPr>
          <w:rFonts w:eastAsia="Times New Roman"/>
        </w:rPr>
        <w:t xml:space="preserve">. 2018 Jan;34(1):13-20. </w:t>
      </w:r>
      <w:proofErr w:type="spellStart"/>
      <w:r>
        <w:rPr>
          <w:rFonts w:eastAsia="Times New Roman"/>
        </w:rPr>
        <w:t>doi</w:t>
      </w:r>
      <w:proofErr w:type="spellEnd"/>
      <w:r>
        <w:rPr>
          <w:rFonts w:eastAsia="Times New Roman"/>
        </w:rPr>
        <w:t xml:space="preserve">: 10.1055/s-0037-1606122. </w:t>
      </w:r>
    </w:p>
    <w:p w14:paraId="38C24EE5" w14:textId="11597652" w:rsidR="00695471" w:rsidRDefault="003103A1" w:rsidP="00695471">
      <w:pPr>
        <w:rPr>
          <w:rFonts w:eastAsia="Times New Roman"/>
        </w:rPr>
      </w:pPr>
      <w:r>
        <w:rPr>
          <w:rFonts w:eastAsia="Times New Roman" w:hint="eastAsia"/>
        </w:rPr>
        <w:t>5，</w:t>
      </w:r>
      <w:r w:rsidR="00695471">
        <w:rPr>
          <w:rFonts w:eastAsia="Times New Roman"/>
        </w:rPr>
        <w:t xml:space="preserve">Gao B, Xiao K, Zhu H, Sheng L, Yu Q, Mao X, Li Q, Xie F. An algorithm for using expanded cervical flaps to resurface facial defects based on five different methods. Burns. 2016 Dec;42(8):1867-1874. </w:t>
      </w:r>
    </w:p>
    <w:p w14:paraId="5B8BC304" w14:textId="0C8DB2B7" w:rsidR="0091414B" w:rsidRDefault="0091414B" w:rsidP="00DB39AD">
      <w:pPr>
        <w:rPr>
          <w:rFonts w:eastAsia="Times New Roman" w:hint="eastAsia"/>
        </w:rPr>
      </w:pPr>
    </w:p>
    <w:p w14:paraId="47B9E7E4" w14:textId="77777777" w:rsidR="00B17E77" w:rsidRDefault="00B17E77"/>
    <w:p w14:paraId="4201ED0B" w14:textId="77777777" w:rsidR="00B17E77" w:rsidRDefault="00B17E77"/>
    <w:p w14:paraId="5EEFA951" w14:textId="36395464" w:rsidR="00B17E77" w:rsidRDefault="00B17E77">
      <w:r>
        <w:t>Resume</w:t>
      </w:r>
    </w:p>
    <w:p w14:paraId="01C37CEB" w14:textId="77777777" w:rsidR="005B6D40" w:rsidRDefault="00B17E77">
      <w:pPr>
        <w:rPr>
          <w:noProof/>
        </w:rPr>
      </w:pPr>
      <w:r>
        <w:rPr>
          <w:rFonts w:hint="eastAsia"/>
        </w:rPr>
        <w:t xml:space="preserve">Feng </w:t>
      </w:r>
      <w:r>
        <w:t xml:space="preserve">Xie is a </w:t>
      </w:r>
      <w:proofErr w:type="spellStart"/>
      <w:r>
        <w:t>Associatie</w:t>
      </w:r>
      <w:proofErr w:type="spellEnd"/>
      <w:r>
        <w:t xml:space="preserve"> professor in Plastic &amp; Reconstructed Surgery department in Ninth Hospital affiliated by medical school of Shang Hai </w:t>
      </w:r>
      <w:proofErr w:type="spellStart"/>
      <w:r>
        <w:t>JiaoTong</w:t>
      </w:r>
      <w:proofErr w:type="spellEnd"/>
      <w:r>
        <w:t xml:space="preserve"> University. He obtained the both his Doctor degree and PhD degree in Shang Hai </w:t>
      </w:r>
      <w:proofErr w:type="spellStart"/>
      <w:r>
        <w:t>JiaoTong</w:t>
      </w:r>
      <w:proofErr w:type="spellEnd"/>
      <w:r>
        <w:t xml:space="preserve"> University</w:t>
      </w:r>
      <w:r>
        <w:rPr>
          <w:rFonts w:hint="eastAsia"/>
        </w:rPr>
        <w:t xml:space="preserve"> </w:t>
      </w:r>
      <w:r>
        <w:t>in 2006. The department of Plastic &amp; Reconstructive surgery of Ninth hospital is the most famous plastic center of China.  It has 300 beds and more than 100 physicians in the department.  Dr. Xie has engaged in Plastic surgery for more than twenty years.  He performed more than 400 cosmetic surgeries per year. He has been engaged in cosmetic surgery of many fields including lower blepharoplasty. He also engaged in resurfacing the skin defects using tissue expander.</w:t>
      </w:r>
      <w:r w:rsidRPr="00B17E77">
        <w:rPr>
          <w:noProof/>
        </w:rPr>
        <w:t xml:space="preserve"> </w:t>
      </w:r>
    </w:p>
    <w:p w14:paraId="50BB9B9E" w14:textId="484DE945" w:rsidR="005B6D40" w:rsidRDefault="005B6D40">
      <w:pPr>
        <w:rPr>
          <w:noProof/>
        </w:rPr>
      </w:pPr>
      <w:r>
        <w:rPr>
          <w:noProof/>
        </w:rPr>
        <w:t>Email: xiefenghe@163.com</w:t>
      </w:r>
    </w:p>
    <w:p w14:paraId="782CBFD0" w14:textId="439BF2BA" w:rsidR="00470B42" w:rsidRPr="00C62AA2" w:rsidRDefault="00B17E77">
      <w:bookmarkStart w:id="0" w:name="_GoBack"/>
      <w:r>
        <w:rPr>
          <w:noProof/>
        </w:rPr>
        <w:drawing>
          <wp:inline distT="0" distB="0" distL="0" distR="0" wp14:anchorId="77FACA84" wp14:editId="6B381361">
            <wp:extent cx="1453331" cy="1789282"/>
            <wp:effectExtent l="0" t="0" r="0" b="0"/>
            <wp:docPr id="1" name="图片 1" descr="../../../../../../../Desktop/WechatIMG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WechatIMG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2947" cy="1813433"/>
                    </a:xfrm>
                    <a:prstGeom prst="rect">
                      <a:avLst/>
                    </a:prstGeom>
                    <a:noFill/>
                    <a:ln>
                      <a:noFill/>
                    </a:ln>
                  </pic:spPr>
                </pic:pic>
              </a:graphicData>
            </a:graphic>
          </wp:inline>
        </w:drawing>
      </w:r>
      <w:bookmarkEnd w:id="0"/>
    </w:p>
    <w:sectPr w:rsidR="00470B42" w:rsidRPr="00C62AA2" w:rsidSect="005836C5">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AdvPTimesI">
    <w:altName w:val="Cambria"/>
    <w:panose1 w:val="00000000000000000000"/>
    <w:charset w:val="00"/>
    <w:family w:val="roman"/>
    <w:notTrueType/>
    <w:pitch w:val="default"/>
  </w:font>
  <w:font w:name="AdvPTimes">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AA2"/>
    <w:rsid w:val="00040EDE"/>
    <w:rsid w:val="00040FB2"/>
    <w:rsid w:val="0007387A"/>
    <w:rsid w:val="000777BD"/>
    <w:rsid w:val="00081C49"/>
    <w:rsid w:val="00083F6A"/>
    <w:rsid w:val="00092BAE"/>
    <w:rsid w:val="000D38AF"/>
    <w:rsid w:val="000D42AB"/>
    <w:rsid w:val="000D7234"/>
    <w:rsid w:val="00125C89"/>
    <w:rsid w:val="00171830"/>
    <w:rsid w:val="00194E44"/>
    <w:rsid w:val="001A1C46"/>
    <w:rsid w:val="001D4550"/>
    <w:rsid w:val="001F0775"/>
    <w:rsid w:val="00204D89"/>
    <w:rsid w:val="002122DB"/>
    <w:rsid w:val="00215AFE"/>
    <w:rsid w:val="0022062D"/>
    <w:rsid w:val="00225B3B"/>
    <w:rsid w:val="0025433B"/>
    <w:rsid w:val="00280AD8"/>
    <w:rsid w:val="00294F4C"/>
    <w:rsid w:val="002B7EFD"/>
    <w:rsid w:val="002F1389"/>
    <w:rsid w:val="002F3965"/>
    <w:rsid w:val="003103A1"/>
    <w:rsid w:val="00325D61"/>
    <w:rsid w:val="0035387C"/>
    <w:rsid w:val="003B4EEF"/>
    <w:rsid w:val="003D281F"/>
    <w:rsid w:val="003F48A9"/>
    <w:rsid w:val="003F638C"/>
    <w:rsid w:val="00411C5B"/>
    <w:rsid w:val="00437D12"/>
    <w:rsid w:val="00441CD2"/>
    <w:rsid w:val="0046134A"/>
    <w:rsid w:val="004641CC"/>
    <w:rsid w:val="00470B42"/>
    <w:rsid w:val="00481248"/>
    <w:rsid w:val="00484094"/>
    <w:rsid w:val="004979B4"/>
    <w:rsid w:val="004A1381"/>
    <w:rsid w:val="004A51FD"/>
    <w:rsid w:val="00527401"/>
    <w:rsid w:val="00545EDE"/>
    <w:rsid w:val="00560579"/>
    <w:rsid w:val="00560E4C"/>
    <w:rsid w:val="00563953"/>
    <w:rsid w:val="005836C5"/>
    <w:rsid w:val="005B6D40"/>
    <w:rsid w:val="005D291D"/>
    <w:rsid w:val="006115A0"/>
    <w:rsid w:val="006119D6"/>
    <w:rsid w:val="006303C8"/>
    <w:rsid w:val="00630857"/>
    <w:rsid w:val="006458F1"/>
    <w:rsid w:val="006662E0"/>
    <w:rsid w:val="00695471"/>
    <w:rsid w:val="00696A37"/>
    <w:rsid w:val="006D0E26"/>
    <w:rsid w:val="00772E3B"/>
    <w:rsid w:val="00774109"/>
    <w:rsid w:val="00774737"/>
    <w:rsid w:val="00795D4A"/>
    <w:rsid w:val="007A5779"/>
    <w:rsid w:val="007B05BB"/>
    <w:rsid w:val="007C7598"/>
    <w:rsid w:val="007F1DC8"/>
    <w:rsid w:val="007F509F"/>
    <w:rsid w:val="0082059F"/>
    <w:rsid w:val="00824E9A"/>
    <w:rsid w:val="00843A37"/>
    <w:rsid w:val="0084723E"/>
    <w:rsid w:val="0087070E"/>
    <w:rsid w:val="008776D6"/>
    <w:rsid w:val="008877C7"/>
    <w:rsid w:val="008C525F"/>
    <w:rsid w:val="008D7CC3"/>
    <w:rsid w:val="008F0AFB"/>
    <w:rsid w:val="009014AC"/>
    <w:rsid w:val="0090206F"/>
    <w:rsid w:val="00903634"/>
    <w:rsid w:val="00912D60"/>
    <w:rsid w:val="0091414B"/>
    <w:rsid w:val="00916968"/>
    <w:rsid w:val="00917D72"/>
    <w:rsid w:val="0093084E"/>
    <w:rsid w:val="00966FAD"/>
    <w:rsid w:val="009C2311"/>
    <w:rsid w:val="009D09C7"/>
    <w:rsid w:val="00A0492B"/>
    <w:rsid w:val="00A352E5"/>
    <w:rsid w:val="00A3583F"/>
    <w:rsid w:val="00A74DE5"/>
    <w:rsid w:val="00A765D2"/>
    <w:rsid w:val="00A83390"/>
    <w:rsid w:val="00A946E9"/>
    <w:rsid w:val="00AD5527"/>
    <w:rsid w:val="00AE1334"/>
    <w:rsid w:val="00B17E77"/>
    <w:rsid w:val="00B3059A"/>
    <w:rsid w:val="00B53E55"/>
    <w:rsid w:val="00B972E5"/>
    <w:rsid w:val="00BE4377"/>
    <w:rsid w:val="00C002FD"/>
    <w:rsid w:val="00C12CE7"/>
    <w:rsid w:val="00C16886"/>
    <w:rsid w:val="00C25064"/>
    <w:rsid w:val="00C52131"/>
    <w:rsid w:val="00C62AA2"/>
    <w:rsid w:val="00C92421"/>
    <w:rsid w:val="00D10C7A"/>
    <w:rsid w:val="00D136EA"/>
    <w:rsid w:val="00D232CC"/>
    <w:rsid w:val="00D3264B"/>
    <w:rsid w:val="00D413E0"/>
    <w:rsid w:val="00D60382"/>
    <w:rsid w:val="00D70FA2"/>
    <w:rsid w:val="00DB39AD"/>
    <w:rsid w:val="00E107A7"/>
    <w:rsid w:val="00E27139"/>
    <w:rsid w:val="00E47437"/>
    <w:rsid w:val="00E539D4"/>
    <w:rsid w:val="00E573AC"/>
    <w:rsid w:val="00E76B6B"/>
    <w:rsid w:val="00E84D42"/>
    <w:rsid w:val="00E87615"/>
    <w:rsid w:val="00E935E7"/>
    <w:rsid w:val="00EA54B0"/>
    <w:rsid w:val="00EB6CB4"/>
    <w:rsid w:val="00EF6A21"/>
    <w:rsid w:val="00EF6F4F"/>
    <w:rsid w:val="00F135F5"/>
    <w:rsid w:val="00F24784"/>
    <w:rsid w:val="00F86AD4"/>
    <w:rsid w:val="00FB3B11"/>
    <w:rsid w:val="00FC20AC"/>
    <w:rsid w:val="00FF6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C10BF7"/>
  <w15:chartTrackingRefBased/>
  <w15:docId w15:val="{6F9716D8-007E-8247-B91A-D39E301E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DB39AD"/>
    <w:rPr>
      <w:rFonts w:ascii="Times New Roman" w:hAnsi="Times New Roman" w:cs="Times New Roman"/>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2AA2"/>
    <w:pPr>
      <w:spacing w:before="100" w:beforeAutospacing="1" w:after="100" w:afterAutospacing="1"/>
    </w:pPr>
    <w:rPr>
      <w:rFonts w:ascii="宋体" w:eastAsia="宋体" w:hAnsi="宋体" w:cs="宋体"/>
    </w:rPr>
  </w:style>
  <w:style w:type="character" w:styleId="a4">
    <w:name w:val="Hyperlink"/>
    <w:basedOn w:val="a0"/>
    <w:uiPriority w:val="99"/>
    <w:unhideWhenUsed/>
    <w:rsid w:val="00470B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979993">
      <w:bodyDiv w:val="1"/>
      <w:marLeft w:val="0"/>
      <w:marRight w:val="0"/>
      <w:marTop w:val="0"/>
      <w:marBottom w:val="0"/>
      <w:divBdr>
        <w:top w:val="none" w:sz="0" w:space="0" w:color="auto"/>
        <w:left w:val="none" w:sz="0" w:space="0" w:color="auto"/>
        <w:bottom w:val="none" w:sz="0" w:space="0" w:color="auto"/>
        <w:right w:val="none" w:sz="0" w:space="0" w:color="auto"/>
      </w:divBdr>
      <w:divsChild>
        <w:div w:id="1936203345">
          <w:marLeft w:val="0"/>
          <w:marRight w:val="0"/>
          <w:marTop w:val="0"/>
          <w:marBottom w:val="0"/>
          <w:divBdr>
            <w:top w:val="none" w:sz="0" w:space="0" w:color="auto"/>
            <w:left w:val="none" w:sz="0" w:space="0" w:color="auto"/>
            <w:bottom w:val="none" w:sz="0" w:space="0" w:color="auto"/>
            <w:right w:val="none" w:sz="0" w:space="0" w:color="auto"/>
          </w:divBdr>
        </w:div>
      </w:divsChild>
    </w:div>
    <w:div w:id="801118215">
      <w:bodyDiv w:val="1"/>
      <w:marLeft w:val="0"/>
      <w:marRight w:val="0"/>
      <w:marTop w:val="0"/>
      <w:marBottom w:val="0"/>
      <w:divBdr>
        <w:top w:val="none" w:sz="0" w:space="0" w:color="auto"/>
        <w:left w:val="none" w:sz="0" w:space="0" w:color="auto"/>
        <w:bottom w:val="none" w:sz="0" w:space="0" w:color="auto"/>
        <w:right w:val="none" w:sz="0" w:space="0" w:color="auto"/>
      </w:divBdr>
      <w:divsChild>
        <w:div w:id="1026758532">
          <w:marLeft w:val="0"/>
          <w:marRight w:val="0"/>
          <w:marTop w:val="0"/>
          <w:marBottom w:val="0"/>
          <w:divBdr>
            <w:top w:val="none" w:sz="0" w:space="0" w:color="auto"/>
            <w:left w:val="none" w:sz="0" w:space="0" w:color="auto"/>
            <w:bottom w:val="none" w:sz="0" w:space="0" w:color="auto"/>
            <w:right w:val="none" w:sz="0" w:space="0" w:color="auto"/>
          </w:divBdr>
          <w:divsChild>
            <w:div w:id="149911572">
              <w:marLeft w:val="0"/>
              <w:marRight w:val="0"/>
              <w:marTop w:val="0"/>
              <w:marBottom w:val="0"/>
              <w:divBdr>
                <w:top w:val="none" w:sz="0" w:space="0" w:color="auto"/>
                <w:left w:val="none" w:sz="0" w:space="0" w:color="auto"/>
                <w:bottom w:val="none" w:sz="0" w:space="0" w:color="auto"/>
                <w:right w:val="none" w:sz="0" w:space="0" w:color="auto"/>
              </w:divBdr>
              <w:divsChild>
                <w:div w:id="2071684477">
                  <w:marLeft w:val="0"/>
                  <w:marRight w:val="0"/>
                  <w:marTop w:val="0"/>
                  <w:marBottom w:val="0"/>
                  <w:divBdr>
                    <w:top w:val="none" w:sz="0" w:space="0" w:color="auto"/>
                    <w:left w:val="none" w:sz="0" w:space="0" w:color="auto"/>
                    <w:bottom w:val="none" w:sz="0" w:space="0" w:color="auto"/>
                    <w:right w:val="none" w:sz="0" w:space="0" w:color="auto"/>
                  </w:divBdr>
                  <w:divsChild>
                    <w:div w:id="19665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624962">
      <w:bodyDiv w:val="1"/>
      <w:marLeft w:val="0"/>
      <w:marRight w:val="0"/>
      <w:marTop w:val="0"/>
      <w:marBottom w:val="0"/>
      <w:divBdr>
        <w:top w:val="none" w:sz="0" w:space="0" w:color="auto"/>
        <w:left w:val="none" w:sz="0" w:space="0" w:color="auto"/>
        <w:bottom w:val="none" w:sz="0" w:space="0" w:color="auto"/>
        <w:right w:val="none" w:sz="0" w:space="0" w:color="auto"/>
      </w:divBdr>
      <w:divsChild>
        <w:div w:id="1456101381">
          <w:marLeft w:val="0"/>
          <w:marRight w:val="0"/>
          <w:marTop w:val="0"/>
          <w:marBottom w:val="0"/>
          <w:divBdr>
            <w:top w:val="none" w:sz="0" w:space="0" w:color="auto"/>
            <w:left w:val="none" w:sz="0" w:space="0" w:color="auto"/>
            <w:bottom w:val="none" w:sz="0" w:space="0" w:color="auto"/>
            <w:right w:val="none" w:sz="0" w:space="0" w:color="auto"/>
          </w:divBdr>
        </w:div>
      </w:divsChild>
    </w:div>
    <w:div w:id="1771195276">
      <w:bodyDiv w:val="1"/>
      <w:marLeft w:val="0"/>
      <w:marRight w:val="0"/>
      <w:marTop w:val="0"/>
      <w:marBottom w:val="0"/>
      <w:divBdr>
        <w:top w:val="none" w:sz="0" w:space="0" w:color="auto"/>
        <w:left w:val="none" w:sz="0" w:space="0" w:color="auto"/>
        <w:bottom w:val="none" w:sz="0" w:space="0" w:color="auto"/>
        <w:right w:val="none" w:sz="0" w:space="0" w:color="auto"/>
      </w:divBdr>
      <w:divsChild>
        <w:div w:id="2130850832">
          <w:marLeft w:val="0"/>
          <w:marRight w:val="0"/>
          <w:marTop w:val="0"/>
          <w:marBottom w:val="0"/>
          <w:divBdr>
            <w:top w:val="none" w:sz="0" w:space="0" w:color="auto"/>
            <w:left w:val="none" w:sz="0" w:space="0" w:color="auto"/>
            <w:bottom w:val="none" w:sz="0" w:space="0" w:color="auto"/>
            <w:right w:val="none" w:sz="0" w:space="0" w:color="auto"/>
          </w:divBdr>
        </w:div>
      </w:divsChild>
    </w:div>
    <w:div w:id="1812938841">
      <w:bodyDiv w:val="1"/>
      <w:marLeft w:val="0"/>
      <w:marRight w:val="0"/>
      <w:marTop w:val="0"/>
      <w:marBottom w:val="0"/>
      <w:divBdr>
        <w:top w:val="none" w:sz="0" w:space="0" w:color="auto"/>
        <w:left w:val="none" w:sz="0" w:space="0" w:color="auto"/>
        <w:bottom w:val="none" w:sz="0" w:space="0" w:color="auto"/>
        <w:right w:val="none" w:sz="0" w:space="0" w:color="auto"/>
      </w:divBdr>
      <w:divsChild>
        <w:div w:id="724377668">
          <w:marLeft w:val="0"/>
          <w:marRight w:val="0"/>
          <w:marTop w:val="0"/>
          <w:marBottom w:val="0"/>
          <w:divBdr>
            <w:top w:val="none" w:sz="0" w:space="0" w:color="auto"/>
            <w:left w:val="none" w:sz="0" w:space="0" w:color="auto"/>
            <w:bottom w:val="none" w:sz="0" w:space="0" w:color="auto"/>
            <w:right w:val="none" w:sz="0" w:space="0" w:color="auto"/>
          </w:divBdr>
          <w:divsChild>
            <w:div w:id="1500580729">
              <w:marLeft w:val="0"/>
              <w:marRight w:val="0"/>
              <w:marTop w:val="0"/>
              <w:marBottom w:val="0"/>
              <w:divBdr>
                <w:top w:val="none" w:sz="0" w:space="0" w:color="auto"/>
                <w:left w:val="none" w:sz="0" w:space="0" w:color="auto"/>
                <w:bottom w:val="none" w:sz="0" w:space="0" w:color="auto"/>
                <w:right w:val="none" w:sz="0" w:space="0" w:color="auto"/>
              </w:divBdr>
              <w:divsChild>
                <w:div w:id="906108639">
                  <w:marLeft w:val="0"/>
                  <w:marRight w:val="0"/>
                  <w:marTop w:val="0"/>
                  <w:marBottom w:val="0"/>
                  <w:divBdr>
                    <w:top w:val="none" w:sz="0" w:space="0" w:color="auto"/>
                    <w:left w:val="none" w:sz="0" w:space="0" w:color="auto"/>
                    <w:bottom w:val="none" w:sz="0" w:space="0" w:color="auto"/>
                    <w:right w:val="none" w:sz="0" w:space="0" w:color="auto"/>
                  </w:divBdr>
                  <w:divsChild>
                    <w:div w:id="14549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9801">
      <w:bodyDiv w:val="1"/>
      <w:marLeft w:val="0"/>
      <w:marRight w:val="0"/>
      <w:marTop w:val="0"/>
      <w:marBottom w:val="0"/>
      <w:divBdr>
        <w:top w:val="none" w:sz="0" w:space="0" w:color="auto"/>
        <w:left w:val="none" w:sz="0" w:space="0" w:color="auto"/>
        <w:bottom w:val="none" w:sz="0" w:space="0" w:color="auto"/>
        <w:right w:val="none" w:sz="0" w:space="0" w:color="auto"/>
      </w:divBdr>
      <w:divsChild>
        <w:div w:id="806749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hub.pubmedplus.com/10.1093/bjd/ljac020" TargetMode="Externa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568</Words>
  <Characters>3242</Characters>
  <Application>Microsoft Macintosh Word</Application>
  <DocSecurity>0</DocSecurity>
  <Lines>27</Lines>
  <Paragraphs>7</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用户</cp:lastModifiedBy>
  <cp:revision>8</cp:revision>
  <dcterms:created xsi:type="dcterms:W3CDTF">2022-03-20T04:40:00Z</dcterms:created>
  <dcterms:modified xsi:type="dcterms:W3CDTF">2022-12-20T13:13:00Z</dcterms:modified>
</cp:coreProperties>
</file>