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6448C" w14:textId="2CB20BBA" w:rsidR="006D1CC4" w:rsidRDefault="007B5861" w:rsidP="006D1CC4">
      <w:pPr>
        <w:pStyle w:val="a0"/>
      </w:pPr>
      <w:r>
        <w:rPr>
          <w:rFonts w:ascii="Arial" w:hAnsi="Arial" w:cs="Arial"/>
          <w:color w:val="222222"/>
          <w:shd w:val="clear" w:color="auto" w:fill="FFFFFF"/>
        </w:rPr>
        <w:t>Nonlinear</w:t>
      </w:r>
      <w:r w:rsidR="001350E9">
        <w:rPr>
          <w:rFonts w:ascii="Arial" w:hAnsi="Arial" w:cs="Arial"/>
          <w:color w:val="222222"/>
          <w:shd w:val="clear" w:color="auto" w:fill="FFFFFF"/>
        </w:rPr>
        <w:t xml:space="preserve"> and machine learning m</w:t>
      </w:r>
      <w:r w:rsidR="006D1CC4">
        <w:rPr>
          <w:rFonts w:ascii="Arial" w:hAnsi="Arial" w:cs="Arial"/>
          <w:color w:val="222222"/>
          <w:shd w:val="clear" w:color="auto" w:fill="FFFFFF"/>
        </w:rPr>
        <w:t xml:space="preserve">odelling water consumption </w:t>
      </w:r>
      <w:proofErr w:type="gramStart"/>
      <w:r w:rsidR="006D1CC4">
        <w:rPr>
          <w:rFonts w:ascii="Arial" w:hAnsi="Arial" w:cs="Arial"/>
          <w:color w:val="222222"/>
          <w:shd w:val="clear" w:color="auto" w:fill="FFFFFF"/>
        </w:rPr>
        <w:t>of  '</w:t>
      </w:r>
      <w:proofErr w:type="gramEnd"/>
      <w:r w:rsidR="006D1CC4">
        <w:rPr>
          <w:rFonts w:ascii="Arial" w:hAnsi="Arial" w:cs="Arial"/>
          <w:color w:val="222222"/>
          <w:shd w:val="clear" w:color="auto" w:fill="FFFFFF"/>
        </w:rPr>
        <w:t>Cabernet Sauvignon' vines</w:t>
      </w:r>
      <w:r w:rsidR="006D1CC4" w:rsidRPr="0033055B">
        <w:rPr>
          <w:rFonts w:hint="eastAsia"/>
        </w:rPr>
        <w:t xml:space="preserve"> </w:t>
      </w:r>
    </w:p>
    <w:p w14:paraId="43708EC5" w14:textId="3CDE486A" w:rsidR="006D1CC4" w:rsidRPr="00E13720" w:rsidRDefault="006D1CC4" w:rsidP="006D1CC4">
      <w:pPr>
        <w:spacing w:after="120" w:line="480" w:lineRule="auto"/>
        <w:jc w:val="center"/>
        <w:rPr>
          <w:rFonts w:cstheme="minorHAnsi"/>
          <w:vertAlign w:val="superscript"/>
        </w:rPr>
      </w:pPr>
      <w:r w:rsidRPr="00E13720">
        <w:rPr>
          <w:rFonts w:cstheme="minorHAnsi"/>
        </w:rPr>
        <w:t>Yishai Netzer</w:t>
      </w:r>
      <w:r w:rsidRPr="00220A3F">
        <w:rPr>
          <w:rFonts w:cstheme="minorHAnsi"/>
          <w:vertAlign w:val="superscript"/>
        </w:rPr>
        <w:t>1,2</w:t>
      </w:r>
      <w:r>
        <w:rPr>
          <w:rFonts w:cstheme="minorHAnsi"/>
        </w:rPr>
        <w:t>,</w:t>
      </w:r>
      <w:r w:rsidRPr="00E13720">
        <w:rPr>
          <w:rFonts w:cstheme="minorHAnsi"/>
        </w:rPr>
        <w:t xml:space="preserve"> Noa Ohana-Levi</w:t>
      </w:r>
      <w:r>
        <w:rPr>
          <w:rFonts w:cstheme="minorHAnsi"/>
          <w:vertAlign w:val="superscript"/>
        </w:rPr>
        <w:t xml:space="preserve"> 3</w:t>
      </w:r>
      <w:r w:rsidRPr="00E13720">
        <w:rPr>
          <w:rFonts w:cstheme="minorHAnsi"/>
        </w:rPr>
        <w:t>, Sarel Munitz</w:t>
      </w:r>
      <w:r>
        <w:rPr>
          <w:rFonts w:cstheme="minorHAnsi"/>
          <w:vertAlign w:val="superscript"/>
        </w:rPr>
        <w:t>2</w:t>
      </w:r>
      <w:r w:rsidRPr="0031487A">
        <w:rPr>
          <w:rFonts w:cstheme="minorHAnsi"/>
          <w:vertAlign w:val="superscript"/>
        </w:rPr>
        <w:t xml:space="preserve">, </w:t>
      </w:r>
      <w:r>
        <w:rPr>
          <w:rFonts w:cstheme="minorHAnsi"/>
          <w:vertAlign w:val="superscript"/>
        </w:rPr>
        <w:t>4</w:t>
      </w:r>
      <w:r w:rsidRPr="00E13720">
        <w:rPr>
          <w:rFonts w:cstheme="minorHAnsi"/>
        </w:rPr>
        <w:t>, Alon Ben-Gal</w:t>
      </w:r>
      <w:r>
        <w:rPr>
          <w:rFonts w:cstheme="minorHAnsi"/>
          <w:vertAlign w:val="superscript"/>
        </w:rPr>
        <w:t>3</w:t>
      </w:r>
      <w:r>
        <w:rPr>
          <w:rFonts w:cstheme="minorHAnsi"/>
        </w:rPr>
        <w:t xml:space="preserve">, </w:t>
      </w:r>
      <w:r w:rsidRPr="00E13720">
        <w:rPr>
          <w:rFonts w:cstheme="minorHAnsi"/>
        </w:rPr>
        <w:t>Aviva Peeters</w:t>
      </w:r>
      <w:r>
        <w:rPr>
          <w:rFonts w:cstheme="minorHAnsi"/>
          <w:vertAlign w:val="superscript"/>
        </w:rPr>
        <w:t>5</w:t>
      </w:r>
      <w:r>
        <w:rPr>
          <w:rFonts w:cstheme="minorHAnsi"/>
        </w:rPr>
        <w:t>,</w:t>
      </w:r>
      <w:r w:rsidR="007B5861">
        <w:rPr>
          <w:rFonts w:cstheme="minorHAnsi"/>
        </w:rPr>
        <w:t xml:space="preserve"> </w:t>
      </w:r>
      <w:r>
        <w:rPr>
          <w:rFonts w:cstheme="minorHAnsi"/>
        </w:rPr>
        <w:t>Amnon Schwartz</w:t>
      </w:r>
      <w:r>
        <w:rPr>
          <w:rFonts w:cstheme="minorHAnsi"/>
          <w:vertAlign w:val="superscript"/>
        </w:rPr>
        <w:t>4</w:t>
      </w:r>
      <w:r w:rsidRPr="00E13720">
        <w:rPr>
          <w:rFonts w:cstheme="minorHAnsi"/>
        </w:rPr>
        <w:t xml:space="preserve">, </w:t>
      </w:r>
    </w:p>
    <w:p w14:paraId="5021E239" w14:textId="77777777" w:rsidR="006D1CC4" w:rsidRDefault="006D1CC4" w:rsidP="006D1CC4">
      <w:pPr>
        <w:pStyle w:val="ListParagraph"/>
        <w:spacing w:after="120" w:line="240" w:lineRule="auto"/>
        <w:ind w:left="425"/>
        <w:rPr>
          <w:rFonts w:cstheme="minorHAnsi"/>
          <w:sz w:val="24"/>
          <w:szCs w:val="24"/>
        </w:rPr>
      </w:pPr>
      <w:r w:rsidRPr="00220A3F">
        <w:rPr>
          <w:rFonts w:cstheme="minorHAnsi"/>
          <w:sz w:val="24"/>
          <w:szCs w:val="24"/>
          <w:vertAlign w:val="superscript"/>
        </w:rPr>
        <w:t>1</w:t>
      </w:r>
      <w:r w:rsidRPr="007F3F0C">
        <w:rPr>
          <w:rFonts w:cstheme="minorHAnsi"/>
          <w:sz w:val="24"/>
          <w:szCs w:val="24"/>
        </w:rPr>
        <w:t>Department of Chemical engineering, Biotechnology and Materials</w:t>
      </w:r>
      <w:r w:rsidRPr="00E13720">
        <w:rPr>
          <w:rFonts w:cstheme="minorHAnsi"/>
          <w:sz w:val="24"/>
          <w:szCs w:val="24"/>
        </w:rPr>
        <w:t>, Ariel University, Ariel 40700, Israel</w:t>
      </w:r>
    </w:p>
    <w:p w14:paraId="3EF08990" w14:textId="77777777" w:rsidR="006D1CC4" w:rsidRPr="001413A8" w:rsidRDefault="006D1CC4" w:rsidP="006D1CC4">
      <w:pPr>
        <w:pStyle w:val="ListParagraph"/>
        <w:spacing w:after="120" w:line="240" w:lineRule="auto"/>
        <w:ind w:left="425"/>
        <w:rPr>
          <w:rFonts w:cstheme="minorHAnsi"/>
          <w:sz w:val="24"/>
          <w:szCs w:val="24"/>
        </w:rPr>
      </w:pPr>
      <w:r w:rsidRPr="00220A3F">
        <w:rPr>
          <w:rFonts w:cstheme="minorHAnsi"/>
          <w:sz w:val="24"/>
          <w:szCs w:val="24"/>
          <w:vertAlign w:val="superscript"/>
        </w:rPr>
        <w:t>2</w:t>
      </w:r>
      <w:r w:rsidRPr="001413A8">
        <w:rPr>
          <w:rFonts w:cstheme="minorHAnsi"/>
          <w:sz w:val="24"/>
          <w:szCs w:val="24"/>
        </w:rPr>
        <w:t>Department of Agriculture and Oenology, Eastern R&amp;D Center, Israel</w:t>
      </w:r>
    </w:p>
    <w:p w14:paraId="2CDA1F86" w14:textId="77777777" w:rsidR="006D1CC4" w:rsidRPr="00E13720" w:rsidRDefault="006D1CC4" w:rsidP="006D1CC4">
      <w:pPr>
        <w:pStyle w:val="ListParagraph"/>
        <w:spacing w:after="120" w:line="240" w:lineRule="auto"/>
        <w:ind w:left="425"/>
        <w:rPr>
          <w:rFonts w:cstheme="minorHAnsi"/>
          <w:sz w:val="24"/>
          <w:szCs w:val="24"/>
        </w:rPr>
      </w:pPr>
      <w:r w:rsidRPr="00220A3F">
        <w:rPr>
          <w:rFonts w:cstheme="minorHAnsi"/>
          <w:sz w:val="24"/>
          <w:szCs w:val="24"/>
          <w:vertAlign w:val="superscript"/>
        </w:rPr>
        <w:t>3</w:t>
      </w:r>
      <w:r w:rsidRPr="00E13720">
        <w:rPr>
          <w:rFonts w:cstheme="minorHAnsi"/>
          <w:sz w:val="24"/>
          <w:szCs w:val="24"/>
        </w:rPr>
        <w:t>Department of Soil, Water and Environmental Sciences, Agricultural Research Organization</w:t>
      </w:r>
      <w:r>
        <w:rPr>
          <w:rFonts w:cstheme="minorHAnsi"/>
          <w:sz w:val="24"/>
          <w:szCs w:val="24"/>
        </w:rPr>
        <w:t>,</w:t>
      </w:r>
      <w:r w:rsidRPr="00E13720">
        <w:rPr>
          <w:rFonts w:cstheme="minorHAnsi"/>
          <w:sz w:val="24"/>
          <w:szCs w:val="24"/>
        </w:rPr>
        <w:t xml:space="preserve"> Gilat Research Center, Mobile post Negev 2, 85280, Israel </w:t>
      </w:r>
    </w:p>
    <w:p w14:paraId="46F812B9" w14:textId="77777777" w:rsidR="006D1CC4" w:rsidRPr="00E13720" w:rsidRDefault="006D1CC4" w:rsidP="006D1CC4">
      <w:pPr>
        <w:pStyle w:val="ListParagraph"/>
        <w:spacing w:after="120" w:line="240" w:lineRule="auto"/>
        <w:ind w:left="425"/>
        <w:rPr>
          <w:rFonts w:cstheme="minorHAnsi"/>
          <w:sz w:val="24"/>
          <w:szCs w:val="24"/>
        </w:rPr>
      </w:pPr>
      <w:r w:rsidRPr="00220A3F">
        <w:rPr>
          <w:rFonts w:cstheme="minorHAnsi"/>
          <w:sz w:val="24"/>
          <w:szCs w:val="24"/>
          <w:vertAlign w:val="superscript"/>
        </w:rPr>
        <w:t>4</w:t>
      </w:r>
      <w:r w:rsidRPr="00291445">
        <w:rPr>
          <w:rFonts w:cstheme="minorHAnsi"/>
          <w:sz w:val="24"/>
          <w:szCs w:val="24"/>
        </w:rPr>
        <w:t>R.H. Smith Institute of Plant Science and Genetics in Agriculture, Faculty of Agriculture, Food and Environment, The Hebrew University of Jerusalem, Rehovot 76100, Israel</w:t>
      </w:r>
    </w:p>
    <w:p w14:paraId="35F32224" w14:textId="77777777" w:rsidR="006D1CC4" w:rsidRPr="0089261D" w:rsidRDefault="006D1CC4" w:rsidP="006D1CC4">
      <w:pPr>
        <w:pStyle w:val="ListParagraph"/>
        <w:spacing w:after="120" w:line="240" w:lineRule="auto"/>
        <w:ind w:left="425"/>
        <w:rPr>
          <w:rFonts w:cstheme="minorHAnsi"/>
          <w:sz w:val="24"/>
          <w:szCs w:val="24"/>
        </w:rPr>
      </w:pPr>
      <w:r w:rsidRPr="00220A3F">
        <w:rPr>
          <w:rFonts w:cstheme="minorHAnsi"/>
          <w:sz w:val="24"/>
          <w:szCs w:val="24"/>
          <w:vertAlign w:val="superscript"/>
        </w:rPr>
        <w:t>5</w:t>
      </w:r>
      <w:r w:rsidRPr="00E13720">
        <w:rPr>
          <w:rFonts w:cstheme="minorHAnsi"/>
          <w:sz w:val="24"/>
          <w:szCs w:val="24"/>
        </w:rPr>
        <w:t>TerraVision Lab, Midreshet Ben-Gurion 8499000, Israel</w:t>
      </w:r>
    </w:p>
    <w:p w14:paraId="4B719E3D" w14:textId="77777777" w:rsidR="006D1CC4" w:rsidRPr="0033055B" w:rsidRDefault="006D1CC4" w:rsidP="006D1CC4">
      <w:pPr>
        <w:pStyle w:val="a"/>
      </w:pPr>
      <w:r w:rsidRPr="00822BAA">
        <w:rPr>
          <w:b/>
          <w:bCs/>
          <w:vertAlign w:val="superscript"/>
        </w:rPr>
        <w:t>*</w:t>
      </w:r>
      <w:r w:rsidRPr="009C5A65">
        <w:rPr>
          <w:b/>
          <w:bCs/>
        </w:rPr>
        <w:t>Corresponding author</w:t>
      </w:r>
      <w:r>
        <w:rPr>
          <w:b/>
          <w:bCs/>
        </w:rPr>
        <w:t xml:space="preserve">: </w:t>
      </w:r>
      <w:r w:rsidRPr="0033055B">
        <w:t>E-mail:</w:t>
      </w:r>
      <w:r>
        <w:t xml:space="preserve"> YNetzer@gmail.com; </w:t>
      </w:r>
      <w:r w:rsidRPr="0033055B">
        <w:rPr>
          <w:rFonts w:hint="eastAsia"/>
        </w:rPr>
        <w:t>Tel.:</w:t>
      </w:r>
      <w:r>
        <w:t xml:space="preserve"> +972546320280</w:t>
      </w:r>
    </w:p>
    <w:p w14:paraId="60D057DC" w14:textId="44838881" w:rsidR="006D1CC4" w:rsidRPr="00CF3FF7" w:rsidRDefault="006D1CC4" w:rsidP="006D1CC4">
      <w:pPr>
        <w:autoSpaceDE w:val="0"/>
        <w:autoSpaceDN w:val="0"/>
        <w:adjustRightInd w:val="0"/>
        <w:rPr>
          <w:rFonts w:cstheme="minorHAnsi"/>
        </w:rPr>
      </w:pPr>
      <w:r w:rsidRPr="006D2F1A">
        <w:rPr>
          <w:b/>
        </w:rPr>
        <w:t xml:space="preserve">Abstract. </w:t>
      </w:r>
      <w:r>
        <w:rPr>
          <w:rFonts w:cstheme="minorHAnsi"/>
        </w:rPr>
        <w:t>Skilled regulated deficit irrigation regime is the basis for controlling grape yield and wine quality.  High accuracy of vine evapotranspiration (ET</w:t>
      </w:r>
      <w:r w:rsidRPr="0058230D">
        <w:rPr>
          <w:rFonts w:cstheme="minorHAnsi"/>
          <w:vertAlign w:val="subscript"/>
        </w:rPr>
        <w:t>c</w:t>
      </w:r>
      <w:r w:rsidRPr="002A4FD5">
        <w:rPr>
          <w:rFonts w:cstheme="minorHAnsi"/>
        </w:rPr>
        <w:t>)</w:t>
      </w:r>
      <w:r>
        <w:rPr>
          <w:rFonts w:cstheme="minorHAnsi"/>
        </w:rPr>
        <w:t xml:space="preserve"> modelling serves as a foundation for precise and efficient irrigation calculation. ET</w:t>
      </w:r>
      <w:r w:rsidRPr="0058230D">
        <w:rPr>
          <w:rFonts w:cstheme="minorHAnsi"/>
          <w:vertAlign w:val="subscript"/>
        </w:rPr>
        <w:t>c</w:t>
      </w:r>
      <w:r>
        <w:rPr>
          <w:rFonts w:cstheme="minorHAnsi"/>
        </w:rPr>
        <w:t xml:space="preserve"> measurements</w:t>
      </w:r>
      <w:r>
        <w:rPr>
          <w:rFonts w:cstheme="minorHAnsi"/>
          <w:i/>
          <w:iCs/>
        </w:rPr>
        <w:t xml:space="preserve"> </w:t>
      </w:r>
      <w:r w:rsidRPr="002A4FD5">
        <w:rPr>
          <w:rFonts w:cstheme="minorHAnsi"/>
        </w:rPr>
        <w:t>of</w:t>
      </w:r>
      <w:r>
        <w:rPr>
          <w:rFonts w:cstheme="minorHAnsi"/>
          <w:i/>
          <w:iCs/>
        </w:rPr>
        <w:t xml:space="preserve"> </w:t>
      </w:r>
      <w:r w:rsidRPr="00C76042">
        <w:rPr>
          <w:rFonts w:cstheme="minorHAnsi"/>
          <w:i/>
          <w:iCs/>
        </w:rPr>
        <w:t>Vitis vin</w:t>
      </w:r>
      <w:r>
        <w:rPr>
          <w:rFonts w:cstheme="minorHAnsi"/>
          <w:i/>
          <w:iCs/>
        </w:rPr>
        <w:t>i</w:t>
      </w:r>
      <w:r w:rsidRPr="00C76042">
        <w:rPr>
          <w:rFonts w:cstheme="minorHAnsi"/>
          <w:i/>
          <w:iCs/>
        </w:rPr>
        <w:t>fera</w:t>
      </w:r>
      <w:r w:rsidRPr="0037576E">
        <w:rPr>
          <w:rFonts w:cstheme="minorHAnsi"/>
        </w:rPr>
        <w:t xml:space="preserve"> ‘Cabernet Sauvignon’</w:t>
      </w:r>
      <w:r>
        <w:rPr>
          <w:rFonts w:cstheme="minorHAnsi"/>
        </w:rPr>
        <w:t xml:space="preserve"> were </w:t>
      </w:r>
      <w:r>
        <w:t xml:space="preserve">conducted during </w:t>
      </w:r>
      <w:r>
        <w:rPr>
          <w:rFonts w:cstheme="minorHAnsi"/>
        </w:rPr>
        <w:t>2013-2017</w:t>
      </w:r>
      <w:r>
        <w:t xml:space="preserve"> with 6 drainage lysimeters</w:t>
      </w:r>
      <w:r w:rsidRPr="003050BE">
        <w:rPr>
          <w:rFonts w:cstheme="minorHAnsi"/>
        </w:rPr>
        <w:t xml:space="preserve"> </w:t>
      </w:r>
      <w:r>
        <w:rPr>
          <w:rFonts w:cstheme="minorHAnsi"/>
        </w:rPr>
        <w:t>in the mountainous region in Israel, along with a continuous record of meteorological data. The effect and interactions of m</w:t>
      </w:r>
      <w:r w:rsidRPr="003050BE">
        <w:rPr>
          <w:rFonts w:cstheme="minorHAnsi"/>
        </w:rPr>
        <w:t xml:space="preserve">eteorological variables </w:t>
      </w:r>
      <w:r>
        <w:rPr>
          <w:rFonts w:cstheme="minorHAnsi"/>
        </w:rPr>
        <w:t xml:space="preserve">(MV) </w:t>
      </w:r>
      <w:r w:rsidRPr="003050BE">
        <w:rPr>
          <w:rFonts w:cstheme="minorHAnsi"/>
        </w:rPr>
        <w:t xml:space="preserve">such as temperature, </w:t>
      </w:r>
      <w:r>
        <w:rPr>
          <w:rFonts w:cstheme="minorHAnsi"/>
        </w:rPr>
        <w:t>t</w:t>
      </w:r>
      <w:r w:rsidRPr="003050BE">
        <w:rPr>
          <w:rFonts w:cstheme="minorHAnsi"/>
        </w:rPr>
        <w:t xml:space="preserve">otal </w:t>
      </w:r>
      <w:r>
        <w:rPr>
          <w:rFonts w:cstheme="minorHAnsi"/>
        </w:rPr>
        <w:t xml:space="preserve">solar </w:t>
      </w:r>
      <w:r w:rsidRPr="003050BE">
        <w:rPr>
          <w:rFonts w:cstheme="minorHAnsi"/>
        </w:rPr>
        <w:t xml:space="preserve">radiation, </w:t>
      </w:r>
      <w:r>
        <w:rPr>
          <w:rFonts w:cstheme="minorHAnsi"/>
        </w:rPr>
        <w:t>r</w:t>
      </w:r>
      <w:r w:rsidRPr="003050BE">
        <w:rPr>
          <w:rFonts w:cstheme="minorHAnsi"/>
        </w:rPr>
        <w:t>elative humidity and wind speed, as well as Leaf area index</w:t>
      </w:r>
      <w:r>
        <w:rPr>
          <w:rFonts w:cstheme="minorHAnsi"/>
        </w:rPr>
        <w:t xml:space="preserve"> (LAI</w:t>
      </w:r>
      <w:r w:rsidRPr="003050BE">
        <w:rPr>
          <w:rFonts w:cstheme="minorHAnsi"/>
        </w:rPr>
        <w:t xml:space="preserve">) </w:t>
      </w:r>
      <w:r>
        <w:rPr>
          <w:rFonts w:cstheme="minorHAnsi"/>
        </w:rPr>
        <w:t>on ET</w:t>
      </w:r>
      <w:r w:rsidRPr="0058230D">
        <w:rPr>
          <w:rFonts w:cstheme="minorHAnsi"/>
          <w:vertAlign w:val="subscript"/>
        </w:rPr>
        <w:t>c</w:t>
      </w:r>
      <w:r>
        <w:rPr>
          <w:rFonts w:cstheme="minorHAnsi"/>
        </w:rPr>
        <w:t xml:space="preserve"> were established. Different time-series multiple regression models (machine learning and non-linear models) were used to </w:t>
      </w:r>
      <w:r w:rsidRPr="005B37D8">
        <w:rPr>
          <w:rFonts w:cstheme="minorHAnsi"/>
        </w:rPr>
        <w:t xml:space="preserve">determine the relative influence of </w:t>
      </w:r>
      <w:r>
        <w:rPr>
          <w:rFonts w:cstheme="minorHAnsi"/>
        </w:rPr>
        <w:t>MV</w:t>
      </w:r>
      <w:r w:rsidRPr="005B37D8">
        <w:rPr>
          <w:rFonts w:cstheme="minorHAnsi"/>
        </w:rPr>
        <w:t xml:space="preserve"> and </w:t>
      </w:r>
      <w:r>
        <w:rPr>
          <w:rFonts w:cstheme="minorHAnsi"/>
        </w:rPr>
        <w:t>LAI</w:t>
      </w:r>
      <w:r w:rsidRPr="00CF3FF7">
        <w:rPr>
          <w:rFonts w:cstheme="minorHAnsi"/>
        </w:rPr>
        <w:t xml:space="preserve"> </w:t>
      </w:r>
      <w:r w:rsidRPr="005B37D8">
        <w:rPr>
          <w:rFonts w:cstheme="minorHAnsi"/>
        </w:rPr>
        <w:t>on ET</w:t>
      </w:r>
      <w:r w:rsidRPr="005B37D8">
        <w:rPr>
          <w:rFonts w:cstheme="minorHAnsi"/>
          <w:vertAlign w:val="subscript"/>
        </w:rPr>
        <w:t>c</w:t>
      </w:r>
      <w:r w:rsidRPr="005B37D8">
        <w:rPr>
          <w:rFonts w:cstheme="minorHAnsi"/>
        </w:rPr>
        <w:t xml:space="preserve"> </w:t>
      </w:r>
      <w:r>
        <w:rPr>
          <w:rFonts w:cstheme="minorHAnsi"/>
        </w:rPr>
        <w:t>during four growing seasons and suggest several types of forecasting models for a fifth season. Additionally, within-season temporal patterns and variations according to five phenological stages (based on berry development) were studied. Finally, a comparison between different sets of variables and different regression models was performed to evaluate the quality of model fitting for ET</w:t>
      </w:r>
      <w:r w:rsidRPr="001C48BB">
        <w:rPr>
          <w:rFonts w:cstheme="minorHAnsi"/>
          <w:vertAlign w:val="subscript"/>
        </w:rPr>
        <w:t>c</w:t>
      </w:r>
      <w:r>
        <w:rPr>
          <w:rFonts w:cstheme="minorHAnsi"/>
        </w:rPr>
        <w:t xml:space="preserve"> forecasting purposes. The findings show LAI had a pronounced impact on ET</w:t>
      </w:r>
      <w:r w:rsidRPr="00CF3FF7">
        <w:rPr>
          <w:rFonts w:cstheme="minorHAnsi"/>
          <w:vertAlign w:val="subscript"/>
        </w:rPr>
        <w:t>c</w:t>
      </w:r>
      <w:r w:rsidRPr="003807BC">
        <w:rPr>
          <w:rFonts w:cstheme="minorHAnsi"/>
        </w:rPr>
        <w:t xml:space="preserve"> </w:t>
      </w:r>
      <w:r>
        <w:rPr>
          <w:rFonts w:cstheme="minorHAnsi"/>
        </w:rPr>
        <w:t xml:space="preserve">compared to MVs </w:t>
      </w:r>
      <w:r w:rsidRPr="00CF3FF7">
        <w:rPr>
          <w:rFonts w:cstheme="minorHAnsi"/>
        </w:rPr>
        <w:t>and was</w:t>
      </w:r>
      <w:r>
        <w:rPr>
          <w:rFonts w:cstheme="minorHAnsi"/>
          <w:vertAlign w:val="subscript"/>
        </w:rPr>
        <w:t xml:space="preserve"> </w:t>
      </w:r>
      <w:r>
        <w:rPr>
          <w:rFonts w:cstheme="minorHAnsi"/>
        </w:rPr>
        <w:t xml:space="preserve">found to have a relative influence ranging between </w:t>
      </w:r>
      <w:r w:rsidRPr="000D6C4D">
        <w:rPr>
          <w:rFonts w:cstheme="minorHAnsi"/>
        </w:rPr>
        <w:t>62 and 86%</w:t>
      </w:r>
      <w:r>
        <w:rPr>
          <w:rFonts w:cstheme="minorHAnsi"/>
        </w:rPr>
        <w:t xml:space="preserve"> for the different growing seasons. Within each season, </w:t>
      </w:r>
      <w:r w:rsidRPr="00BE1E0E">
        <w:rPr>
          <w:rFonts w:cstheme="minorHAnsi"/>
        </w:rPr>
        <w:t xml:space="preserve">each phenological stage </w:t>
      </w:r>
      <w:r>
        <w:rPr>
          <w:rFonts w:cstheme="minorHAnsi"/>
        </w:rPr>
        <w:t>was characterized by</w:t>
      </w:r>
      <w:r w:rsidRPr="00BE1E0E">
        <w:rPr>
          <w:rFonts w:cstheme="minorHAnsi"/>
        </w:rPr>
        <w:t xml:space="preserve"> a unique composition of relative importance of the </w:t>
      </w:r>
      <w:r>
        <w:rPr>
          <w:rFonts w:cstheme="minorHAnsi"/>
        </w:rPr>
        <w:t>predictor variables (MV, LAI and temporal predictors)</w:t>
      </w:r>
      <w:r w:rsidRPr="00BE1E0E">
        <w:rPr>
          <w:rFonts w:cstheme="minorHAnsi"/>
        </w:rPr>
        <w:t>, with ET</w:t>
      </w:r>
      <w:r w:rsidRPr="00BE1E0E">
        <w:rPr>
          <w:rFonts w:cstheme="minorHAnsi"/>
          <w:vertAlign w:val="subscript"/>
        </w:rPr>
        <w:t>c</w:t>
      </w:r>
      <w:r w:rsidRPr="00BE1E0E">
        <w:rPr>
          <w:rFonts w:cstheme="minorHAnsi"/>
        </w:rPr>
        <w:t xml:space="preserve"> </w:t>
      </w:r>
      <w:r>
        <w:rPr>
          <w:rFonts w:cstheme="minorHAnsi"/>
        </w:rPr>
        <w:t xml:space="preserve">variability </w:t>
      </w:r>
      <w:r w:rsidRPr="00BE1E0E">
        <w:rPr>
          <w:rFonts w:cstheme="minorHAnsi"/>
        </w:rPr>
        <w:t xml:space="preserve">being largely explained by </w:t>
      </w:r>
      <w:r>
        <w:rPr>
          <w:rFonts w:cstheme="minorHAnsi"/>
        </w:rPr>
        <w:t>the temporal</w:t>
      </w:r>
      <w:r w:rsidRPr="00BE1E0E">
        <w:rPr>
          <w:rFonts w:cstheme="minorHAnsi"/>
        </w:rPr>
        <w:t xml:space="preserve"> variables</w:t>
      </w:r>
      <w:r>
        <w:rPr>
          <w:rFonts w:cstheme="minorHAnsi"/>
        </w:rPr>
        <w:t>. All non-linear regression models produced reliable results. Adding LAI data into the regression models resulted in improved models with higher levels of predictive performance. Using time-series statistics to explore</w:t>
      </w:r>
      <w:r w:rsidRPr="00770DAA">
        <w:rPr>
          <w:rFonts w:cstheme="minorHAnsi"/>
        </w:rPr>
        <w:t xml:space="preserve"> meteorological and vegetative temporal characteristics, patterns, interrelations and relative </w:t>
      </w:r>
      <w:r>
        <w:rPr>
          <w:rFonts w:cstheme="minorHAnsi"/>
        </w:rPr>
        <w:t>influence</w:t>
      </w:r>
      <w:r w:rsidRPr="00770DAA">
        <w:rPr>
          <w:rFonts w:cstheme="minorHAnsi"/>
        </w:rPr>
        <w:t xml:space="preserve"> on </w:t>
      </w:r>
      <w:r>
        <w:rPr>
          <w:rFonts w:cstheme="minorHAnsi"/>
        </w:rPr>
        <w:t>ET</w:t>
      </w:r>
      <w:r w:rsidRPr="001C48BB">
        <w:rPr>
          <w:rFonts w:cstheme="minorHAnsi"/>
          <w:vertAlign w:val="subscript"/>
        </w:rPr>
        <w:t>c</w:t>
      </w:r>
      <w:r w:rsidRPr="00770DAA">
        <w:rPr>
          <w:rFonts w:cstheme="minorHAnsi"/>
        </w:rPr>
        <w:t xml:space="preserve"> may </w:t>
      </w:r>
      <w:r>
        <w:rPr>
          <w:rFonts w:cstheme="minorHAnsi"/>
        </w:rPr>
        <w:t>facilitate the</w:t>
      </w:r>
      <w:r w:rsidRPr="00770DAA">
        <w:rPr>
          <w:rFonts w:cstheme="minorHAnsi"/>
        </w:rPr>
        <w:t xml:space="preserve"> understanding of </w:t>
      </w:r>
      <w:r>
        <w:rPr>
          <w:rFonts w:cstheme="minorHAnsi"/>
        </w:rPr>
        <w:t>plant response to meteorological conditions and ET</w:t>
      </w:r>
      <w:r w:rsidRPr="00274AC0">
        <w:rPr>
          <w:rFonts w:cstheme="minorHAnsi"/>
          <w:vertAlign w:val="subscript"/>
        </w:rPr>
        <w:t>c</w:t>
      </w:r>
      <w:r>
        <w:rPr>
          <w:rFonts w:cstheme="minorHAnsi"/>
        </w:rPr>
        <w:t xml:space="preserve"> dynamics according to vegetative</w:t>
      </w:r>
      <w:r w:rsidRPr="00770DAA">
        <w:rPr>
          <w:rFonts w:cstheme="minorHAnsi"/>
        </w:rPr>
        <w:t xml:space="preserve"> </w:t>
      </w:r>
      <w:r>
        <w:rPr>
          <w:rFonts w:cstheme="minorHAnsi"/>
        </w:rPr>
        <w:t>development</w:t>
      </w:r>
      <w:r w:rsidR="00EA6A44">
        <w:rPr>
          <w:rFonts w:cstheme="minorHAnsi"/>
        </w:rPr>
        <w:t xml:space="preserve"> </w:t>
      </w:r>
      <w:bookmarkStart w:id="0" w:name="_GoBack"/>
      <w:bookmarkEnd w:id="0"/>
      <w:r w:rsidRPr="00770DAA">
        <w:rPr>
          <w:rFonts w:cstheme="minorHAnsi"/>
        </w:rPr>
        <w:t xml:space="preserve">and </w:t>
      </w:r>
      <w:r>
        <w:rPr>
          <w:rFonts w:cstheme="minorHAnsi"/>
        </w:rPr>
        <w:t>assist in generating</w:t>
      </w:r>
      <w:r w:rsidRPr="00770DAA">
        <w:rPr>
          <w:rFonts w:cstheme="minorHAnsi"/>
        </w:rPr>
        <w:t xml:space="preserve"> </w:t>
      </w:r>
      <w:r>
        <w:rPr>
          <w:rFonts w:cstheme="minorHAnsi"/>
        </w:rPr>
        <w:t xml:space="preserve">more precise and skilful applications of </w:t>
      </w:r>
      <w:r w:rsidRPr="00770DAA">
        <w:rPr>
          <w:rFonts w:cstheme="minorHAnsi"/>
        </w:rPr>
        <w:t>irrigation</w:t>
      </w:r>
      <w:r>
        <w:rPr>
          <w:rFonts w:cstheme="minorHAnsi"/>
        </w:rPr>
        <w:t xml:space="preserve"> methods</w:t>
      </w:r>
      <w:r w:rsidRPr="00770DAA">
        <w:rPr>
          <w:rFonts w:cstheme="minorHAnsi"/>
        </w:rPr>
        <w:t>.</w:t>
      </w:r>
    </w:p>
    <w:p w14:paraId="3DEBFED1" w14:textId="77777777" w:rsidR="00A212EB" w:rsidRPr="006D1CC4" w:rsidRDefault="00A212EB">
      <w:pPr>
        <w:rPr>
          <w:lang w:val="en-US"/>
        </w:rPr>
      </w:pPr>
    </w:p>
    <w:sectPr w:rsidR="00A212EB" w:rsidRPr="006D1CC4" w:rsidSect="0085647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C4"/>
    <w:rsid w:val="001350E9"/>
    <w:rsid w:val="006D1CC4"/>
    <w:rsid w:val="007B5861"/>
    <w:rsid w:val="0085647A"/>
    <w:rsid w:val="00A212EB"/>
    <w:rsid w:val="00EA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FFFAF"/>
  <w15:chartTrackingRefBased/>
  <w15:docId w15:val="{DD936CEB-ACCF-4C4B-9BA9-4ABBEB39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D1CC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AU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摘要集 作者邮箱"/>
    <w:basedOn w:val="Normal"/>
    <w:next w:val="Normal"/>
    <w:rsid w:val="006D1CC4"/>
    <w:pPr>
      <w:spacing w:before="120" w:after="240"/>
    </w:pPr>
    <w:rPr>
      <w:rFonts w:eastAsia="Times New Roman"/>
      <w:i/>
      <w:color w:val="000000"/>
      <w:sz w:val="22"/>
      <w:lang w:val="en-GB" w:eastAsia="en-GB"/>
    </w:rPr>
  </w:style>
  <w:style w:type="paragraph" w:customStyle="1" w:styleId="a0">
    <w:name w:val="摘要集 作者名字"/>
    <w:basedOn w:val="Normal"/>
    <w:rsid w:val="006D1CC4"/>
    <w:pPr>
      <w:spacing w:afterLines="50" w:after="120"/>
      <w:jc w:val="center"/>
    </w:pPr>
    <w:rPr>
      <w:rFonts w:eastAsia="Times New Roman" w:cs="SimSun"/>
      <w:color w:val="000000"/>
      <w:szCs w:val="20"/>
    </w:rPr>
  </w:style>
  <w:style w:type="paragraph" w:styleId="ListParagraph">
    <w:name w:val="List Paragraph"/>
    <w:basedOn w:val="Normal"/>
    <w:uiPriority w:val="34"/>
    <w:qFormat/>
    <w:rsid w:val="006D1C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499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מוריה נצר</dc:creator>
  <cp:keywords/>
  <dc:description/>
  <cp:lastModifiedBy>מוריה נצר</cp:lastModifiedBy>
  <cp:revision>6</cp:revision>
  <dcterms:created xsi:type="dcterms:W3CDTF">2020-04-10T10:19:00Z</dcterms:created>
  <dcterms:modified xsi:type="dcterms:W3CDTF">2020-04-10T10:27:00Z</dcterms:modified>
</cp:coreProperties>
</file>