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1A" w:rsidRDefault="0083761A" w:rsidP="0083761A">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Pr="0028419C">
        <w:rPr>
          <w:rFonts w:ascii="Times New Roman" w:hAnsi="Times New Roman" w:cs="Times New Roman"/>
          <w:b/>
          <w:sz w:val="28"/>
          <w:szCs w:val="28"/>
        </w:rPr>
        <w:t xml:space="preserve">ACGT Cis regulatory elements in Plant Gene </w:t>
      </w:r>
      <w:proofErr w:type="gramStart"/>
      <w:r w:rsidRPr="0028419C">
        <w:rPr>
          <w:rFonts w:ascii="Times New Roman" w:hAnsi="Times New Roman" w:cs="Times New Roman"/>
          <w:b/>
          <w:sz w:val="28"/>
          <w:szCs w:val="28"/>
        </w:rPr>
        <w:t>expression :</w:t>
      </w:r>
      <w:proofErr w:type="gramEnd"/>
      <w:r>
        <w:rPr>
          <w:rFonts w:ascii="Times New Roman" w:hAnsi="Times New Roman" w:cs="Times New Roman"/>
          <w:b/>
          <w:sz w:val="28"/>
          <w:szCs w:val="28"/>
        </w:rPr>
        <w:t xml:space="preserve"> </w:t>
      </w:r>
      <w:r w:rsidRPr="0028419C">
        <w:rPr>
          <w:rFonts w:ascii="Times New Roman" w:hAnsi="Times New Roman" w:cs="Times New Roman"/>
          <w:b/>
          <w:sz w:val="28"/>
          <w:szCs w:val="28"/>
        </w:rPr>
        <w:t>A comparative genomics perspectives</w:t>
      </w:r>
    </w:p>
    <w:p w:rsidR="0083761A" w:rsidRDefault="0083761A" w:rsidP="0083761A">
      <w:pPr>
        <w:tabs>
          <w:tab w:val="center" w:pos="4680"/>
        </w:tabs>
        <w:rPr>
          <w:rFonts w:ascii="Times New Roman" w:hAnsi="Times New Roman" w:cs="Times New Roman"/>
          <w:b/>
          <w:sz w:val="24"/>
          <w:szCs w:val="24"/>
        </w:rPr>
      </w:pPr>
      <w:r>
        <w:rPr>
          <w:rFonts w:ascii="Times New Roman" w:hAnsi="Times New Roman" w:cs="Times New Roman"/>
          <w:b/>
          <w:sz w:val="24"/>
          <w:szCs w:val="24"/>
        </w:rPr>
        <w:tab/>
      </w:r>
      <w:r w:rsidRPr="00983AD2">
        <w:rPr>
          <w:rFonts w:ascii="Times New Roman" w:hAnsi="Times New Roman" w:cs="Times New Roman"/>
          <w:b/>
          <w:sz w:val="24"/>
          <w:szCs w:val="24"/>
        </w:rPr>
        <w:t>Rajesh Mehrotra</w:t>
      </w:r>
      <w:r>
        <w:rPr>
          <w:rFonts w:ascii="Times New Roman" w:hAnsi="Times New Roman" w:cs="Times New Roman"/>
          <w:b/>
          <w:sz w:val="24"/>
          <w:szCs w:val="24"/>
          <w:vertAlign w:val="superscript"/>
        </w:rPr>
        <w:t>1</w:t>
      </w:r>
      <w:r w:rsidRPr="00983AD2">
        <w:rPr>
          <w:rFonts w:ascii="Times New Roman" w:hAnsi="Times New Roman" w:cs="Times New Roman"/>
          <w:b/>
          <w:sz w:val="24"/>
          <w:szCs w:val="24"/>
        </w:rPr>
        <w:t xml:space="preserve">, </w:t>
      </w:r>
      <w:proofErr w:type="spellStart"/>
      <w:r w:rsidRPr="00983AD2">
        <w:rPr>
          <w:rFonts w:ascii="Times New Roman" w:hAnsi="Times New Roman" w:cs="Times New Roman"/>
          <w:b/>
          <w:sz w:val="24"/>
          <w:szCs w:val="24"/>
        </w:rPr>
        <w:t>Zaiba</w:t>
      </w:r>
      <w:proofErr w:type="spellEnd"/>
      <w:r w:rsidRPr="00983AD2">
        <w:rPr>
          <w:rFonts w:ascii="Times New Roman" w:hAnsi="Times New Roman" w:cs="Times New Roman"/>
          <w:b/>
          <w:sz w:val="24"/>
          <w:szCs w:val="24"/>
        </w:rPr>
        <w:t xml:space="preserve"> Hasan Khan</w:t>
      </w:r>
      <w:r>
        <w:rPr>
          <w:rFonts w:ascii="Times New Roman" w:hAnsi="Times New Roman" w:cs="Times New Roman"/>
          <w:b/>
          <w:sz w:val="24"/>
          <w:szCs w:val="24"/>
          <w:vertAlign w:val="superscript"/>
        </w:rPr>
        <w:t>1</w:t>
      </w:r>
      <w:r w:rsidRPr="00983AD2">
        <w:rPr>
          <w:rFonts w:ascii="Times New Roman" w:hAnsi="Times New Roman" w:cs="Times New Roman"/>
          <w:b/>
          <w:sz w:val="24"/>
          <w:szCs w:val="24"/>
        </w:rPr>
        <w:t xml:space="preserve">, </w:t>
      </w:r>
      <w:r w:rsidR="00C8544D">
        <w:rPr>
          <w:rFonts w:ascii="Times New Roman" w:hAnsi="Times New Roman" w:cs="Times New Roman"/>
          <w:b/>
          <w:sz w:val="24"/>
          <w:szCs w:val="24"/>
        </w:rPr>
        <w:t xml:space="preserve">Pinky </w:t>
      </w:r>
      <w:proofErr w:type="spellStart"/>
      <w:r w:rsidR="00C8544D">
        <w:rPr>
          <w:rFonts w:ascii="Times New Roman" w:hAnsi="Times New Roman" w:cs="Times New Roman"/>
          <w:b/>
          <w:sz w:val="24"/>
          <w:szCs w:val="24"/>
        </w:rPr>
        <w:t>Dhatterwal</w:t>
      </w:r>
      <w:proofErr w:type="spellEnd"/>
      <w:r w:rsidR="00C8544D">
        <w:rPr>
          <w:rFonts w:ascii="Times New Roman" w:hAnsi="Times New Roman" w:cs="Times New Roman"/>
          <w:b/>
          <w:sz w:val="24"/>
          <w:szCs w:val="24"/>
        </w:rPr>
        <w:t xml:space="preserve">, </w:t>
      </w:r>
      <w:proofErr w:type="spellStart"/>
      <w:r w:rsidR="00C8544D">
        <w:rPr>
          <w:rFonts w:ascii="Times New Roman" w:hAnsi="Times New Roman" w:cs="Times New Roman"/>
          <w:b/>
          <w:sz w:val="24"/>
          <w:szCs w:val="24"/>
        </w:rPr>
        <w:t>Sneha</w:t>
      </w:r>
      <w:proofErr w:type="spellEnd"/>
      <w:r w:rsidR="00C8544D">
        <w:rPr>
          <w:rFonts w:ascii="Times New Roman" w:hAnsi="Times New Roman" w:cs="Times New Roman"/>
          <w:b/>
          <w:sz w:val="24"/>
          <w:szCs w:val="24"/>
        </w:rPr>
        <w:t xml:space="preserve"> </w:t>
      </w:r>
      <w:proofErr w:type="spellStart"/>
      <w:r w:rsidR="00C8544D">
        <w:rPr>
          <w:rFonts w:ascii="Times New Roman" w:hAnsi="Times New Roman" w:cs="Times New Roman"/>
          <w:b/>
          <w:sz w:val="24"/>
          <w:szCs w:val="24"/>
        </w:rPr>
        <w:t>Bhadouriya</w:t>
      </w:r>
      <w:proofErr w:type="spellEnd"/>
      <w:r>
        <w:rPr>
          <w:rFonts w:ascii="Times New Roman" w:hAnsi="Times New Roman" w:cs="Times New Roman"/>
          <w:b/>
          <w:sz w:val="24"/>
          <w:szCs w:val="24"/>
        </w:rPr>
        <w:t xml:space="preserve"> </w:t>
      </w:r>
      <w:r w:rsidRPr="00983AD2">
        <w:rPr>
          <w:rFonts w:ascii="Times New Roman" w:hAnsi="Times New Roman" w:cs="Times New Roman"/>
          <w:b/>
          <w:sz w:val="24"/>
          <w:szCs w:val="24"/>
        </w:rPr>
        <w:t>and Sandhya Mehrotra</w:t>
      </w:r>
      <w:r w:rsidRPr="007C2E8E">
        <w:rPr>
          <w:rFonts w:ascii="Times New Roman" w:hAnsi="Times New Roman" w:cs="Times New Roman"/>
          <w:b/>
          <w:sz w:val="24"/>
          <w:szCs w:val="24"/>
          <w:vertAlign w:val="superscript"/>
        </w:rPr>
        <w:t>1</w:t>
      </w:r>
    </w:p>
    <w:p w:rsidR="0083761A" w:rsidRPr="00983AD2" w:rsidRDefault="0083761A" w:rsidP="0083761A">
      <w:pPr>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Pr>
          <w:rFonts w:ascii="Times New Roman" w:hAnsi="Times New Roman" w:cs="Times New Roman"/>
          <w:b/>
          <w:sz w:val="24"/>
          <w:szCs w:val="24"/>
        </w:rPr>
        <w:t xml:space="preserve">Department of Biological Sciences, K </w:t>
      </w:r>
      <w:proofErr w:type="spellStart"/>
      <w:r>
        <w:rPr>
          <w:rFonts w:ascii="Times New Roman" w:hAnsi="Times New Roman" w:cs="Times New Roman"/>
          <w:b/>
          <w:sz w:val="24"/>
          <w:szCs w:val="24"/>
        </w:rPr>
        <w:t>K</w:t>
      </w:r>
      <w:proofErr w:type="spellEnd"/>
      <w:r>
        <w:rPr>
          <w:rFonts w:ascii="Times New Roman" w:hAnsi="Times New Roman" w:cs="Times New Roman"/>
          <w:b/>
          <w:sz w:val="24"/>
          <w:szCs w:val="24"/>
        </w:rPr>
        <w:t xml:space="preserve"> Birla Goa Campus, </w:t>
      </w:r>
      <w:proofErr w:type="spellStart"/>
      <w:r>
        <w:rPr>
          <w:rFonts w:ascii="Times New Roman" w:hAnsi="Times New Roman" w:cs="Times New Roman"/>
          <w:b/>
          <w:sz w:val="24"/>
          <w:szCs w:val="24"/>
        </w:rPr>
        <w:t>Zuari</w:t>
      </w:r>
      <w:proofErr w:type="spellEnd"/>
      <w:r>
        <w:rPr>
          <w:rFonts w:ascii="Times New Roman" w:hAnsi="Times New Roman" w:cs="Times New Roman"/>
          <w:b/>
          <w:sz w:val="24"/>
          <w:szCs w:val="24"/>
        </w:rPr>
        <w:t xml:space="preserve"> Nagar, Pin code: 403726</w:t>
      </w:r>
    </w:p>
    <w:tbl>
      <w:tblPr>
        <w:tblW w:w="0" w:type="auto"/>
        <w:tblCellSpacing w:w="0" w:type="dxa"/>
        <w:tblInd w:w="90" w:type="dxa"/>
        <w:tblCellMar>
          <w:left w:w="0" w:type="dxa"/>
          <w:right w:w="0" w:type="dxa"/>
        </w:tblCellMar>
        <w:tblLook w:val="04A0" w:firstRow="1" w:lastRow="0" w:firstColumn="1" w:lastColumn="0" w:noHBand="0" w:noVBand="1"/>
      </w:tblPr>
      <w:tblGrid>
        <w:gridCol w:w="9270"/>
      </w:tblGrid>
      <w:tr w:rsidR="0083761A" w:rsidRPr="0028419C" w:rsidTr="00E125D8">
        <w:trPr>
          <w:tblCellSpacing w:w="0" w:type="dxa"/>
        </w:trPr>
        <w:tc>
          <w:tcPr>
            <w:tcW w:w="9270" w:type="dxa"/>
            <w:vAlign w:val="center"/>
            <w:hideMark/>
          </w:tcPr>
          <w:p w:rsidR="0083761A" w:rsidRPr="007A3016" w:rsidRDefault="007A3016" w:rsidP="007A3016">
            <w:pPr>
              <w:spacing w:after="0" w:line="360" w:lineRule="auto"/>
              <w:jc w:val="both"/>
              <w:rPr>
                <w:rFonts w:ascii="Times New Roman" w:eastAsia="Times New Roman" w:hAnsi="Times New Roman" w:cs="Times New Roman"/>
                <w:sz w:val="24"/>
                <w:szCs w:val="24"/>
              </w:rPr>
            </w:pPr>
            <w:r w:rsidRPr="007A3016">
              <w:rPr>
                <w:rFonts w:ascii="Times New Roman" w:eastAsia="Times New Roman" w:hAnsi="Times New Roman" w:cs="Times New Roman"/>
                <w:color w:val="000000" w:themeColor="text1"/>
                <w:sz w:val="24"/>
                <w:szCs w:val="24"/>
                <w:highlight w:val="white"/>
              </w:rPr>
              <w:t xml:space="preserve"> </w:t>
            </w:r>
            <w:r w:rsidRPr="007A3016">
              <w:rPr>
                <w:rFonts w:ascii="Times New Roman" w:eastAsia="Times New Roman" w:hAnsi="Times New Roman" w:cs="Times New Roman"/>
                <w:i/>
                <w:color w:val="000000" w:themeColor="text1"/>
                <w:sz w:val="24"/>
                <w:szCs w:val="24"/>
              </w:rPr>
              <w:t>Cis-</w:t>
            </w:r>
            <w:r w:rsidRPr="007A3016">
              <w:rPr>
                <w:rFonts w:ascii="Times New Roman" w:eastAsia="Times New Roman" w:hAnsi="Times New Roman" w:cs="Times New Roman"/>
                <w:color w:val="000000" w:themeColor="text1"/>
                <w:sz w:val="24"/>
                <w:szCs w:val="24"/>
              </w:rPr>
              <w:t>regulatory elements are short, functional non-coding DNA sequences, clustered within the promoter region</w:t>
            </w:r>
            <w:r w:rsidRPr="007A3016">
              <w:rPr>
                <w:rFonts w:ascii="Times New Roman" w:eastAsia="Times New Roman" w:hAnsi="Times New Roman" w:cs="Times New Roman"/>
                <w:color w:val="000000" w:themeColor="text1"/>
                <w:sz w:val="24"/>
                <w:szCs w:val="24"/>
                <w:vertAlign w:val="superscript"/>
              </w:rPr>
              <w:t xml:space="preserve"> </w:t>
            </w:r>
            <w:r w:rsidRPr="007A3016">
              <w:rPr>
                <w:rFonts w:ascii="Times New Roman" w:eastAsia="Times New Roman" w:hAnsi="Times New Roman" w:cs="Times New Roman"/>
                <w:color w:val="000000" w:themeColor="text1"/>
                <w:sz w:val="24"/>
                <w:szCs w:val="24"/>
              </w:rPr>
              <w:t>of genes.</w:t>
            </w:r>
            <w:r w:rsidR="0063156F">
              <w:rPr>
                <w:rFonts w:ascii="Times New Roman" w:eastAsia="Times New Roman" w:hAnsi="Times New Roman" w:cs="Times New Roman"/>
                <w:color w:val="000000" w:themeColor="text1"/>
                <w:sz w:val="24"/>
                <w:szCs w:val="24"/>
              </w:rPr>
              <w:t xml:space="preserve"> </w:t>
            </w:r>
            <w:r w:rsidRPr="007A3016">
              <w:rPr>
                <w:rFonts w:ascii="Times New Roman" w:eastAsia="Times New Roman" w:hAnsi="Times New Roman" w:cs="Times New Roman"/>
                <w:color w:val="000000" w:themeColor="text1"/>
                <w:sz w:val="24"/>
                <w:szCs w:val="24"/>
              </w:rPr>
              <w:t xml:space="preserve">These motifs are essential in regulating the </w:t>
            </w:r>
            <w:proofErr w:type="spellStart"/>
            <w:r w:rsidRPr="007A3016">
              <w:rPr>
                <w:rFonts w:ascii="Times New Roman" w:eastAsia="Times New Roman" w:hAnsi="Times New Roman" w:cs="Times New Roman"/>
                <w:color w:val="000000" w:themeColor="text1"/>
                <w:sz w:val="24"/>
                <w:szCs w:val="24"/>
              </w:rPr>
              <w:t>spatio</w:t>
            </w:r>
            <w:proofErr w:type="spellEnd"/>
            <w:r w:rsidRPr="007A3016">
              <w:rPr>
                <w:rFonts w:ascii="Times New Roman" w:eastAsia="Times New Roman" w:hAnsi="Times New Roman" w:cs="Times New Roman"/>
                <w:color w:val="000000" w:themeColor="text1"/>
                <w:sz w:val="24"/>
                <w:szCs w:val="24"/>
              </w:rPr>
              <w:t>-temporal expression of downstream genes at the transcriptional level. By providing binding sites to the sequence specific cognate transcription factors (TFs), they lead to the activation or repress</w:t>
            </w:r>
            <w:r w:rsidR="0063156F">
              <w:rPr>
                <w:rFonts w:ascii="Times New Roman" w:eastAsia="Times New Roman" w:hAnsi="Times New Roman" w:cs="Times New Roman"/>
                <w:color w:val="000000" w:themeColor="text1"/>
                <w:sz w:val="24"/>
                <w:szCs w:val="24"/>
              </w:rPr>
              <w:t xml:space="preserve">ion of the gene. </w:t>
            </w:r>
            <w:r w:rsidRPr="007A3016">
              <w:rPr>
                <w:rFonts w:ascii="Times New Roman" w:eastAsia="Times New Roman" w:hAnsi="Times New Roman" w:cs="Times New Roman"/>
                <w:color w:val="000000" w:themeColor="text1"/>
                <w:sz w:val="24"/>
                <w:szCs w:val="24"/>
              </w:rPr>
              <w:t>The overall binding specificity of TFs to these short sequences depends upon a variety of factors including distance from the transcription start site (TSS), inter-motif distance, spacer sequence, copy number, orientation related to the gene.</w:t>
            </w:r>
            <w:r w:rsidR="0083761A" w:rsidRPr="007A3016">
              <w:rPr>
                <w:rFonts w:ascii="Times New Roman" w:eastAsia="Times New Roman" w:hAnsi="Times New Roman" w:cs="Times New Roman"/>
                <w:sz w:val="24"/>
                <w:szCs w:val="24"/>
              </w:rPr>
              <w:t xml:space="preserve"> According to PLACE database, there are 469 cis regulatory elements present in plants. The ACGT core sequence has been established as a functionally important cis element in several promoters that respond to different stimuli like light, </w:t>
            </w:r>
            <w:proofErr w:type="spellStart"/>
            <w:r w:rsidR="0083761A" w:rsidRPr="007A3016">
              <w:rPr>
                <w:rFonts w:ascii="Times New Roman" w:eastAsia="Times New Roman" w:hAnsi="Times New Roman" w:cs="Times New Roman"/>
                <w:sz w:val="24"/>
                <w:szCs w:val="24"/>
              </w:rPr>
              <w:t>anaerobiosis</w:t>
            </w:r>
            <w:proofErr w:type="spellEnd"/>
            <w:r w:rsidR="0083761A" w:rsidRPr="007A3016">
              <w:rPr>
                <w:rFonts w:ascii="Times New Roman" w:eastAsia="Times New Roman" w:hAnsi="Times New Roman" w:cs="Times New Roman"/>
                <w:sz w:val="24"/>
                <w:szCs w:val="24"/>
              </w:rPr>
              <w:t xml:space="preserve">, </w:t>
            </w:r>
            <w:proofErr w:type="spellStart"/>
            <w:r w:rsidR="0083761A" w:rsidRPr="007A3016">
              <w:rPr>
                <w:rFonts w:ascii="Times New Roman" w:eastAsia="Times New Roman" w:hAnsi="Times New Roman" w:cs="Times New Roman"/>
                <w:sz w:val="24"/>
                <w:szCs w:val="24"/>
              </w:rPr>
              <w:t>jasmonic</w:t>
            </w:r>
            <w:proofErr w:type="spellEnd"/>
            <w:r w:rsidR="0083761A" w:rsidRPr="007A3016">
              <w:rPr>
                <w:rFonts w:ascii="Times New Roman" w:eastAsia="Times New Roman" w:hAnsi="Times New Roman" w:cs="Times New Roman"/>
                <w:sz w:val="24"/>
                <w:szCs w:val="24"/>
              </w:rPr>
              <w:t xml:space="preserve"> acid and hormones such as salicylic acid, abscisic acid and auxin. It frequently regulates </w:t>
            </w:r>
            <w:hyperlink r:id="rId6" w:tgtFrame="_blank" w:history="1">
              <w:r w:rsidR="0083761A" w:rsidRPr="007A3016">
                <w:rPr>
                  <w:rFonts w:ascii="Times New Roman" w:eastAsia="Times New Roman" w:hAnsi="Times New Roman" w:cs="Times New Roman"/>
                  <w:bCs/>
                  <w:sz w:val="24"/>
                  <w:szCs w:val="24"/>
                </w:rPr>
                <w:t>gene expression</w:t>
              </w:r>
            </w:hyperlink>
            <w:r w:rsidR="0083761A" w:rsidRPr="007A3016">
              <w:rPr>
                <w:rFonts w:ascii="Times New Roman" w:eastAsia="Times New Roman" w:hAnsi="Times New Roman" w:cs="Times New Roman"/>
                <w:sz w:val="24"/>
                <w:szCs w:val="24"/>
              </w:rPr>
              <w:t xml:space="preserve"> in synergy with other cis elements (Drought Response Element, Cold Response Element, Light Response Element, </w:t>
            </w:r>
            <w:proofErr w:type="spellStart"/>
            <w:r w:rsidR="0083761A" w:rsidRPr="007A3016">
              <w:rPr>
                <w:rFonts w:ascii="Times New Roman" w:eastAsia="Times New Roman" w:hAnsi="Times New Roman" w:cs="Times New Roman"/>
                <w:sz w:val="24"/>
                <w:szCs w:val="24"/>
              </w:rPr>
              <w:t>etc</w:t>
            </w:r>
            <w:proofErr w:type="spellEnd"/>
            <w:r w:rsidR="0083761A" w:rsidRPr="007A3016">
              <w:rPr>
                <w:rFonts w:ascii="Times New Roman" w:eastAsia="Times New Roman" w:hAnsi="Times New Roman" w:cs="Times New Roman"/>
                <w:sz w:val="24"/>
                <w:szCs w:val="24"/>
              </w:rPr>
              <w:t xml:space="preserve">). Our research is aimed at understanding the </w:t>
            </w:r>
            <w:proofErr w:type="spellStart"/>
            <w:r w:rsidR="0083761A" w:rsidRPr="007A3016">
              <w:rPr>
                <w:rFonts w:ascii="Times New Roman" w:eastAsia="Times New Roman" w:hAnsi="Times New Roman" w:cs="Times New Roman"/>
                <w:sz w:val="24"/>
                <w:szCs w:val="24"/>
              </w:rPr>
              <w:t>mechanistics</w:t>
            </w:r>
            <w:proofErr w:type="spellEnd"/>
            <w:r w:rsidR="0083761A" w:rsidRPr="007A3016">
              <w:rPr>
                <w:rFonts w:ascii="Times New Roman" w:eastAsia="Times New Roman" w:hAnsi="Times New Roman" w:cs="Times New Roman"/>
                <w:sz w:val="24"/>
                <w:szCs w:val="24"/>
              </w:rPr>
              <w:t xml:space="preserve"> of transcriptional </w:t>
            </w:r>
            <w:hyperlink r:id="rId7" w:tgtFrame="_blank" w:history="1">
              <w:r w:rsidR="0083761A" w:rsidRPr="007A3016">
                <w:rPr>
                  <w:rFonts w:ascii="Times New Roman" w:eastAsia="Times New Roman" w:hAnsi="Times New Roman" w:cs="Times New Roman"/>
                  <w:bCs/>
                  <w:sz w:val="24"/>
                  <w:szCs w:val="24"/>
                </w:rPr>
                <w:t>regulation</w:t>
              </w:r>
            </w:hyperlink>
            <w:r w:rsidR="0083761A" w:rsidRPr="007A3016">
              <w:rPr>
                <w:rFonts w:ascii="Times New Roman" w:eastAsia="Times New Roman" w:hAnsi="Times New Roman" w:cs="Times New Roman"/>
                <w:sz w:val="24"/>
                <w:szCs w:val="24"/>
              </w:rPr>
              <w:t>, focusing on the role of cis regulatory modules in regulation of gene expression.</w:t>
            </w:r>
          </w:p>
        </w:tc>
      </w:tr>
      <w:tr w:rsidR="0083761A" w:rsidRPr="0028419C" w:rsidTr="00E125D8">
        <w:trPr>
          <w:tblCellSpacing w:w="0" w:type="dxa"/>
        </w:trPr>
        <w:tc>
          <w:tcPr>
            <w:tcW w:w="9270" w:type="dxa"/>
            <w:vAlign w:val="center"/>
            <w:hideMark/>
          </w:tcPr>
          <w:p w:rsidR="0083761A" w:rsidRPr="007A3016" w:rsidRDefault="0083761A" w:rsidP="00E125D8">
            <w:pPr>
              <w:spacing w:after="0" w:line="360" w:lineRule="auto"/>
              <w:jc w:val="both"/>
              <w:rPr>
                <w:rFonts w:ascii="Times New Roman" w:hAnsi="Times New Roman" w:cs="Times New Roman"/>
                <w:sz w:val="24"/>
                <w:szCs w:val="24"/>
              </w:rPr>
            </w:pPr>
            <w:r w:rsidRPr="007A3016">
              <w:rPr>
                <w:rFonts w:ascii="Times New Roman" w:eastAsia="Times New Roman" w:hAnsi="Times New Roman" w:cs="Times New Roman"/>
                <w:sz w:val="24"/>
                <w:szCs w:val="24"/>
              </w:rPr>
              <w:t xml:space="preserve">We did comparative genomic analysis of four different plant genomes </w:t>
            </w:r>
            <w:r w:rsidRPr="007A3016">
              <w:rPr>
                <w:rFonts w:ascii="Times New Roman" w:hAnsi="Times New Roman" w:cs="Times New Roman"/>
                <w:sz w:val="24"/>
                <w:szCs w:val="24"/>
              </w:rPr>
              <w:t xml:space="preserve">In this </w:t>
            </w:r>
            <w:proofErr w:type="gramStart"/>
            <w:r w:rsidRPr="007A3016">
              <w:rPr>
                <w:rFonts w:ascii="Times New Roman" w:hAnsi="Times New Roman" w:cs="Times New Roman"/>
                <w:sz w:val="24"/>
                <w:szCs w:val="24"/>
              </w:rPr>
              <w:t>study,</w:t>
            </w:r>
            <w:proofErr w:type="gramEnd"/>
            <w:r w:rsidRPr="007A3016">
              <w:rPr>
                <w:rFonts w:ascii="Times New Roman" w:hAnsi="Times New Roman" w:cs="Times New Roman"/>
                <w:sz w:val="24"/>
                <w:szCs w:val="24"/>
              </w:rPr>
              <w:t xml:space="preserve"> we used two monocotyledonous – </w:t>
            </w:r>
            <w:proofErr w:type="spellStart"/>
            <w:r w:rsidRPr="007A3016">
              <w:rPr>
                <w:rStyle w:val="Emphasis"/>
                <w:rFonts w:ascii="Times New Roman" w:hAnsi="Times New Roman" w:cs="Times New Roman"/>
                <w:sz w:val="24"/>
                <w:szCs w:val="24"/>
              </w:rPr>
              <w:t>Oryza</w:t>
            </w:r>
            <w:proofErr w:type="spellEnd"/>
            <w:r w:rsidRPr="007A3016">
              <w:rPr>
                <w:rStyle w:val="Emphasis"/>
                <w:rFonts w:ascii="Times New Roman" w:hAnsi="Times New Roman" w:cs="Times New Roman"/>
                <w:sz w:val="24"/>
                <w:szCs w:val="24"/>
              </w:rPr>
              <w:t xml:space="preserve"> sativa</w:t>
            </w:r>
            <w:r w:rsidRPr="007A3016">
              <w:rPr>
                <w:rFonts w:ascii="Times New Roman" w:hAnsi="Times New Roman" w:cs="Times New Roman"/>
                <w:sz w:val="24"/>
                <w:szCs w:val="24"/>
              </w:rPr>
              <w:t xml:space="preserve"> and </w:t>
            </w:r>
            <w:r w:rsidRPr="007A3016">
              <w:rPr>
                <w:rStyle w:val="Emphasis"/>
                <w:rFonts w:ascii="Times New Roman" w:hAnsi="Times New Roman" w:cs="Times New Roman"/>
                <w:sz w:val="24"/>
                <w:szCs w:val="24"/>
              </w:rPr>
              <w:t>Sorghum bicolor</w:t>
            </w:r>
            <w:r w:rsidRPr="007A3016">
              <w:rPr>
                <w:rFonts w:ascii="Times New Roman" w:hAnsi="Times New Roman" w:cs="Times New Roman"/>
                <w:sz w:val="24"/>
                <w:szCs w:val="24"/>
              </w:rPr>
              <w:t xml:space="preserve">, and two dicotyledonous species – </w:t>
            </w:r>
            <w:r w:rsidRPr="007A3016">
              <w:rPr>
                <w:rStyle w:val="Emphasis"/>
                <w:rFonts w:ascii="Times New Roman" w:hAnsi="Times New Roman" w:cs="Times New Roman"/>
                <w:sz w:val="24"/>
                <w:szCs w:val="24"/>
              </w:rPr>
              <w:t>Arabidopsis thaliana</w:t>
            </w:r>
            <w:r w:rsidRPr="007A3016">
              <w:rPr>
                <w:rFonts w:ascii="Times New Roman" w:hAnsi="Times New Roman" w:cs="Times New Roman"/>
                <w:sz w:val="24"/>
                <w:szCs w:val="24"/>
              </w:rPr>
              <w:t xml:space="preserve"> and </w:t>
            </w:r>
            <w:r w:rsidRPr="007A3016">
              <w:rPr>
                <w:rStyle w:val="Emphasis"/>
                <w:rFonts w:ascii="Times New Roman" w:hAnsi="Times New Roman" w:cs="Times New Roman"/>
                <w:sz w:val="24"/>
                <w:szCs w:val="24"/>
              </w:rPr>
              <w:t>Glycine max</w:t>
            </w:r>
            <w:r w:rsidRPr="007A3016">
              <w:rPr>
                <w:rFonts w:ascii="Times New Roman" w:hAnsi="Times New Roman" w:cs="Times New Roman"/>
                <w:sz w:val="24"/>
                <w:szCs w:val="24"/>
              </w:rPr>
              <w:t xml:space="preserve"> to analyze the conservation of co-occurring ACGT core elements in plant promoters with respect to spacer distance between them. Using data generated from </w:t>
            </w:r>
            <w:r w:rsidRPr="007A3016">
              <w:rPr>
                <w:rStyle w:val="Emphasis"/>
                <w:rFonts w:ascii="Times New Roman" w:hAnsi="Times New Roman" w:cs="Times New Roman"/>
                <w:sz w:val="24"/>
                <w:szCs w:val="24"/>
              </w:rPr>
              <w:t>Arabidopsis thaliana</w:t>
            </w:r>
            <w:r w:rsidRPr="007A3016">
              <w:rPr>
                <w:rFonts w:ascii="Times New Roman" w:hAnsi="Times New Roman" w:cs="Times New Roman"/>
                <w:sz w:val="24"/>
                <w:szCs w:val="24"/>
              </w:rPr>
              <w:t xml:space="preserve"> and </w:t>
            </w:r>
            <w:proofErr w:type="spellStart"/>
            <w:r w:rsidRPr="007A3016">
              <w:rPr>
                <w:rStyle w:val="Emphasis"/>
                <w:rFonts w:ascii="Times New Roman" w:hAnsi="Times New Roman" w:cs="Times New Roman"/>
                <w:sz w:val="24"/>
                <w:szCs w:val="24"/>
              </w:rPr>
              <w:t>Oryza</w:t>
            </w:r>
            <w:proofErr w:type="spellEnd"/>
            <w:r w:rsidRPr="007A3016">
              <w:rPr>
                <w:rStyle w:val="Emphasis"/>
                <w:rFonts w:ascii="Times New Roman" w:hAnsi="Times New Roman" w:cs="Times New Roman"/>
                <w:sz w:val="24"/>
                <w:szCs w:val="24"/>
              </w:rPr>
              <w:t xml:space="preserve"> sativa,</w:t>
            </w:r>
            <w:r w:rsidRPr="007A3016">
              <w:rPr>
                <w:rFonts w:ascii="Times New Roman" w:hAnsi="Times New Roman" w:cs="Times New Roman"/>
                <w:sz w:val="24"/>
                <w:szCs w:val="24"/>
              </w:rPr>
              <w:t xml:space="preserve"> we also identified conserved regions across all spacers and possible conditions regulating gene promoters with multiple ACGT </w:t>
            </w:r>
            <w:r w:rsidRPr="007A3016">
              <w:rPr>
                <w:rStyle w:val="Emphasis"/>
                <w:rFonts w:ascii="Times New Roman" w:hAnsi="Times New Roman" w:cs="Times New Roman"/>
                <w:sz w:val="24"/>
                <w:szCs w:val="24"/>
              </w:rPr>
              <w:t>cis</w:t>
            </w:r>
            <w:r w:rsidRPr="007A3016">
              <w:rPr>
                <w:rFonts w:ascii="Times New Roman" w:hAnsi="Times New Roman" w:cs="Times New Roman"/>
                <w:sz w:val="24"/>
                <w:szCs w:val="24"/>
              </w:rPr>
              <w:t>-elements</w:t>
            </w:r>
            <w:r w:rsidRPr="007A3016">
              <w:rPr>
                <w:rFonts w:ascii="Times New Roman" w:eastAsia="Times New Roman" w:hAnsi="Times New Roman" w:cs="Times New Roman"/>
                <w:sz w:val="24"/>
                <w:szCs w:val="24"/>
              </w:rPr>
              <w:t>.</w:t>
            </w:r>
            <w:r w:rsidRPr="007A3016">
              <w:rPr>
                <w:rFonts w:ascii="Times New Roman" w:hAnsi="Times New Roman" w:cs="Times New Roman"/>
                <w:sz w:val="24"/>
                <w:szCs w:val="24"/>
              </w:rPr>
              <w:t xml:space="preserve"> Our data indicated specific predominant spacer lengths between co-occurring ACGT elements, but these lengths were not universally conserved across all species under analysis. However, the frequency distribution indicated local regions of high correlation among monocots and dicots. Sequence specificity data clearly revealed a preference for G at the first and C at the terminal position of a spacer sequence, suggesting that the G-box motif is the most prevalent for the </w:t>
            </w:r>
            <w:r w:rsidRPr="007A3016">
              <w:rPr>
                <w:rFonts w:ascii="Times New Roman" w:hAnsi="Times New Roman" w:cs="Times New Roman"/>
                <w:sz w:val="24"/>
                <w:szCs w:val="24"/>
              </w:rPr>
              <w:lastRenderedPageBreak/>
              <w:t>ACGT class of promoters. Using gene expression databases, we also observed trends suggesting that co-occurring ACGT elements are responsible for gene regulation in response to exogenous stress. Data obtained in this study w</w:t>
            </w:r>
            <w:r w:rsidR="00EB398F" w:rsidRPr="007A3016">
              <w:rPr>
                <w:rFonts w:ascii="Times New Roman" w:hAnsi="Times New Roman" w:cs="Times New Roman"/>
                <w:sz w:val="24"/>
                <w:szCs w:val="24"/>
              </w:rPr>
              <w:t>ill be presented in the meeting</w:t>
            </w:r>
            <w:r w:rsidRPr="007A3016">
              <w:rPr>
                <w:rFonts w:ascii="Times New Roman" w:hAnsi="Times New Roman" w:cs="Times New Roman"/>
                <w:sz w:val="24"/>
                <w:szCs w:val="24"/>
              </w:rPr>
              <w:t>.</w:t>
            </w:r>
          </w:p>
          <w:p w:rsidR="0083761A" w:rsidRPr="007A3016" w:rsidRDefault="0083761A" w:rsidP="00E125D8">
            <w:pPr>
              <w:spacing w:after="0" w:line="360" w:lineRule="auto"/>
              <w:jc w:val="both"/>
              <w:rPr>
                <w:rFonts w:ascii="Times New Roman" w:hAnsi="Times New Roman" w:cs="Times New Roman"/>
                <w:sz w:val="24"/>
                <w:szCs w:val="24"/>
              </w:rPr>
            </w:pPr>
          </w:p>
        </w:tc>
      </w:tr>
    </w:tbl>
    <w:p w:rsidR="006B5857" w:rsidRPr="0083761A" w:rsidRDefault="0083761A" w:rsidP="0083761A">
      <w:pPr>
        <w:rPr>
          <w:rFonts w:ascii="Georgia" w:hAnsi="Georgia"/>
          <w:sz w:val="20"/>
          <w:szCs w:val="20"/>
        </w:rPr>
      </w:pPr>
      <w:r>
        <w:rPr>
          <w:rFonts w:ascii="Georgia" w:hAnsi="Georgia"/>
          <w:sz w:val="20"/>
          <w:szCs w:val="20"/>
        </w:rPr>
        <w:lastRenderedPageBreak/>
        <w:t>(</w:t>
      </w:r>
      <w:proofErr w:type="spellStart"/>
      <w:proofErr w:type="gramStart"/>
      <w:r>
        <w:rPr>
          <w:rFonts w:ascii="Georgia" w:hAnsi="Georgia"/>
          <w:sz w:val="20"/>
          <w:szCs w:val="20"/>
        </w:rPr>
        <w:t>i</w:t>
      </w:r>
      <w:proofErr w:type="spellEnd"/>
      <w:proofErr w:type="gramEnd"/>
      <w:r>
        <w:rPr>
          <w:rFonts w:ascii="Georgia" w:hAnsi="Georgia"/>
          <w:sz w:val="20"/>
          <w:szCs w:val="20"/>
        </w:rPr>
        <w:t>)</w:t>
      </w:r>
      <w:r w:rsidRPr="0083761A">
        <w:rPr>
          <w:rFonts w:ascii="Georgia" w:hAnsi="Georgia"/>
          <w:sz w:val="20"/>
          <w:szCs w:val="20"/>
        </w:rPr>
        <w:t xml:space="preserve">Rajesh </w:t>
      </w:r>
      <w:proofErr w:type="spellStart"/>
      <w:r w:rsidRPr="0083761A">
        <w:rPr>
          <w:rFonts w:ascii="Georgia" w:hAnsi="Georgia"/>
          <w:sz w:val="20"/>
          <w:szCs w:val="20"/>
        </w:rPr>
        <w:t>Mehrotra</w:t>
      </w:r>
      <w:proofErr w:type="spellEnd"/>
      <w:r w:rsidRPr="0083761A">
        <w:rPr>
          <w:rFonts w:ascii="Georgia" w:hAnsi="Georgia"/>
          <w:sz w:val="20"/>
          <w:szCs w:val="20"/>
        </w:rPr>
        <w:t xml:space="preserve">, </w:t>
      </w:r>
      <w:proofErr w:type="spellStart"/>
      <w:r w:rsidRPr="0083761A">
        <w:rPr>
          <w:rFonts w:ascii="Georgia" w:hAnsi="Georgia"/>
          <w:sz w:val="20"/>
          <w:szCs w:val="20"/>
        </w:rPr>
        <w:t>Ipshita</w:t>
      </w:r>
      <w:proofErr w:type="spellEnd"/>
      <w:r w:rsidRPr="0083761A">
        <w:rPr>
          <w:rFonts w:ascii="Georgia" w:hAnsi="Georgia"/>
          <w:sz w:val="20"/>
          <w:szCs w:val="20"/>
        </w:rPr>
        <w:t xml:space="preserve"> </w:t>
      </w:r>
      <w:proofErr w:type="spellStart"/>
      <w:r w:rsidRPr="0083761A">
        <w:rPr>
          <w:rFonts w:ascii="Georgia" w:hAnsi="Georgia"/>
          <w:sz w:val="20"/>
          <w:szCs w:val="20"/>
        </w:rPr>
        <w:t>Zutsi</w:t>
      </w:r>
      <w:proofErr w:type="spellEnd"/>
      <w:r w:rsidRPr="0083761A">
        <w:rPr>
          <w:rFonts w:ascii="Georgia" w:hAnsi="Georgia"/>
          <w:sz w:val="20"/>
          <w:szCs w:val="20"/>
        </w:rPr>
        <w:t xml:space="preserve">, </w:t>
      </w:r>
      <w:proofErr w:type="spellStart"/>
      <w:r w:rsidRPr="0083761A">
        <w:rPr>
          <w:rFonts w:ascii="Georgia" w:hAnsi="Georgia"/>
          <w:sz w:val="20"/>
          <w:szCs w:val="20"/>
        </w:rPr>
        <w:t>Sachin</w:t>
      </w:r>
      <w:proofErr w:type="spellEnd"/>
      <w:r w:rsidRPr="0083761A">
        <w:rPr>
          <w:rFonts w:ascii="Georgia" w:hAnsi="Georgia"/>
          <w:sz w:val="20"/>
          <w:szCs w:val="20"/>
        </w:rPr>
        <w:t xml:space="preserve"> </w:t>
      </w:r>
      <w:proofErr w:type="spellStart"/>
      <w:r w:rsidRPr="0083761A">
        <w:rPr>
          <w:rFonts w:ascii="Georgia" w:hAnsi="Georgia"/>
          <w:sz w:val="20"/>
          <w:szCs w:val="20"/>
        </w:rPr>
        <w:t>Sethi</w:t>
      </w:r>
      <w:proofErr w:type="spellEnd"/>
      <w:r w:rsidRPr="0083761A">
        <w:rPr>
          <w:rFonts w:ascii="Georgia" w:hAnsi="Georgia"/>
          <w:sz w:val="20"/>
          <w:szCs w:val="20"/>
        </w:rPr>
        <w:t xml:space="preserve">, </w:t>
      </w:r>
      <w:proofErr w:type="spellStart"/>
      <w:r w:rsidRPr="0083761A">
        <w:rPr>
          <w:rFonts w:ascii="Georgia" w:hAnsi="Georgia"/>
          <w:sz w:val="20"/>
          <w:szCs w:val="20"/>
        </w:rPr>
        <w:t>Purva</w:t>
      </w:r>
      <w:proofErr w:type="spellEnd"/>
      <w:r w:rsidRPr="0083761A">
        <w:rPr>
          <w:rFonts w:ascii="Georgia" w:hAnsi="Georgia"/>
          <w:sz w:val="20"/>
          <w:szCs w:val="20"/>
        </w:rPr>
        <w:t xml:space="preserve"> </w:t>
      </w:r>
      <w:proofErr w:type="spellStart"/>
      <w:r w:rsidRPr="0083761A">
        <w:rPr>
          <w:rFonts w:ascii="Georgia" w:hAnsi="Georgia"/>
          <w:sz w:val="20"/>
          <w:szCs w:val="20"/>
        </w:rPr>
        <w:t>Bhalothia</w:t>
      </w:r>
      <w:proofErr w:type="spellEnd"/>
      <w:r w:rsidRPr="0083761A">
        <w:rPr>
          <w:rFonts w:ascii="Georgia" w:hAnsi="Georgia"/>
          <w:sz w:val="20"/>
          <w:szCs w:val="20"/>
        </w:rPr>
        <w:t xml:space="preserve">, Sandhya </w:t>
      </w:r>
      <w:proofErr w:type="spellStart"/>
      <w:r w:rsidRPr="0083761A">
        <w:rPr>
          <w:rFonts w:ascii="Georgia" w:hAnsi="Georgia"/>
          <w:sz w:val="20"/>
          <w:szCs w:val="20"/>
        </w:rPr>
        <w:t>Mehrotra</w:t>
      </w:r>
      <w:proofErr w:type="spellEnd"/>
      <w:r w:rsidRPr="0083761A">
        <w:rPr>
          <w:rFonts w:ascii="Georgia" w:hAnsi="Georgia"/>
          <w:sz w:val="20"/>
          <w:szCs w:val="20"/>
        </w:rPr>
        <w:t xml:space="preserve"> (2013). Patterns and evolution of ACGT repeat cis element landscape across four plant genomes. http://www.biomedcentral.com/1471-2164/14/203/abstract. BMC Genomics, 14:203.</w:t>
      </w:r>
    </w:p>
    <w:p w:rsidR="0083761A" w:rsidRDefault="0083761A">
      <w:pPr>
        <w:rPr>
          <w:rFonts w:ascii="Georgia" w:hAnsi="Georgia"/>
          <w:sz w:val="20"/>
          <w:szCs w:val="20"/>
        </w:rPr>
      </w:pPr>
      <w:r>
        <w:rPr>
          <w:rFonts w:ascii="Georgia" w:hAnsi="Georgia"/>
          <w:sz w:val="20"/>
          <w:szCs w:val="20"/>
        </w:rPr>
        <w:t xml:space="preserve">(ii) </w:t>
      </w:r>
      <w:proofErr w:type="spellStart"/>
      <w:r>
        <w:rPr>
          <w:rFonts w:ascii="Georgia" w:hAnsi="Georgia"/>
          <w:sz w:val="20"/>
          <w:szCs w:val="20"/>
        </w:rPr>
        <w:t>Purva</w:t>
      </w:r>
      <w:proofErr w:type="spellEnd"/>
      <w:r>
        <w:rPr>
          <w:rFonts w:ascii="Georgia" w:hAnsi="Georgia"/>
          <w:sz w:val="20"/>
          <w:szCs w:val="20"/>
        </w:rPr>
        <w:t xml:space="preserve"> Bhalothia</w:t>
      </w:r>
      <w:proofErr w:type="gramStart"/>
      <w:r>
        <w:rPr>
          <w:rFonts w:ascii="Georgia" w:hAnsi="Georgia"/>
          <w:sz w:val="20"/>
          <w:szCs w:val="20"/>
        </w:rPr>
        <w:t>,1</w:t>
      </w:r>
      <w:proofErr w:type="gramEnd"/>
      <w:r>
        <w:rPr>
          <w:rFonts w:ascii="Georgia" w:hAnsi="Georgia"/>
          <w:sz w:val="20"/>
          <w:szCs w:val="20"/>
        </w:rPr>
        <w:t xml:space="preserve"> </w:t>
      </w:r>
      <w:proofErr w:type="spellStart"/>
      <w:r>
        <w:rPr>
          <w:rFonts w:ascii="Georgia" w:hAnsi="Georgia"/>
          <w:sz w:val="20"/>
          <w:szCs w:val="20"/>
        </w:rPr>
        <w:t>Chetna</w:t>
      </w:r>
      <w:proofErr w:type="spellEnd"/>
      <w:r>
        <w:rPr>
          <w:rFonts w:ascii="Georgia" w:hAnsi="Georgia"/>
          <w:sz w:val="20"/>
          <w:szCs w:val="20"/>
        </w:rPr>
        <w:t xml:space="preserve"> Sangwan,1 </w:t>
      </w:r>
      <w:proofErr w:type="spellStart"/>
      <w:r>
        <w:rPr>
          <w:rFonts w:ascii="Georgia" w:hAnsi="Georgia"/>
          <w:sz w:val="20"/>
          <w:szCs w:val="20"/>
        </w:rPr>
        <w:t>Anshu</w:t>
      </w:r>
      <w:proofErr w:type="spellEnd"/>
      <w:r>
        <w:rPr>
          <w:rFonts w:ascii="Georgia" w:hAnsi="Georgia"/>
          <w:sz w:val="20"/>
          <w:szCs w:val="20"/>
        </w:rPr>
        <w:t xml:space="preserve"> Alok,2 Sandhya Mehrotra,1 and Rajesh Mehrotra1,* PP2C-like Promoter and Its Deletion Variants Are Induced by ABA but Not by </w:t>
      </w:r>
      <w:proofErr w:type="spellStart"/>
      <w:r>
        <w:rPr>
          <w:rFonts w:ascii="Georgia" w:hAnsi="Georgia"/>
          <w:sz w:val="20"/>
          <w:szCs w:val="20"/>
        </w:rPr>
        <w:t>MeJA</w:t>
      </w:r>
      <w:proofErr w:type="spellEnd"/>
      <w:r>
        <w:rPr>
          <w:rFonts w:ascii="Georgia" w:hAnsi="Georgia"/>
          <w:sz w:val="20"/>
          <w:szCs w:val="20"/>
        </w:rPr>
        <w:t xml:space="preserve"> and SA in Arabidopsis thaliana. Front Plant Sci. 2016; 7: 547.Published online 2016 May 3. </w:t>
      </w:r>
      <w:proofErr w:type="spellStart"/>
      <w:proofErr w:type="gramStart"/>
      <w:r>
        <w:rPr>
          <w:rFonts w:ascii="Georgia" w:hAnsi="Georgia"/>
          <w:sz w:val="20"/>
          <w:szCs w:val="20"/>
        </w:rPr>
        <w:t>doi</w:t>
      </w:r>
      <w:proofErr w:type="spellEnd"/>
      <w:proofErr w:type="gramEnd"/>
      <w:r>
        <w:rPr>
          <w:rFonts w:ascii="Georgia" w:hAnsi="Georgia"/>
          <w:sz w:val="20"/>
          <w:szCs w:val="20"/>
        </w:rPr>
        <w:t>:  10.3389/fpls.2016.00547.</w:t>
      </w:r>
    </w:p>
    <w:p w:rsidR="0083761A" w:rsidRDefault="0083761A">
      <w:pPr>
        <w:rPr>
          <w:rFonts w:ascii="Georgia" w:hAnsi="Georgia"/>
          <w:sz w:val="20"/>
          <w:szCs w:val="20"/>
          <w:shd w:val="clear" w:color="auto" w:fill="FFFFFF"/>
        </w:rPr>
      </w:pPr>
      <w:r>
        <w:rPr>
          <w:rFonts w:ascii="Georgia" w:hAnsi="Georgia"/>
          <w:sz w:val="20"/>
          <w:szCs w:val="20"/>
        </w:rPr>
        <w:t xml:space="preserve">(iii) </w:t>
      </w:r>
      <w:r>
        <w:t xml:space="preserve"> </w:t>
      </w:r>
      <w:r>
        <w:rPr>
          <w:rFonts w:ascii="Georgia" w:hAnsi="Georgia"/>
          <w:sz w:val="20"/>
          <w:szCs w:val="20"/>
        </w:rPr>
        <w:t xml:space="preserve">Rajesh </w:t>
      </w:r>
      <w:proofErr w:type="spellStart"/>
      <w:r>
        <w:rPr>
          <w:rFonts w:ascii="Georgia" w:hAnsi="Georgia"/>
          <w:sz w:val="20"/>
          <w:szCs w:val="20"/>
        </w:rPr>
        <w:t>Mehrotra</w:t>
      </w:r>
      <w:proofErr w:type="spellEnd"/>
      <w:r>
        <w:rPr>
          <w:rFonts w:ascii="Georgia" w:hAnsi="Georgia"/>
          <w:sz w:val="20"/>
          <w:szCs w:val="20"/>
        </w:rPr>
        <w:t xml:space="preserve">, Kaushik </w:t>
      </w:r>
      <w:proofErr w:type="spellStart"/>
      <w:r>
        <w:rPr>
          <w:rFonts w:ascii="Georgia" w:hAnsi="Georgia"/>
          <w:sz w:val="20"/>
          <w:szCs w:val="20"/>
        </w:rPr>
        <w:t>Renganaath</w:t>
      </w:r>
      <w:proofErr w:type="spellEnd"/>
      <w:r>
        <w:rPr>
          <w:rFonts w:ascii="Georgia" w:hAnsi="Georgia"/>
          <w:sz w:val="20"/>
          <w:szCs w:val="20"/>
        </w:rPr>
        <w:t xml:space="preserve">, Harsh </w:t>
      </w:r>
      <w:proofErr w:type="spellStart"/>
      <w:r>
        <w:rPr>
          <w:rFonts w:ascii="Georgia" w:hAnsi="Georgia"/>
          <w:sz w:val="20"/>
          <w:szCs w:val="20"/>
        </w:rPr>
        <w:t>Kanodia</w:t>
      </w:r>
      <w:proofErr w:type="spellEnd"/>
      <w:r>
        <w:rPr>
          <w:rFonts w:ascii="Georgia" w:hAnsi="Georgia"/>
          <w:sz w:val="20"/>
          <w:szCs w:val="20"/>
        </w:rPr>
        <w:t xml:space="preserve">, Gary J </w:t>
      </w:r>
      <w:proofErr w:type="spellStart"/>
      <w:r>
        <w:rPr>
          <w:rFonts w:ascii="Georgia" w:hAnsi="Georgia"/>
          <w:sz w:val="20"/>
          <w:szCs w:val="20"/>
        </w:rPr>
        <w:t>Loake</w:t>
      </w:r>
      <w:proofErr w:type="spellEnd"/>
      <w:r>
        <w:rPr>
          <w:rFonts w:ascii="Georgia" w:hAnsi="Georgia"/>
          <w:sz w:val="20"/>
          <w:szCs w:val="20"/>
        </w:rPr>
        <w:t xml:space="preserve">, Sandhya </w:t>
      </w:r>
      <w:proofErr w:type="spellStart"/>
      <w:r>
        <w:rPr>
          <w:rFonts w:ascii="Georgia" w:hAnsi="Georgia"/>
          <w:sz w:val="20"/>
          <w:szCs w:val="20"/>
        </w:rPr>
        <w:t>Mehrotra</w:t>
      </w:r>
      <w:proofErr w:type="spellEnd"/>
      <w:r>
        <w:rPr>
          <w:rFonts w:ascii="Georgia" w:hAnsi="Georgia"/>
          <w:sz w:val="20"/>
          <w:szCs w:val="20"/>
        </w:rPr>
        <w:t>" </w:t>
      </w:r>
      <w:r>
        <w:rPr>
          <w:rFonts w:ascii="Georgia" w:hAnsi="Georgia"/>
          <w:sz w:val="20"/>
          <w:szCs w:val="20"/>
          <w:shd w:val="clear" w:color="auto" w:fill="FFFFFF"/>
        </w:rPr>
        <w:t xml:space="preserve">Towards combinatorial transcriptional engineering " Biotechnology Advances 2017. </w:t>
      </w:r>
      <w:proofErr w:type="gramStart"/>
      <w:r>
        <w:rPr>
          <w:rFonts w:ascii="Georgia" w:hAnsi="Georgia"/>
          <w:sz w:val="20"/>
          <w:szCs w:val="20"/>
          <w:shd w:val="clear" w:color="auto" w:fill="FFFFFF"/>
        </w:rPr>
        <w:t xml:space="preserve">( </w:t>
      </w:r>
      <w:proofErr w:type="spellStart"/>
      <w:r>
        <w:rPr>
          <w:rFonts w:ascii="Georgia" w:hAnsi="Georgia"/>
          <w:sz w:val="20"/>
          <w:szCs w:val="20"/>
          <w:shd w:val="clear" w:color="auto" w:fill="FFFFFF"/>
        </w:rPr>
        <w:t>doi</w:t>
      </w:r>
      <w:proofErr w:type="spellEnd"/>
      <w:proofErr w:type="gramEnd"/>
      <w:r>
        <w:rPr>
          <w:rFonts w:ascii="Georgia" w:hAnsi="Georgia"/>
          <w:sz w:val="20"/>
          <w:szCs w:val="20"/>
          <w:shd w:val="clear" w:color="auto" w:fill="FFFFFF"/>
        </w:rPr>
        <w:t>: 10.1016/j.biotechadv.2017.03.006)</w:t>
      </w:r>
    </w:p>
    <w:p w:rsidR="00C8544D" w:rsidRDefault="00C8544D">
      <w:pPr>
        <w:rPr>
          <w:rFonts w:ascii="Georgia" w:hAnsi="Georgia"/>
          <w:sz w:val="20"/>
          <w:szCs w:val="20"/>
          <w:shd w:val="clear" w:color="auto" w:fill="FFFFFF"/>
        </w:rPr>
      </w:pPr>
      <w:r>
        <w:rPr>
          <w:rFonts w:ascii="Georgia" w:hAnsi="Georgia"/>
          <w:sz w:val="20"/>
          <w:szCs w:val="20"/>
          <w:shd w:val="clear" w:color="auto" w:fill="FFFFFF"/>
        </w:rPr>
        <w:t xml:space="preserve">(iv) </w:t>
      </w:r>
      <w:r>
        <w:rPr>
          <w:rFonts w:ascii="Georgia" w:hAnsi="Georgia"/>
          <w:sz w:val="20"/>
          <w:szCs w:val="20"/>
        </w:rPr>
        <w:t xml:space="preserve">Rajesh </w:t>
      </w:r>
      <w:proofErr w:type="spellStart"/>
      <w:r>
        <w:rPr>
          <w:rFonts w:ascii="Georgia" w:hAnsi="Georgia"/>
          <w:sz w:val="20"/>
          <w:szCs w:val="20"/>
        </w:rPr>
        <w:t>Mehrotra</w:t>
      </w:r>
      <w:proofErr w:type="spellEnd"/>
      <w:r>
        <w:rPr>
          <w:rFonts w:ascii="Georgia" w:hAnsi="Georgia"/>
          <w:sz w:val="20"/>
          <w:szCs w:val="20"/>
        </w:rPr>
        <w:t xml:space="preserve">, Gary </w:t>
      </w:r>
      <w:proofErr w:type="spellStart"/>
      <w:r>
        <w:rPr>
          <w:rFonts w:ascii="Georgia" w:hAnsi="Georgia"/>
          <w:sz w:val="20"/>
          <w:szCs w:val="20"/>
        </w:rPr>
        <w:t>Loake</w:t>
      </w:r>
      <w:proofErr w:type="spellEnd"/>
      <w:r>
        <w:rPr>
          <w:rFonts w:ascii="Georgia" w:hAnsi="Georgia"/>
          <w:sz w:val="20"/>
          <w:szCs w:val="20"/>
        </w:rPr>
        <w:t xml:space="preserve"> and Sandhya </w:t>
      </w:r>
      <w:proofErr w:type="spellStart"/>
      <w:proofErr w:type="gramStart"/>
      <w:r>
        <w:rPr>
          <w:rFonts w:ascii="Georgia" w:hAnsi="Georgia"/>
          <w:sz w:val="20"/>
          <w:szCs w:val="20"/>
        </w:rPr>
        <w:t>Mehrotra</w:t>
      </w:r>
      <w:proofErr w:type="spellEnd"/>
      <w:r>
        <w:rPr>
          <w:rFonts w:ascii="Georgia" w:hAnsi="Georgia"/>
          <w:sz w:val="20"/>
          <w:szCs w:val="20"/>
        </w:rPr>
        <w:t xml:space="preserve"> ;</w:t>
      </w:r>
      <w:proofErr w:type="gramEnd"/>
      <w:r>
        <w:rPr>
          <w:rFonts w:ascii="Georgia" w:hAnsi="Georgia"/>
          <w:sz w:val="20"/>
          <w:szCs w:val="20"/>
        </w:rPr>
        <w:t xml:space="preserve"> Promoter Choice: Selection Vs rejection (2018) Gene reports (13) 38-41.</w:t>
      </w:r>
    </w:p>
    <w:p w:rsidR="00C8544D" w:rsidRDefault="00C8544D">
      <w:pPr>
        <w:rPr>
          <w:rFonts w:ascii="Georgia" w:hAnsi="Georgia"/>
          <w:color w:val="000000"/>
        </w:rPr>
      </w:pPr>
      <w:r>
        <w:rPr>
          <w:rFonts w:ascii="Georgia" w:hAnsi="Georgia"/>
          <w:sz w:val="20"/>
          <w:szCs w:val="20"/>
          <w:shd w:val="clear" w:color="auto" w:fill="FFFFFF"/>
        </w:rPr>
        <w:t>(</w:t>
      </w:r>
      <w:r w:rsidR="0083761A">
        <w:rPr>
          <w:rFonts w:ascii="Georgia" w:hAnsi="Georgia"/>
          <w:sz w:val="20"/>
          <w:szCs w:val="20"/>
          <w:shd w:val="clear" w:color="auto" w:fill="FFFFFF"/>
        </w:rPr>
        <w:t xml:space="preserve">v) </w:t>
      </w:r>
      <w:r w:rsidR="0083761A">
        <w:rPr>
          <w:rFonts w:ascii="Georgia" w:hAnsi="Georgia"/>
          <w:sz w:val="20"/>
          <w:szCs w:val="20"/>
        </w:rPr>
        <w:t xml:space="preserve">Pinky </w:t>
      </w:r>
      <w:proofErr w:type="spellStart"/>
      <w:r w:rsidR="0083761A">
        <w:rPr>
          <w:rFonts w:ascii="Georgia" w:hAnsi="Georgia"/>
          <w:sz w:val="20"/>
          <w:szCs w:val="20"/>
        </w:rPr>
        <w:t>Dhatterwal</w:t>
      </w:r>
      <w:proofErr w:type="gramStart"/>
      <w:r w:rsidR="0083761A">
        <w:rPr>
          <w:rFonts w:ascii="Georgia" w:hAnsi="Georgia"/>
          <w:sz w:val="20"/>
          <w:szCs w:val="20"/>
        </w:rPr>
        <w:t>,Samyadeep</w:t>
      </w:r>
      <w:proofErr w:type="spellEnd"/>
      <w:proofErr w:type="gramEnd"/>
      <w:r w:rsidR="0083761A">
        <w:rPr>
          <w:rFonts w:ascii="Georgia" w:hAnsi="Georgia"/>
          <w:sz w:val="20"/>
          <w:szCs w:val="20"/>
        </w:rPr>
        <w:t xml:space="preserve"> </w:t>
      </w:r>
      <w:proofErr w:type="spellStart"/>
      <w:r w:rsidR="0083761A">
        <w:rPr>
          <w:rFonts w:ascii="Georgia" w:hAnsi="Georgia"/>
          <w:sz w:val="20"/>
          <w:szCs w:val="20"/>
        </w:rPr>
        <w:t>Basu,Sandhya</w:t>
      </w:r>
      <w:proofErr w:type="spellEnd"/>
      <w:r w:rsidR="0083761A">
        <w:rPr>
          <w:rFonts w:ascii="Georgia" w:hAnsi="Georgia"/>
          <w:sz w:val="20"/>
          <w:szCs w:val="20"/>
        </w:rPr>
        <w:t xml:space="preserve"> </w:t>
      </w:r>
      <w:proofErr w:type="spellStart"/>
      <w:r w:rsidR="0083761A">
        <w:rPr>
          <w:rFonts w:ascii="Georgia" w:hAnsi="Georgia"/>
          <w:sz w:val="20"/>
          <w:szCs w:val="20"/>
        </w:rPr>
        <w:t>Mehrotra</w:t>
      </w:r>
      <w:proofErr w:type="spellEnd"/>
      <w:r w:rsidR="0083761A">
        <w:rPr>
          <w:rFonts w:ascii="Georgia" w:hAnsi="Georgia"/>
          <w:sz w:val="20"/>
          <w:szCs w:val="20"/>
        </w:rPr>
        <w:t xml:space="preserve"> Rajesh </w:t>
      </w:r>
      <w:proofErr w:type="spellStart"/>
      <w:r w:rsidR="0083761A">
        <w:rPr>
          <w:rFonts w:ascii="Georgia" w:hAnsi="Georgia"/>
          <w:sz w:val="20"/>
          <w:szCs w:val="20"/>
        </w:rPr>
        <w:t>Mehrtora</w:t>
      </w:r>
      <w:proofErr w:type="spellEnd"/>
      <w:r w:rsidR="0083761A">
        <w:rPr>
          <w:rFonts w:ascii="Georgia" w:hAnsi="Georgia"/>
          <w:sz w:val="20"/>
          <w:szCs w:val="20"/>
        </w:rPr>
        <w:t xml:space="preserve"> Genome wide analysis of W box element in Arabidopsis thaliana reveals TGAC motif with genes down regulated by heat and salinity (2019)</w:t>
      </w:r>
      <w:r w:rsidR="0063156F">
        <w:rPr>
          <w:rFonts w:ascii="Georgia" w:hAnsi="Georgia"/>
          <w:sz w:val="20"/>
          <w:szCs w:val="20"/>
        </w:rPr>
        <w:t xml:space="preserve"> Scientific Reports.</w:t>
      </w:r>
      <w:r w:rsidRPr="00C8544D">
        <w:rPr>
          <w:rFonts w:ascii="Georgia" w:hAnsi="Georgia"/>
          <w:color w:val="000000"/>
        </w:rPr>
        <w:t xml:space="preserve"> </w:t>
      </w:r>
    </w:p>
    <w:p w:rsidR="00C8544D" w:rsidRDefault="00C8544D">
      <w:pPr>
        <w:rPr>
          <w:rFonts w:ascii="Georgia" w:hAnsi="Georgia"/>
          <w:color w:val="000000"/>
        </w:rPr>
      </w:pPr>
      <w:r>
        <w:rPr>
          <w:rFonts w:ascii="Georgia" w:hAnsi="Georgia"/>
          <w:color w:val="000000"/>
        </w:rPr>
        <w:t>Bibliography</w:t>
      </w:r>
    </w:p>
    <w:p w:rsidR="0083761A" w:rsidRPr="00C8544D" w:rsidRDefault="00C8544D" w:rsidP="00C8544D">
      <w:pPr>
        <w:rPr>
          <w:rFonts w:ascii="Times New Roman" w:eastAsia="Times New Roman" w:hAnsi="Times New Roman" w:cs="Times New Roman"/>
          <w:sz w:val="24"/>
          <w:szCs w:val="24"/>
        </w:rPr>
      </w:pPr>
      <w:proofErr w:type="gramStart"/>
      <w:r w:rsidRPr="00C8544D">
        <w:rPr>
          <w:rFonts w:ascii="Times New Roman" w:hAnsi="Times New Roman" w:cs="Times New Roman"/>
          <w:color w:val="000000"/>
        </w:rPr>
        <w:t>I  obtained</w:t>
      </w:r>
      <w:proofErr w:type="gramEnd"/>
      <w:r w:rsidRPr="00C8544D">
        <w:rPr>
          <w:rFonts w:ascii="Times New Roman" w:hAnsi="Times New Roman" w:cs="Times New Roman"/>
          <w:color w:val="000000"/>
        </w:rPr>
        <w:t xml:space="preserve"> my PhD from Banaras Hindu University, in Biotechnology while I was working at National Botanical Research Institute, Lucknow. My doctoral dissertation was entitled “</w:t>
      </w:r>
      <w:proofErr w:type="gramStart"/>
      <w:r w:rsidRPr="00C8544D">
        <w:rPr>
          <w:rFonts w:ascii="Times New Roman" w:hAnsi="Times New Roman" w:cs="Times New Roman"/>
          <w:color w:val="000000"/>
        </w:rPr>
        <w:t>Studies  on</w:t>
      </w:r>
      <w:proofErr w:type="gramEnd"/>
      <w:r w:rsidRPr="00C8544D">
        <w:rPr>
          <w:rFonts w:ascii="Times New Roman" w:hAnsi="Times New Roman" w:cs="Times New Roman"/>
          <w:color w:val="000000"/>
        </w:rPr>
        <w:t xml:space="preserve"> interaction between</w:t>
      </w:r>
      <w:r w:rsidRPr="00C8544D">
        <w:rPr>
          <w:rFonts w:ascii="Times New Roman" w:hAnsi="Times New Roman" w:cs="Times New Roman"/>
          <w:color w:val="000000"/>
        </w:rPr>
        <w:t xml:space="preserve"> cis  acting upstream sequences in  regulation</w:t>
      </w:r>
      <w:r w:rsidRPr="00C8544D">
        <w:rPr>
          <w:rFonts w:ascii="Times New Roman" w:hAnsi="Times New Roman" w:cs="Times New Roman"/>
          <w:color w:val="000000"/>
        </w:rPr>
        <w:t xml:space="preserve">  of  gene  expression  in  plants.” Thereafter, I was a </w:t>
      </w:r>
      <w:proofErr w:type="spellStart"/>
      <w:r w:rsidRPr="00C8544D">
        <w:rPr>
          <w:rFonts w:ascii="Times New Roman" w:hAnsi="Times New Roman" w:cs="Times New Roman"/>
          <w:color w:val="000000"/>
        </w:rPr>
        <w:t>Post doctoral</w:t>
      </w:r>
      <w:proofErr w:type="spellEnd"/>
      <w:r w:rsidRPr="00C8544D">
        <w:rPr>
          <w:rFonts w:ascii="Times New Roman" w:hAnsi="Times New Roman" w:cs="Times New Roman"/>
          <w:color w:val="000000"/>
        </w:rPr>
        <w:t xml:space="preserve"> fellow in Graduate School of Bio studies, Kyoto University, Japan, Where I worked on finding the mitotic function of topoisomerase II using </w:t>
      </w:r>
      <w:proofErr w:type="spellStart"/>
      <w:r w:rsidRPr="00C8544D">
        <w:rPr>
          <w:rFonts w:ascii="Times New Roman" w:hAnsi="Times New Roman" w:cs="Times New Roman"/>
          <w:color w:val="000000"/>
        </w:rPr>
        <w:t>genetical</w:t>
      </w:r>
      <w:proofErr w:type="spellEnd"/>
      <w:r w:rsidRPr="00C8544D">
        <w:rPr>
          <w:rFonts w:ascii="Times New Roman" w:hAnsi="Times New Roman" w:cs="Times New Roman"/>
          <w:color w:val="000000"/>
        </w:rPr>
        <w:t xml:space="preserve"> tools and time lapse microscopy of living yeast cell.</w:t>
      </w:r>
      <w:r w:rsidRPr="00C8544D">
        <w:rPr>
          <w:rFonts w:hAnsi="Symbol"/>
        </w:rPr>
        <w:t xml:space="preserve"> </w:t>
      </w:r>
      <w:r>
        <w:rPr>
          <w:rFonts w:ascii="Times New Roman" w:eastAsia="Times New Roman" w:hAnsi="Symbol" w:cs="Times New Roman"/>
          <w:sz w:val="24"/>
          <w:szCs w:val="24"/>
        </w:rPr>
        <w:t xml:space="preserve">He is </w:t>
      </w:r>
      <w:r w:rsidRPr="00C8544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r</w:t>
      </w:r>
      <w:r w:rsidRPr="00C8544D">
        <w:rPr>
          <w:rFonts w:ascii="Times New Roman" w:eastAsia="Times New Roman" w:hAnsi="Times New Roman" w:cs="Times New Roman"/>
          <w:color w:val="000000"/>
          <w:sz w:val="24"/>
          <w:szCs w:val="24"/>
        </w:rPr>
        <w:t>ecepient</w:t>
      </w:r>
      <w:proofErr w:type="spellEnd"/>
      <w:r w:rsidRPr="00C8544D">
        <w:rPr>
          <w:rFonts w:ascii="Times New Roman" w:eastAsia="Times New Roman" w:hAnsi="Times New Roman" w:cs="Times New Roman"/>
          <w:color w:val="000000"/>
          <w:sz w:val="24"/>
          <w:szCs w:val="24"/>
        </w:rPr>
        <w:t xml:space="preserve"> of INSA Bilateral exchange award to visit University of Edinburgh, Scotland (2016)</w:t>
      </w:r>
      <w:r w:rsidRPr="00C854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,received </w:t>
      </w:r>
      <w:r w:rsidRPr="00C8544D">
        <w:rPr>
          <w:rFonts w:ascii="Times New Roman" w:eastAsia="Times New Roman" w:hAnsi="Times New Roman" w:cs="Times New Roman"/>
          <w:sz w:val="24"/>
          <w:szCs w:val="24"/>
        </w:rPr>
        <w:t xml:space="preserve"> </w:t>
      </w:r>
      <w:r w:rsidRPr="00C8544D">
        <w:rPr>
          <w:rFonts w:ascii="Times New Roman" w:eastAsia="Times New Roman" w:hAnsi="Times New Roman" w:cs="Times New Roman"/>
          <w:color w:val="000000"/>
          <w:sz w:val="24"/>
          <w:szCs w:val="24"/>
        </w:rPr>
        <w:t>Prestigious visiting fellowship of Okinawa Institute of Science and Technology Japan, for studying the role of topoisomerase on dividing fission yeast cell in late mitosis using ICRF-193. </w:t>
      </w:r>
      <w:r w:rsidRPr="00C854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He has been visiting scientist in Louisiana state </w:t>
      </w:r>
      <w:proofErr w:type="spellStart"/>
      <w:r>
        <w:rPr>
          <w:rFonts w:ascii="Times New Roman" w:eastAsia="Times New Roman" w:hAnsi="Times New Roman" w:cs="Times New Roman"/>
          <w:sz w:val="24"/>
          <w:szCs w:val="24"/>
        </w:rPr>
        <w:t>University</w:t>
      </w:r>
      <w:proofErr w:type="gramStart"/>
      <w:r>
        <w:rPr>
          <w:rFonts w:ascii="Times New Roman" w:eastAsia="Times New Roman" w:hAnsi="Times New Roman" w:cs="Times New Roman"/>
          <w:sz w:val="24"/>
          <w:szCs w:val="24"/>
        </w:rPr>
        <w:t>,Kyoto</w:t>
      </w:r>
      <w:proofErr w:type="spellEnd"/>
      <w:proofErr w:type="gramEnd"/>
      <w:r>
        <w:rPr>
          <w:rFonts w:ascii="Times New Roman" w:eastAsia="Times New Roman" w:hAnsi="Times New Roman" w:cs="Times New Roman"/>
          <w:sz w:val="24"/>
          <w:szCs w:val="24"/>
        </w:rPr>
        <w:t xml:space="preserve"> University and OIST ,Japan</w:t>
      </w:r>
    </w:p>
    <w:p w:rsidR="00C8544D" w:rsidRDefault="00C8544D">
      <w:pPr>
        <w:rPr>
          <w:rFonts w:ascii="Georgia" w:hAnsi="Georgia"/>
          <w:sz w:val="20"/>
          <w:szCs w:val="20"/>
        </w:rPr>
      </w:pPr>
    </w:p>
    <w:p w:rsidR="00C8544D" w:rsidRDefault="00C8544D">
      <w:pPr>
        <w:rPr>
          <w:rFonts w:ascii="Georgia" w:hAnsi="Georgia"/>
          <w:sz w:val="20"/>
          <w:szCs w:val="20"/>
        </w:rPr>
      </w:pPr>
    </w:p>
    <w:p w:rsidR="00C8544D" w:rsidRDefault="00C8544D"/>
    <w:sectPr w:rsidR="00C854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74889"/>
    <w:multiLevelType w:val="hybridMultilevel"/>
    <w:tmpl w:val="8FAE793A"/>
    <w:lvl w:ilvl="0" w:tplc="473E83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970E57"/>
    <w:multiLevelType w:val="hybridMultilevel"/>
    <w:tmpl w:val="103AE222"/>
    <w:lvl w:ilvl="0" w:tplc="E51E4C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61A"/>
    <w:rsid w:val="0063156F"/>
    <w:rsid w:val="006B5857"/>
    <w:rsid w:val="007A3016"/>
    <w:rsid w:val="0083761A"/>
    <w:rsid w:val="00C8544D"/>
    <w:rsid w:val="00EB398F"/>
    <w:rsid w:val="00F20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761A"/>
    <w:rPr>
      <w:i/>
      <w:iCs/>
    </w:rPr>
  </w:style>
  <w:style w:type="paragraph" w:styleId="ListParagraph">
    <w:name w:val="List Paragraph"/>
    <w:basedOn w:val="Normal"/>
    <w:uiPriority w:val="34"/>
    <w:qFormat/>
    <w:rsid w:val="008376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761A"/>
    <w:rPr>
      <w:i/>
      <w:iCs/>
    </w:rPr>
  </w:style>
  <w:style w:type="paragraph" w:styleId="ListParagraph">
    <w:name w:val="List Paragraph"/>
    <w:basedOn w:val="Normal"/>
    <w:uiPriority w:val="34"/>
    <w:qFormat/>
    <w:rsid w:val="00837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omicsonline.org/searchresult.php?keyword=regul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icsonline.org/searchresult.php?keyword=Gene_express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2020-01-27T09:14:00Z</dcterms:created>
  <dcterms:modified xsi:type="dcterms:W3CDTF">2020-02-17T15:10:00Z</dcterms:modified>
</cp:coreProperties>
</file>