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821" w:rsidRPr="00B870AD" w:rsidRDefault="00B870AD" w:rsidP="00B870AD">
      <w:pPr>
        <w:autoSpaceDE w:val="0"/>
        <w:autoSpaceDN w:val="0"/>
        <w:adjustRightInd w:val="0"/>
        <w:spacing w:after="0" w:line="360" w:lineRule="auto"/>
        <w:jc w:val="center"/>
        <w:rPr>
          <w:rFonts w:ascii="Verdana" w:eastAsia="Batang" w:hAnsi="Verdana" w:cs="Times New Roman"/>
          <w:b/>
        </w:rPr>
      </w:pPr>
      <w:r>
        <w:rPr>
          <w:rFonts w:ascii="Verdana" w:eastAsia="Batang" w:hAnsi="Verdana" w:cs="Times New Roman"/>
          <w:b/>
        </w:rPr>
        <w:t xml:space="preserve">Article </w:t>
      </w:r>
      <w:r w:rsidRPr="00B870AD">
        <w:rPr>
          <w:rFonts w:ascii="Verdana" w:eastAsia="Batang" w:hAnsi="Verdana" w:cs="Times New Roman"/>
          <w:b/>
        </w:rPr>
        <w:t xml:space="preserve">Title: Experimental studies on acid value reduction of </w:t>
      </w:r>
      <w:r w:rsidRPr="00B870AD">
        <w:rPr>
          <w:rFonts w:ascii="Verdana" w:eastAsia="Batang" w:hAnsi="Verdana" w:cs="Times New Roman"/>
          <w:b/>
          <w:i/>
        </w:rPr>
        <w:t>Azadirachta indica</w:t>
      </w:r>
      <w:r w:rsidRPr="00B870AD">
        <w:rPr>
          <w:rFonts w:ascii="Verdana" w:eastAsia="Batang" w:hAnsi="Verdana" w:cs="Times New Roman"/>
          <w:b/>
        </w:rPr>
        <w:t xml:space="preserve"> seeds oil and biodiesel production, a sustainable source for bioenergy industry</w:t>
      </w:r>
    </w:p>
    <w:p w:rsidR="00B870AD" w:rsidRPr="00B870AD" w:rsidRDefault="00B870AD" w:rsidP="00B870AD">
      <w:pPr>
        <w:autoSpaceDE w:val="0"/>
        <w:autoSpaceDN w:val="0"/>
        <w:adjustRightInd w:val="0"/>
        <w:spacing w:after="0" w:line="360" w:lineRule="auto"/>
        <w:jc w:val="center"/>
        <w:rPr>
          <w:rFonts w:ascii="Times New Roman" w:eastAsia="SimSun" w:hAnsi="Times New Roman" w:cs="Times New Roman"/>
          <w:i/>
          <w:color w:val="000000"/>
          <w:sz w:val="10"/>
          <w:szCs w:val="24"/>
          <w:lang w:eastAsia="zh-CN"/>
        </w:rPr>
      </w:pPr>
    </w:p>
    <w:p w:rsidR="002B1373" w:rsidRDefault="00B870AD" w:rsidP="00B870AD">
      <w:pPr>
        <w:shd w:val="solid" w:color="FFFFFF" w:fill="FFFFFF"/>
        <w:spacing w:after="0" w:line="360" w:lineRule="auto"/>
        <w:jc w:val="both"/>
      </w:pPr>
      <w:r w:rsidRPr="00B870AD">
        <w:rPr>
          <w:rFonts w:ascii="Times New Roman" w:eastAsia="Batang" w:hAnsi="Times New Roman" w:cs="Times New Roman"/>
          <w:b/>
          <w:sz w:val="24"/>
          <w:szCs w:val="24"/>
        </w:rPr>
        <w:t>Abstract:</w:t>
      </w:r>
      <w:r w:rsidRPr="00B870AD">
        <w:rPr>
          <w:rFonts w:ascii="Times New Roman" w:eastAsia="Batang" w:hAnsi="Times New Roman" w:cs="Times New Roman"/>
          <w:sz w:val="24"/>
          <w:szCs w:val="24"/>
        </w:rPr>
        <w:t xml:space="preserve"> The synthesis</w:t>
      </w:r>
      <w:bookmarkStart w:id="0" w:name="_GoBack"/>
      <w:bookmarkEnd w:id="0"/>
      <w:r w:rsidRPr="00B870AD">
        <w:rPr>
          <w:rFonts w:ascii="Times New Roman" w:eastAsia="Batang" w:hAnsi="Times New Roman" w:cs="Times New Roman"/>
          <w:sz w:val="24"/>
          <w:szCs w:val="24"/>
        </w:rPr>
        <w:t xml:space="preserve"> of biodiesel from various biomasses feedstocks is considered as a sustainable biofuel for energy in term of overcoming the flurry of environmental concerns and dependency on petro-fuel. There are many technologies being used for the production of biodiesel, but the very cheap and convenient method use for optimum biodiesel yield is esterification followed by transesterification. The clashes between fuel and food industry led for searching, selection and identification of new non-edible oil sources for the sustainable liquid biodiesel industry. </w:t>
      </w:r>
      <w:r w:rsidRPr="00B870AD">
        <w:rPr>
          <w:rFonts w:ascii="Times New Roman" w:eastAsia="Batang" w:hAnsi="Times New Roman" w:cs="Times New Roman"/>
          <w:i/>
          <w:sz w:val="24"/>
          <w:szCs w:val="24"/>
        </w:rPr>
        <w:t>Azadirachta indica</w:t>
      </w:r>
      <w:r w:rsidRPr="00B870AD">
        <w:rPr>
          <w:rFonts w:ascii="Times New Roman" w:eastAsia="Batang" w:hAnsi="Times New Roman" w:cs="Times New Roman"/>
          <w:b/>
          <w:sz w:val="24"/>
          <w:szCs w:val="24"/>
        </w:rPr>
        <w:t xml:space="preserve"> </w:t>
      </w:r>
      <w:r w:rsidRPr="00B870AD">
        <w:rPr>
          <w:rFonts w:ascii="Times New Roman" w:eastAsia="Batang" w:hAnsi="Times New Roman" w:cs="Times New Roman"/>
          <w:color w:val="000000"/>
          <w:sz w:val="24"/>
          <w:szCs w:val="24"/>
          <w:shd w:val="clear" w:color="auto" w:fill="FFFFFF"/>
        </w:rPr>
        <w:t xml:space="preserve">is a perennial tree grows up to 15-20 meters. The fruit called drupe is one seeded oblong up to 1-2 cm. The drupe is green to greenish yellow in color. Its </w:t>
      </w:r>
      <w:r w:rsidRPr="00B870AD">
        <w:rPr>
          <w:rFonts w:ascii="Times New Roman" w:eastAsia="Batang" w:hAnsi="Times New Roman" w:cs="Times New Roman"/>
          <w:sz w:val="24"/>
          <w:szCs w:val="24"/>
        </w:rPr>
        <w:t>oil is one of the easily available non-edible oils source, was undergone for biodiesel production via two-step process esterification followed by transesterification. In esterification process, the high FFAs content from 23.07% was reduced to 0.91%. Esterification was performed by using 40% (v/v) methanol with 1% (v/v) sulphuric acid (H</w:t>
      </w:r>
      <w:r w:rsidRPr="00B870AD">
        <w:rPr>
          <w:rFonts w:ascii="Times New Roman" w:eastAsia="Batang" w:hAnsi="Times New Roman" w:cs="Times New Roman"/>
          <w:sz w:val="24"/>
          <w:szCs w:val="24"/>
          <w:vertAlign w:val="subscript"/>
        </w:rPr>
        <w:t>2</w:t>
      </w:r>
      <w:r w:rsidRPr="00B870AD">
        <w:rPr>
          <w:rFonts w:ascii="Times New Roman" w:eastAsia="Batang" w:hAnsi="Times New Roman" w:cs="Times New Roman"/>
          <w:sz w:val="24"/>
          <w:szCs w:val="24"/>
        </w:rPr>
        <w:t>SO</w:t>
      </w:r>
      <w:r w:rsidRPr="00B870AD">
        <w:rPr>
          <w:rFonts w:ascii="Times New Roman" w:eastAsia="Batang" w:hAnsi="Times New Roman" w:cs="Times New Roman"/>
          <w:sz w:val="24"/>
          <w:szCs w:val="24"/>
          <w:vertAlign w:val="subscript"/>
        </w:rPr>
        <w:t>4</w:t>
      </w:r>
      <w:r w:rsidRPr="00B870AD">
        <w:rPr>
          <w:rFonts w:ascii="Times New Roman" w:eastAsia="Batang" w:hAnsi="Times New Roman" w:cs="Times New Roman"/>
          <w:sz w:val="24"/>
          <w:szCs w:val="24"/>
        </w:rPr>
        <w:t>) as an acid catalyst, temperature 5o</w:t>
      </w:r>
      <w:r w:rsidRPr="00B870AD">
        <w:rPr>
          <w:rFonts w:ascii="Times New Roman" w:eastAsia="Batang" w:hAnsi="Times New Roman" w:cs="Times New Roman"/>
          <w:sz w:val="24"/>
          <w:szCs w:val="24"/>
          <w:vertAlign w:val="superscript"/>
        </w:rPr>
        <w:t>o</w:t>
      </w:r>
      <w:r w:rsidRPr="00B870AD">
        <w:rPr>
          <w:rFonts w:ascii="Times New Roman" w:eastAsia="Batang" w:hAnsi="Times New Roman" w:cs="Times New Roman"/>
          <w:sz w:val="24"/>
          <w:szCs w:val="24"/>
        </w:rPr>
        <w:t>C and time of reaction 1 hour, respectively. The esterified oil separated after first step was subsequently treated in the second step with 6:1 methanol:oil molar ration, 2 hour reaction time, 60</w:t>
      </w:r>
      <w:r w:rsidRPr="00B870AD">
        <w:rPr>
          <w:rFonts w:ascii="Times New Roman" w:eastAsia="Batang" w:hAnsi="Times New Roman" w:cs="Times New Roman"/>
          <w:sz w:val="24"/>
          <w:szCs w:val="24"/>
          <w:vertAlign w:val="superscript"/>
        </w:rPr>
        <w:t>o</w:t>
      </w:r>
      <w:r w:rsidRPr="00B870AD">
        <w:rPr>
          <w:rFonts w:ascii="Times New Roman" w:eastAsia="Batang" w:hAnsi="Times New Roman" w:cs="Times New Roman"/>
          <w:sz w:val="24"/>
          <w:szCs w:val="24"/>
        </w:rPr>
        <w:t xml:space="preserve">C temperature and the catalyst sodium hydroxide 0.75% (W/W). The result obtained from the proposed experimentation shows optimum 89.11% as compared to the reported work in literature. </w:t>
      </w:r>
      <w:r w:rsidRPr="00B870AD">
        <w:rPr>
          <w:rFonts w:ascii="Times New Roman" w:eastAsia="Calibri" w:hAnsi="Times New Roman" w:cs="Times New Roman"/>
          <w:sz w:val="24"/>
          <w:szCs w:val="24"/>
        </w:rPr>
        <w:t>Qualitative</w:t>
      </w:r>
      <w:r w:rsidRPr="00B870AD">
        <w:rPr>
          <w:rFonts w:ascii="Times New Roman" w:eastAsia="Batang" w:hAnsi="Times New Roman" w:cs="Times New Roman"/>
          <w:sz w:val="24"/>
          <w:szCs w:val="24"/>
        </w:rPr>
        <w:t>ly, the biodiesel</w:t>
      </w:r>
      <w:r w:rsidRPr="00B870AD">
        <w:rPr>
          <w:rFonts w:ascii="Times New Roman" w:eastAsia="Calibri" w:hAnsi="Times New Roman" w:cs="Times New Roman"/>
          <w:sz w:val="24"/>
          <w:szCs w:val="24"/>
        </w:rPr>
        <w:t xml:space="preserve"> quantified </w:t>
      </w:r>
      <w:r w:rsidRPr="00B870AD">
        <w:rPr>
          <w:rFonts w:ascii="Times New Roman" w:eastAsia="Batang" w:hAnsi="Times New Roman" w:cs="Times New Roman"/>
          <w:sz w:val="24"/>
          <w:szCs w:val="24"/>
        </w:rPr>
        <w:t xml:space="preserve">and characterized </w:t>
      </w:r>
      <w:r w:rsidRPr="00B870AD">
        <w:rPr>
          <w:rFonts w:ascii="Times New Roman" w:eastAsia="Calibri" w:hAnsi="Times New Roman" w:cs="Times New Roman"/>
          <w:sz w:val="24"/>
          <w:szCs w:val="24"/>
        </w:rPr>
        <w:t xml:space="preserve">by </w:t>
      </w:r>
      <w:r w:rsidRPr="00B870AD">
        <w:rPr>
          <w:rFonts w:ascii="Times New Roman" w:eastAsia="Batang" w:hAnsi="Times New Roman" w:cs="Times New Roman"/>
          <w:sz w:val="24"/>
          <w:szCs w:val="24"/>
        </w:rPr>
        <w:t>GC</w:t>
      </w:r>
      <w:r w:rsidRPr="00B870AD">
        <w:rPr>
          <w:rFonts w:ascii="Times New Roman" w:eastAsia="Calibri" w:hAnsi="Times New Roman" w:cs="Times New Roman"/>
          <w:sz w:val="24"/>
          <w:szCs w:val="24"/>
        </w:rPr>
        <w:t>,</w:t>
      </w:r>
      <w:r w:rsidRPr="00B870AD">
        <w:rPr>
          <w:rFonts w:ascii="Times New Roman" w:eastAsia="Calibri" w:hAnsi="Times New Roman" w:cs="Times New Roman"/>
          <w:sz w:val="24"/>
          <w:szCs w:val="24"/>
          <w:vertAlign w:val="superscript"/>
        </w:rPr>
        <w:t xml:space="preserve"> 13</w:t>
      </w:r>
      <w:r w:rsidRPr="00B870AD">
        <w:rPr>
          <w:rFonts w:ascii="Times New Roman" w:eastAsia="Batang" w:hAnsi="Times New Roman" w:cs="Times New Roman"/>
          <w:sz w:val="24"/>
          <w:szCs w:val="24"/>
        </w:rPr>
        <w:t>C,</w:t>
      </w:r>
      <w:r w:rsidRPr="00B870AD">
        <w:rPr>
          <w:rFonts w:ascii="Times New Roman" w:eastAsia="Batang" w:hAnsi="Times New Roman" w:cs="Times New Roman"/>
          <w:sz w:val="24"/>
          <w:szCs w:val="24"/>
          <w:vertAlign w:val="superscript"/>
        </w:rPr>
        <w:t xml:space="preserve"> 1</w:t>
      </w:r>
      <w:r w:rsidRPr="00B870AD">
        <w:rPr>
          <w:rFonts w:ascii="Times New Roman" w:eastAsia="Batang" w:hAnsi="Times New Roman" w:cs="Times New Roman"/>
          <w:sz w:val="24"/>
          <w:szCs w:val="24"/>
        </w:rPr>
        <w:t xml:space="preserve">H NMR &amp; </w:t>
      </w:r>
      <w:r w:rsidRPr="00B870AD">
        <w:rPr>
          <w:rFonts w:ascii="Times New Roman" w:eastAsia="Calibri" w:hAnsi="Times New Roman" w:cs="Times New Roman"/>
          <w:sz w:val="24"/>
          <w:szCs w:val="24"/>
        </w:rPr>
        <w:t>FT-IR spectroscop</w:t>
      </w:r>
      <w:r w:rsidRPr="00B870AD">
        <w:rPr>
          <w:rFonts w:ascii="Times New Roman" w:eastAsia="Batang" w:hAnsi="Times New Roman" w:cs="Times New Roman"/>
          <w:sz w:val="24"/>
          <w:szCs w:val="24"/>
        </w:rPr>
        <w:t>es</w:t>
      </w:r>
      <w:r w:rsidRPr="00B870AD">
        <w:rPr>
          <w:rFonts w:ascii="Times New Roman" w:eastAsia="Calibri" w:hAnsi="Times New Roman" w:cs="Times New Roman"/>
          <w:sz w:val="24"/>
          <w:szCs w:val="24"/>
        </w:rPr>
        <w:t>. The fuel properties of biodiesel were tested and compared with ASTM D6751 and EN 14214 standards</w:t>
      </w:r>
      <w:r>
        <w:rPr>
          <w:rFonts w:ascii="Times New Roman" w:eastAsia="Batang" w:hAnsi="Times New Roman" w:cs="Times New Roman"/>
          <w:sz w:val="24"/>
          <w:szCs w:val="24"/>
        </w:rPr>
        <w:t>, accordingly.</w:t>
      </w:r>
    </w:p>
    <w:sectPr w:rsidR="002B137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25D2" w:rsidRDefault="007C25D2" w:rsidP="00B870AD">
      <w:pPr>
        <w:spacing w:after="0" w:line="240" w:lineRule="auto"/>
      </w:pPr>
      <w:r>
        <w:separator/>
      </w:r>
    </w:p>
  </w:endnote>
  <w:endnote w:type="continuationSeparator" w:id="0">
    <w:p w:rsidR="007C25D2" w:rsidRDefault="007C25D2" w:rsidP="00B87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25D2" w:rsidRDefault="007C25D2" w:rsidP="00B870AD">
      <w:pPr>
        <w:spacing w:after="0" w:line="240" w:lineRule="auto"/>
      </w:pPr>
      <w:r>
        <w:separator/>
      </w:r>
    </w:p>
  </w:footnote>
  <w:footnote w:type="continuationSeparator" w:id="0">
    <w:p w:rsidR="007C25D2" w:rsidRDefault="007C25D2" w:rsidP="00B870A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0AD"/>
    <w:rsid w:val="002B1373"/>
    <w:rsid w:val="007C25D2"/>
    <w:rsid w:val="00AF0EF7"/>
    <w:rsid w:val="00B87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C77CD8-D483-4328-AFCE-851AF36C0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70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0AD"/>
  </w:style>
  <w:style w:type="paragraph" w:styleId="Footer">
    <w:name w:val="footer"/>
    <w:basedOn w:val="Normal"/>
    <w:link w:val="FooterChar"/>
    <w:uiPriority w:val="99"/>
    <w:unhideWhenUsed/>
    <w:rsid w:val="00B870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0AD"/>
  </w:style>
  <w:style w:type="paragraph" w:styleId="NormalWeb">
    <w:name w:val="Normal (Web)"/>
    <w:basedOn w:val="Normal"/>
    <w:uiPriority w:val="99"/>
    <w:unhideWhenUsed/>
    <w:rsid w:val="00B870A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281</Words>
  <Characters>1602</Characters>
  <Application>Microsoft Office Word</Application>
  <DocSecurity>0</DocSecurity>
  <Lines>13</Lines>
  <Paragraphs>3</Paragraphs>
  <ScaleCrop>false</ScaleCrop>
  <Company/>
  <LinksUpToDate>false</LinksUpToDate>
  <CharactersWithSpaces>1880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kifayat.dawar</dc:creator>
  <cp:keywords/>
  <dc:description/>
  <cp:lastModifiedBy>kifayat.dawar</cp:lastModifiedBy>
  <cp:revision>1</cp:revision>
  <dcterms:created xsi:type="dcterms:W3CDTF">2020-01-03T13:13:00Z</dcterms:created>
  <dcterms:modified xsi:type="dcterms:W3CDTF">2020-01-03T13:15:00Z</dcterms:modified>
</cp:coreProperties>
</file>