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65" w:rsidRDefault="00772865" w:rsidP="003A22DB">
      <w:pPr>
        <w:spacing w:after="150" w:line="240" w:lineRule="auto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72865" w:rsidRDefault="00772865" w:rsidP="003A22DB">
      <w:pPr>
        <w:spacing w:after="150" w:line="240" w:lineRule="auto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72865" w:rsidRDefault="00772865" w:rsidP="003A22DB">
      <w:pPr>
        <w:spacing w:after="150" w:line="240" w:lineRule="auto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72865" w:rsidRPr="00AC31AA" w:rsidRDefault="00772865" w:rsidP="00772865">
      <w:pPr>
        <w:pStyle w:val="BodyText"/>
        <w:spacing w:line="360" w:lineRule="auto"/>
        <w:jc w:val="both"/>
        <w:rPr>
          <w:rFonts w:ascii="Times New Roman" w:eastAsia="Times New Roman" w:hAnsi="Times New Roman" w:cstheme="minorHAnsi"/>
          <w:color w:val="000000" w:themeColor="text1"/>
          <w:sz w:val="32"/>
          <w:szCs w:val="32"/>
        </w:rPr>
      </w:pPr>
      <w:r w:rsidRPr="00A277C0">
        <w:rPr>
          <w:rFonts w:ascii="Times New Roman" w:eastAsia="Times New Roman" w:hAnsi="Times New Roman" w:cstheme="minorHAnsi"/>
          <w:i/>
          <w:iCs/>
          <w:color w:val="000000" w:themeColor="text1"/>
          <w:sz w:val="32"/>
          <w:szCs w:val="32"/>
        </w:rPr>
        <w:t xml:space="preserve">Euphorbia nivulia </w:t>
      </w:r>
      <w:r>
        <w:rPr>
          <w:rFonts w:ascii="Times New Roman" w:eastAsia="Times New Roman" w:hAnsi="Times New Roman" w:cstheme="minorHAnsi"/>
          <w:color w:val="000000" w:themeColor="text1"/>
          <w:sz w:val="32"/>
          <w:szCs w:val="32"/>
        </w:rPr>
        <w:t xml:space="preserve">–Ham. </w:t>
      </w:r>
      <w:r w:rsidRPr="00A277C0">
        <w:rPr>
          <w:rFonts w:ascii="Times New Roman" w:eastAsia="Times New Roman" w:hAnsi="Times New Roman" w:cstheme="minorHAnsi"/>
          <w:color w:val="000000" w:themeColor="text1"/>
          <w:sz w:val="32"/>
          <w:szCs w:val="32"/>
        </w:rPr>
        <w:t>: A Promising Hepato</w:t>
      </w:r>
      <w:r>
        <w:rPr>
          <w:rFonts w:ascii="Times New Roman" w:eastAsia="Times New Roman" w:hAnsi="Times New Roman" w:cstheme="minorHAnsi"/>
          <w:color w:val="000000" w:themeColor="text1"/>
          <w:sz w:val="32"/>
          <w:szCs w:val="32"/>
        </w:rPr>
        <w:t xml:space="preserve">-/Nephro-protective </w:t>
      </w:r>
      <w:r w:rsidRPr="00A277C0">
        <w:rPr>
          <w:rFonts w:ascii="Times New Roman" w:eastAsia="Times New Roman" w:hAnsi="Times New Roman" w:cstheme="minorHAnsi"/>
          <w:color w:val="000000" w:themeColor="text1"/>
          <w:sz w:val="32"/>
          <w:szCs w:val="32"/>
        </w:rPr>
        <w:t>Agent in</w:t>
      </w:r>
      <w:r w:rsidRPr="00A277C0">
        <w:rPr>
          <w:rFonts w:ascii="Times New Roman" w:eastAsia="Times New Roman" w:hAnsi="Times New Roman" w:cstheme="minorHAnsi"/>
          <w:color w:val="131413"/>
          <w:w w:val="95"/>
          <w:sz w:val="32"/>
          <w:szCs w:val="32"/>
        </w:rPr>
        <w:t xml:space="preserve"> </w:t>
      </w:r>
      <w:r>
        <w:rPr>
          <w:rFonts w:ascii="Times New Roman" w:eastAsia="Times New Roman" w:hAnsi="Times New Roman" w:cstheme="minorHAnsi"/>
          <w:color w:val="131413"/>
          <w:w w:val="95"/>
          <w:sz w:val="32"/>
          <w:szCs w:val="32"/>
        </w:rPr>
        <w:t>C</w:t>
      </w:r>
      <w:r w:rsidRPr="00A277C0">
        <w:rPr>
          <w:rFonts w:ascii="Times New Roman" w:eastAsia="Times New Roman" w:hAnsi="Times New Roman" w:cstheme="minorHAnsi"/>
          <w:color w:val="131413"/>
          <w:w w:val="95"/>
          <w:sz w:val="32"/>
          <w:szCs w:val="32"/>
        </w:rPr>
        <w:t>arbon</w:t>
      </w:r>
      <w:r w:rsidRPr="00A277C0">
        <w:rPr>
          <w:rFonts w:ascii="Times New Roman" w:eastAsia="Times New Roman" w:hAnsi="Times New Roman" w:cstheme="minorHAnsi"/>
          <w:color w:val="131413"/>
          <w:spacing w:val="-60"/>
          <w:w w:val="95"/>
          <w:sz w:val="32"/>
          <w:szCs w:val="32"/>
        </w:rPr>
        <w:t xml:space="preserve"> </w:t>
      </w:r>
      <w:r>
        <w:rPr>
          <w:rFonts w:ascii="Times New Roman" w:eastAsia="Times New Roman" w:hAnsi="Times New Roman" w:cstheme="minorHAnsi"/>
          <w:color w:val="131413"/>
          <w:w w:val="95"/>
          <w:sz w:val="32"/>
          <w:szCs w:val="32"/>
        </w:rPr>
        <w:t>T</w:t>
      </w:r>
      <w:r w:rsidRPr="00A277C0">
        <w:rPr>
          <w:rFonts w:ascii="Times New Roman" w:eastAsia="Times New Roman" w:hAnsi="Times New Roman" w:cstheme="minorHAnsi"/>
          <w:color w:val="131413"/>
          <w:w w:val="95"/>
          <w:sz w:val="32"/>
          <w:szCs w:val="32"/>
        </w:rPr>
        <w:t xml:space="preserve">etrachloride </w:t>
      </w:r>
      <w:r w:rsidRPr="00A277C0">
        <w:rPr>
          <w:rFonts w:ascii="Times New Roman" w:eastAsia="Times New Roman" w:hAnsi="Times New Roman" w:cstheme="minorHAnsi"/>
          <w:w w:val="110"/>
          <w:sz w:val="32"/>
          <w:szCs w:val="32"/>
        </w:rPr>
        <w:t>induced</w:t>
      </w:r>
      <w:r w:rsidRPr="00A277C0">
        <w:rPr>
          <w:rFonts w:ascii="Times New Roman" w:eastAsia="Times New Roman" w:hAnsi="Times New Roman" w:cstheme="minorHAnsi"/>
          <w:spacing w:val="-16"/>
          <w:w w:val="110"/>
          <w:sz w:val="32"/>
          <w:szCs w:val="32"/>
        </w:rPr>
        <w:t xml:space="preserve"> </w:t>
      </w:r>
      <w:r>
        <w:rPr>
          <w:rFonts w:ascii="Times New Roman" w:eastAsia="Times New Roman" w:hAnsi="Times New Roman" w:cstheme="minorHAnsi"/>
          <w:w w:val="110"/>
          <w:sz w:val="32"/>
          <w:szCs w:val="32"/>
        </w:rPr>
        <w:t>T</w:t>
      </w:r>
      <w:r w:rsidRPr="00A277C0">
        <w:rPr>
          <w:rFonts w:ascii="Times New Roman" w:eastAsia="Times New Roman" w:hAnsi="Times New Roman" w:cstheme="minorHAnsi"/>
          <w:w w:val="110"/>
          <w:sz w:val="32"/>
          <w:szCs w:val="32"/>
        </w:rPr>
        <w:t>oxicity</w:t>
      </w:r>
      <w:r w:rsidRPr="00A277C0">
        <w:rPr>
          <w:rFonts w:ascii="Times New Roman" w:eastAsia="Times New Roman" w:hAnsi="Times New Roman" w:cstheme="minorHAnsi"/>
          <w:spacing w:val="-15"/>
          <w:w w:val="110"/>
          <w:sz w:val="32"/>
          <w:szCs w:val="32"/>
        </w:rPr>
        <w:t xml:space="preserve"> </w:t>
      </w:r>
      <w:r>
        <w:rPr>
          <w:rFonts w:ascii="Times New Roman" w:eastAsia="Times New Roman" w:hAnsi="Times New Roman" w:cstheme="minorHAnsi"/>
          <w:w w:val="110"/>
          <w:sz w:val="32"/>
          <w:szCs w:val="32"/>
        </w:rPr>
        <w:t xml:space="preserve">in Sprague </w:t>
      </w:r>
      <w:r w:rsidRPr="00A277C0">
        <w:rPr>
          <w:rFonts w:ascii="Times New Roman" w:eastAsia="Times New Roman" w:hAnsi="Times New Roman" w:cstheme="minorHAnsi"/>
          <w:w w:val="110"/>
          <w:sz w:val="32"/>
          <w:szCs w:val="32"/>
        </w:rPr>
        <w:t>Dawley</w:t>
      </w:r>
      <w:r w:rsidRPr="00A277C0">
        <w:rPr>
          <w:rFonts w:ascii="Times New Roman" w:eastAsia="Times New Roman" w:hAnsi="Times New Roman" w:cstheme="minorHAnsi"/>
          <w:spacing w:val="31"/>
          <w:w w:val="110"/>
          <w:sz w:val="32"/>
          <w:szCs w:val="32"/>
        </w:rPr>
        <w:t xml:space="preserve"> </w:t>
      </w:r>
      <w:r w:rsidRPr="00A277C0">
        <w:rPr>
          <w:rFonts w:ascii="Times New Roman" w:eastAsia="Times New Roman" w:hAnsi="Times New Roman" w:cstheme="minorHAnsi"/>
          <w:w w:val="110"/>
          <w:sz w:val="32"/>
          <w:szCs w:val="32"/>
        </w:rPr>
        <w:t>rats</w:t>
      </w:r>
    </w:p>
    <w:p w:rsidR="003A22DB" w:rsidRPr="00A277C0" w:rsidRDefault="003A22DB" w:rsidP="003A22DB">
      <w:pPr>
        <w:spacing w:after="150" w:line="240" w:lineRule="auto"/>
        <w:textAlignment w:val="baseline"/>
        <w:rPr>
          <w:rFonts w:ascii="&amp;quot" w:eastAsia="Times New Roman" w:hAnsi="&amp;quot" w:cs="Times New Roman"/>
          <w:sz w:val="21"/>
          <w:szCs w:val="21"/>
        </w:rPr>
      </w:pPr>
      <w:r w:rsidRPr="00A277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:rsidR="003A22DB" w:rsidRPr="00A277C0" w:rsidRDefault="003A22DB" w:rsidP="003A22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77C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Euphorbia nivulia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>Ham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13A6">
        <w:rPr>
          <w:rFonts w:ascii="Times New Roman" w:hAnsi="Times New Roman" w:cs="Times New Roman"/>
          <w:sz w:val="24"/>
          <w:szCs w:val="24"/>
        </w:rPr>
        <w:t xml:space="preserve"> is a medicinal plant of Cholistan Desert</w:t>
      </w:r>
      <w:r>
        <w:rPr>
          <w:rFonts w:ascii="Times New Roman" w:hAnsi="Times New Roman" w:cs="Times New Roman"/>
          <w:sz w:val="24"/>
          <w:szCs w:val="24"/>
        </w:rPr>
        <w:t>, known as Saj Thor in local language, and is</w:t>
      </w:r>
      <w:r w:rsidRPr="008A13A6">
        <w:rPr>
          <w:rFonts w:ascii="Times New Roman" w:hAnsi="Times New Roman" w:cs="Times New Roman"/>
          <w:sz w:val="24"/>
          <w:szCs w:val="24"/>
        </w:rPr>
        <w:t xml:space="preserve"> traditionally used for a number of diseases</w:t>
      </w:r>
      <w:r>
        <w:rPr>
          <w:rFonts w:ascii="Times New Roman" w:hAnsi="Times New Roman" w:cs="Times New Roman"/>
          <w:sz w:val="24"/>
          <w:szCs w:val="24"/>
        </w:rPr>
        <w:t>. The plant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>one of the member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of Euphorbiaceae family, 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enrich in phytoconstituents including flavonoids, triterpenes and polyphenolics. After performing the </w:t>
      </w:r>
      <w:r w:rsidRPr="00C325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antioxidant activity, </w:t>
      </w:r>
      <w:r w:rsidRPr="009E21D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Euphorbia nivulia </w:t>
      </w:r>
      <w:r w:rsidRPr="009E21D7">
        <w:rPr>
          <w:rFonts w:ascii="Times New Roman" w:hAnsi="Times New Roman" w:cs="Times New Roman"/>
          <w:color w:val="000000" w:themeColor="text1"/>
          <w:sz w:val="24"/>
          <w:szCs w:val="24"/>
        </w:rPr>
        <w:t>–Ham (70% hydro alcoholic)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extract of the plant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evaluated for hepato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-/nephro-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>protective effects. In this investigation we evaluated the hepato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-/nephro-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>protective potential against CCl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induced toxicity 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A277C0">
        <w:rPr>
          <w:rFonts w:ascii="Times New Roman" w:hAnsi="Times New Roman" w:cs="Times New Roman"/>
          <w:w w:val="110"/>
          <w:sz w:val="24"/>
          <w:szCs w:val="24"/>
        </w:rPr>
        <w:t>Sprague Dawley</w:t>
      </w:r>
      <w:r w:rsidRPr="00A277C0">
        <w:rPr>
          <w:rFonts w:ascii="Times New Roman" w:hAnsi="Times New Roman" w:cs="Times New Roman"/>
          <w:spacing w:val="31"/>
          <w:w w:val="110"/>
          <w:sz w:val="24"/>
          <w:szCs w:val="24"/>
        </w:rPr>
        <w:t xml:space="preserve"> </w:t>
      </w:r>
      <w:r w:rsidRPr="00A277C0">
        <w:rPr>
          <w:rFonts w:ascii="Times New Roman" w:hAnsi="Times New Roman" w:cs="Times New Roman"/>
          <w:w w:val="110"/>
          <w:sz w:val="24"/>
          <w:szCs w:val="24"/>
        </w:rPr>
        <w:t>rats.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>The hydro alcoholic extract was standardized and administered in high (300 mg/kg body weight (BW) and low (150 mg/kg BW) doses to Sprague Dawley rats, injected with CCl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(1ml/kg BW). Silymarin (50 mg/kg BW) was used as positive control. The treatments were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given thrice a week. 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>Subsequently, blood and liver homogenates were collected after four weeks of treatment, and the protective effects of the extract against ox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idative damage were evaluated. 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>Analysis of serum indicated significant (p &lt; 0.05)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rise in the level of aspartate 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transaminase (AST), alanine transaminase (ALT), alkaline phosphatase (ALP), </w:t>
      </w:r>
      <w:r w:rsidRPr="00FE0A7F">
        <w:rPr>
          <w:rFonts w:ascii="Times New Roman" w:eastAsia="Times New Roman" w:hAnsi="Times New Roman" w:cs="Times New Roman"/>
          <w:sz w:val="24"/>
          <w:szCs w:val="24"/>
        </w:rPr>
        <w:t>serum urea</w:t>
      </w:r>
      <w:r w:rsidRPr="00FE0A7F">
        <w:rPr>
          <w:rFonts w:ascii="Times New Roman" w:eastAsia="Calibri" w:hAnsi="Times New Roman" w:cs="Times New Roman"/>
          <w:sz w:val="24"/>
          <w:szCs w:val="24"/>
        </w:rPr>
        <w:t xml:space="preserve">, serum creatinine and creatinine/ albumin 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>whereas decrease was recorded for albumin in CCl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4 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treated rats. Histopathological injuries and damages were recorded in liver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kidney 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>of rat with CCl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treatment. However, co-administration of </w:t>
      </w:r>
      <w:r w:rsidRPr="004C109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EN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extract, dose dependently, ameliorated the CCl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-induced hepato-/nephro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toxicity in these parameters.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results suggested that the phyto-constituents of </w:t>
      </w:r>
      <w:r w:rsidRPr="004C109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EN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extract with known polyphenolics were able to ameliorate the oxidative stress induced with CCl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can be a useful therapeutic agent to manage oxidative stress related disorders like hepato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-/nephro-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>toxicity.</w:t>
      </w:r>
    </w:p>
    <w:p w:rsidR="003A22DB" w:rsidRPr="00866946" w:rsidRDefault="003A22DB" w:rsidP="003A22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77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A277C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Euphorbia nivulia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</w:rPr>
        <w:t>, Oxidative stress, AST, ALP, CCl</w:t>
      </w:r>
      <w:r w:rsidRPr="00A277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induced toxicity</w:t>
      </w:r>
    </w:p>
    <w:p w:rsidR="008741FC" w:rsidRDefault="008741FC"/>
    <w:sectPr w:rsidR="008741FC" w:rsidSect="00874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A22DB"/>
    <w:rsid w:val="003A22DB"/>
    <w:rsid w:val="00772865"/>
    <w:rsid w:val="00874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7728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728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 COMPUTER</dc:creator>
  <cp:keywords/>
  <dc:description/>
  <cp:lastModifiedBy>A A COMPUTER</cp:lastModifiedBy>
  <cp:revision>3</cp:revision>
  <dcterms:created xsi:type="dcterms:W3CDTF">2020-02-04T17:27:00Z</dcterms:created>
  <dcterms:modified xsi:type="dcterms:W3CDTF">2020-02-04T17:29:00Z</dcterms:modified>
</cp:coreProperties>
</file>