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9226" w14:textId="42CE7D24" w:rsidR="00CD5183" w:rsidRDefault="00CD5183" w:rsidP="00CD518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D5183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ATTENUATING EFFECT OF COUMARIN-2-AMINOTHIAZOLE AGAINST PARAQUAT INDUCED TOXICITY IN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RATS</w:t>
      </w:r>
    </w:p>
    <w:p w14:paraId="06A3A227" w14:textId="4E905E00" w:rsidR="00CD5183" w:rsidRDefault="00CD5183" w:rsidP="00CD518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37309CF" w14:textId="7CDFD7BF" w:rsidR="00CD5183" w:rsidRPr="00CD5183" w:rsidRDefault="00CD5183" w:rsidP="00CD518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D5183">
        <w:rPr>
          <w:rFonts w:ascii="Times New Roman" w:hAnsi="Times New Roman" w:cs="Times New Roman"/>
          <w:sz w:val="20"/>
          <w:szCs w:val="20"/>
          <w:lang w:val="en-US"/>
        </w:rPr>
        <w:t>Saman Shahbaz</w:t>
      </w:r>
      <w:r w:rsidRPr="00CD518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CD5183">
        <w:rPr>
          <w:rFonts w:ascii="Times New Roman" w:hAnsi="Times New Roman" w:cs="Times New Roman"/>
          <w:sz w:val="20"/>
          <w:szCs w:val="20"/>
          <w:lang w:val="en-US"/>
        </w:rPr>
        <w:t>, Ali Sharif</w:t>
      </w:r>
      <w:r w:rsidRPr="00CD518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*</w:t>
      </w:r>
      <w:r w:rsidRPr="00CD5183">
        <w:rPr>
          <w:rFonts w:ascii="Times New Roman" w:hAnsi="Times New Roman" w:cs="Times New Roman"/>
          <w:sz w:val="20"/>
          <w:szCs w:val="20"/>
          <w:lang w:val="en-US"/>
        </w:rPr>
        <w:t>, Bushra Akhtar</w:t>
      </w:r>
      <w:r w:rsidRPr="00CD518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</w:t>
      </w:r>
      <w:r w:rsidRPr="00CD5183">
        <w:rPr>
          <w:rFonts w:ascii="Times New Roman" w:hAnsi="Times New Roman" w:cs="Times New Roman"/>
          <w:sz w:val="20"/>
          <w:szCs w:val="20"/>
          <w:lang w:val="en-US"/>
        </w:rPr>
        <w:t>, Adeel Arshad</w:t>
      </w:r>
      <w:r w:rsidRPr="00CD5183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</w:t>
      </w:r>
    </w:p>
    <w:p w14:paraId="79A6F679" w14:textId="69B5C004" w:rsidR="00CD5183" w:rsidRPr="00CD5183" w:rsidRDefault="00CD5183" w:rsidP="00CD518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7C945BE6" w14:textId="47995B3D" w:rsidR="00CD5183" w:rsidRPr="00CD5183" w:rsidRDefault="00CD5183" w:rsidP="00CD518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D5183">
        <w:rPr>
          <w:rFonts w:ascii="Times New Roman" w:hAnsi="Times New Roman" w:cs="Times New Roman"/>
          <w:sz w:val="20"/>
          <w:szCs w:val="20"/>
          <w:lang w:val="en-US"/>
        </w:rPr>
        <w:t xml:space="preserve">1 Department of Pharmacology,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Institute of Pharmacy, </w:t>
      </w:r>
      <w:r w:rsidRPr="00CD5183">
        <w:rPr>
          <w:rFonts w:ascii="Times New Roman" w:hAnsi="Times New Roman" w:cs="Times New Roman"/>
          <w:sz w:val="20"/>
          <w:szCs w:val="20"/>
          <w:lang w:val="en-US"/>
        </w:rPr>
        <w:t>Lahore College for Women University Lahore</w:t>
      </w:r>
    </w:p>
    <w:p w14:paraId="3BE0E50E" w14:textId="05AC3EDC" w:rsidR="00CD5183" w:rsidRPr="00CD5183" w:rsidRDefault="00CD5183" w:rsidP="00CD518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D5183">
        <w:rPr>
          <w:rFonts w:ascii="Times New Roman" w:hAnsi="Times New Roman" w:cs="Times New Roman"/>
          <w:sz w:val="20"/>
          <w:szCs w:val="20"/>
          <w:lang w:val="en-US"/>
        </w:rPr>
        <w:t>2 Department of Pharmacy, University of Agriculture Faisalabad.</w:t>
      </w:r>
    </w:p>
    <w:p w14:paraId="0D07259A" w14:textId="6DB2BBE9" w:rsidR="00CD5183" w:rsidRPr="00CD5183" w:rsidRDefault="00CD5183" w:rsidP="00CD518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D5183">
        <w:rPr>
          <w:rFonts w:ascii="Times New Roman" w:hAnsi="Times New Roman" w:cs="Times New Roman"/>
          <w:sz w:val="20"/>
          <w:szCs w:val="20"/>
          <w:lang w:val="en-US"/>
        </w:rPr>
        <w:t>3 Department of Pharmaceutical Chemistry,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Institute of Pharmacy,</w:t>
      </w:r>
      <w:r w:rsidRPr="00CD5183">
        <w:rPr>
          <w:rFonts w:ascii="Times New Roman" w:hAnsi="Times New Roman" w:cs="Times New Roman"/>
          <w:sz w:val="20"/>
          <w:szCs w:val="20"/>
          <w:lang w:val="en-US"/>
        </w:rPr>
        <w:t xml:space="preserve"> Lahore College for Women University Lahore</w:t>
      </w:r>
    </w:p>
    <w:p w14:paraId="5CF1BEED" w14:textId="77777777" w:rsidR="00CD5183" w:rsidRDefault="00CD5183" w:rsidP="00CD518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A1E5140" w14:textId="77777777" w:rsidR="00CD5183" w:rsidRPr="00CD5183" w:rsidRDefault="00CD5183" w:rsidP="00CD5183">
      <w:pPr>
        <w:rPr>
          <w:rFonts w:ascii="Times New Roman" w:hAnsi="Times New Roman" w:cs="Times New Roman"/>
          <w:sz w:val="20"/>
          <w:szCs w:val="20"/>
        </w:rPr>
      </w:pPr>
    </w:p>
    <w:p w14:paraId="675024BE" w14:textId="2D268B37" w:rsidR="009E457C" w:rsidRPr="00863872" w:rsidRDefault="009E457C">
      <w:pPr>
        <w:rPr>
          <w:rFonts w:ascii="Times New Roman" w:hAnsi="Times New Roman" w:cs="Times New Roman"/>
          <w:sz w:val="20"/>
          <w:szCs w:val="20"/>
        </w:rPr>
      </w:pPr>
    </w:p>
    <w:p w14:paraId="6A919BF9" w14:textId="43CCF68D" w:rsidR="00D35A21" w:rsidRPr="00863872" w:rsidRDefault="00D35A21" w:rsidP="00D35A21">
      <w:pPr>
        <w:spacing w:after="160"/>
        <w:jc w:val="both"/>
        <w:rPr>
          <w:rFonts w:ascii="Times New Roman" w:hAnsi="Times New Roman" w:cs="Times New Roman"/>
          <w:sz w:val="20"/>
          <w:szCs w:val="20"/>
        </w:rPr>
      </w:pPr>
      <w:r w:rsidRPr="008638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 w:eastAsia="en-GB"/>
        </w:rPr>
        <w:t>Background:</w:t>
      </w:r>
      <w:r w:rsidRPr="0086387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4AF093F" w14:textId="0B79F83F" w:rsidR="00D35A21" w:rsidRPr="00863872" w:rsidRDefault="00D35A21" w:rsidP="00D35A21">
      <w:pPr>
        <w:spacing w:after="16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863872">
        <w:rPr>
          <w:rFonts w:ascii="Times New Roman" w:hAnsi="Times New Roman" w:cs="Times New Roman"/>
          <w:sz w:val="20"/>
          <w:szCs w:val="20"/>
          <w:lang w:val="en-US"/>
        </w:rPr>
        <w:t>Several herbicides, especially paraquat, are persistent organic pollutants which cause damage to humans and animals through reactive oxygen and nitrogen species. Coumarins are fused benzene and pyrone ring systems with a wide spectrum of bioactivities. The objective of the current investigation was to assess the preventive effect of coumarin-2-aminothiazole</w:t>
      </w:r>
      <w:r w:rsidR="007B24B9" w:rsidRPr="00863872">
        <w:rPr>
          <w:rFonts w:ascii="Times New Roman" w:hAnsi="Times New Roman" w:cs="Times New Roman"/>
          <w:sz w:val="20"/>
          <w:szCs w:val="20"/>
          <w:lang w:val="en-US"/>
        </w:rPr>
        <w:t xml:space="preserve"> (C2A)</w:t>
      </w:r>
      <w:r w:rsidRPr="00863872">
        <w:rPr>
          <w:rFonts w:ascii="Times New Roman" w:hAnsi="Times New Roman" w:cs="Times New Roman"/>
          <w:sz w:val="20"/>
          <w:szCs w:val="20"/>
          <w:lang w:val="en-US"/>
        </w:rPr>
        <w:t xml:space="preserve"> in a rat model of paraquat-induced toxicity. </w:t>
      </w:r>
    </w:p>
    <w:p w14:paraId="20C8936D" w14:textId="5F730277" w:rsidR="00D35A21" w:rsidRPr="00863872" w:rsidRDefault="00D35A21" w:rsidP="00D35A21">
      <w:pPr>
        <w:spacing w:after="1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</w:pPr>
      <w:r w:rsidRPr="00863872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val="en-US" w:eastAsia="en-GB"/>
        </w:rPr>
        <w:t>Methodology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: 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Acute oral toxicity was conducted according to the OECD guidelines 425 (limit test). </w:t>
      </w:r>
      <w:r w:rsidR="00B520D1" w:rsidRPr="00D7069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shd w:val="clear" w:color="auto" w:fill="FFFFFF"/>
          <w:lang w:val="en-US" w:eastAsia="en-GB"/>
        </w:rPr>
        <w:t>In-vitro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anti-oxidant activity was evaluated by DPPH assay.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Male rats were divided into 6 groups (n=5)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. 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Paraquat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vertAlign w:val="subscript"/>
          <w:lang w:val="en-US" w:eastAsia="en-GB"/>
        </w:rPr>
        <w:t xml:space="preserve"> (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>10 mg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/kg BW</w:t>
      </w:r>
      <w:r w:rsidR="00D7069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i.p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) 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was administered to all groups except normal control 2 h prior to the stranded drug and treatment administration.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Normal and 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disease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control rats receive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d normal saline whereas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treatment groups receive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d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>10,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>20 and 30 mg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/kg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C2A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for 2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1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days.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Levodopa/carbidopa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(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7 mg/kg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) was used as standard therapy.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>Behavioural tests (</w:t>
      </w:r>
      <w:r w:rsidR="003119D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elevated plus maze</w:t>
      </w:r>
      <w:r w:rsidR="001D7A2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>,</w:t>
      </w:r>
      <w:r w:rsidR="001D7A2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</w:t>
      </w:r>
      <w:r w:rsidR="003119D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l</w:t>
      </w:r>
      <w:r w:rsidR="001D7A2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ight/dark box</w:t>
      </w:r>
      <w:r w:rsidR="003119D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,</w:t>
      </w:r>
      <w:r w:rsidR="001D7A2A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</w:t>
      </w:r>
      <w:proofErr w:type="spellStart"/>
      <w:r w:rsidR="003119D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morris</w:t>
      </w:r>
      <w:proofErr w:type="spellEnd"/>
      <w:r w:rsidR="003119D3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water maze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>) w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ere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performed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at 7-day interval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during whole study period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.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T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>he rats w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ere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 euthanized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at day 2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1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en-GB"/>
        </w:rPr>
        <w:t xml:space="preserve">. 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Analysis included enzyme linked immunosorbent assay (ELISA) for measuring levels of inflammatory markers (IL-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1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b, IL-6 and TNFα)</w:t>
      </w:r>
      <w:r w:rsidR="00D7069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.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</w:t>
      </w:r>
      <w:r w:rsidR="00D7069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A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ssays for oxidative stress superoxide dismutase activity (SOD), catalase (CAT), </w:t>
      </w:r>
      <w:r w:rsidR="001D7A2A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reduced</w:t>
      </w:r>
      <w:r w:rsidR="00CE7963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glutathione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(G</w:t>
      </w:r>
      <w:r w:rsidR="00016304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SH</w:t>
      </w:r>
      <w:r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), malondialdehyde (MDA</w:t>
      </w:r>
      <w:r w:rsidR="00C01905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)</w:t>
      </w:r>
      <w:r w:rsidR="00016304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and nitric oxide (NO)</w:t>
      </w:r>
      <w:r w:rsidR="00D7069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were also accessed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. </w:t>
      </w:r>
      <w:r w:rsidR="00016304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Neurotransmitters</w:t>
      </w:r>
      <w:r w:rsidR="00D7069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,</w:t>
      </w:r>
      <w:r w:rsidR="00016304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 </w:t>
      </w:r>
      <w:r w:rsidR="00016304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Dopamine (DA) and noradrenaline (NA) levels were </w:t>
      </w:r>
      <w:r w:rsidR="00D70698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measured</w:t>
      </w:r>
      <w:r w:rsidR="00016304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. 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Computer-aided molecular modeling was used to examine the conformational relationship between the C2A and </w:t>
      </w:r>
      <w:r w:rsidR="00D70698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>toll like receptor 4 (TLR4)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val="en-US" w:eastAsia="en-GB"/>
        </w:rPr>
        <w:t xml:space="preserve">. </w:t>
      </w:r>
    </w:p>
    <w:p w14:paraId="59D13086" w14:textId="0415D4AE" w:rsidR="00B520D1" w:rsidRPr="00D70698" w:rsidRDefault="00D35A21" w:rsidP="00D35A21">
      <w:pPr>
        <w:spacing w:after="240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GB"/>
        </w:rPr>
      </w:pPr>
      <w:r w:rsidRPr="008638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GB"/>
        </w:rPr>
        <w:t xml:space="preserve">Results: </w:t>
      </w:r>
      <w:r w:rsidR="00B520D1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C2A revealed no toxicity up to the dose of 2000 mg/kg. 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C2A </w:t>
      </w:r>
      <w:r w:rsidR="00D22F86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exhibited potent 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anti-oxidant activity with </w:t>
      </w:r>
      <w:r w:rsidR="00D22F86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an 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IC 50 of </w:t>
      </w:r>
      <w:r w:rsidR="00016304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(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>82.6</w:t>
      </w:r>
      <w:r w:rsidR="00D22F86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µg/mL</w:t>
      </w:r>
      <w:r w:rsidR="00016304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22F86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as compared to 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standard ascorbic </w:t>
      </w:r>
      <w:r w:rsidR="00D22F86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acid (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37.50 </w:t>
      </w:r>
      <w:r w:rsidR="00D22F86" w:rsidRPr="0086387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µ</w:t>
      </w:r>
      <w:r w:rsidR="00B520D1" w:rsidRPr="00863872"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  <w:t>g/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>mL</w:t>
      </w:r>
      <w:r w:rsidR="00D22F86" w:rsidRPr="00863872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)</w:t>
      </w:r>
      <w:r w:rsidR="00B520D1" w:rsidRPr="00863872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="00D22F86" w:rsidRPr="00863872">
        <w:rPr>
          <w:rFonts w:ascii="Times New Roman" w:hAnsi="Times New Roman" w:cs="Times New Roman"/>
          <w:sz w:val="20"/>
          <w:szCs w:val="20"/>
          <w:lang w:val="en-US"/>
        </w:rPr>
        <w:t>C2A</w:t>
      </w:r>
      <w:r w:rsidR="00B520D1" w:rsidRPr="00863872">
        <w:rPr>
          <w:rFonts w:ascii="Times New Roman" w:hAnsi="Times New Roman" w:cs="Times New Roman"/>
          <w:sz w:val="20"/>
          <w:szCs w:val="20"/>
        </w:rPr>
        <w:t xml:space="preserve"> treated groups significantly increased (</w:t>
      </w:r>
      <w:r w:rsidR="00B520D1" w:rsidRPr="00863872">
        <w:rPr>
          <w:rFonts w:ascii="Times New Roman" w:hAnsi="Times New Roman" w:cs="Times New Roman"/>
          <w:i/>
          <w:iCs/>
          <w:sz w:val="20"/>
          <w:szCs w:val="20"/>
        </w:rPr>
        <w:t>p&lt;0.05</w:t>
      </w:r>
      <w:r w:rsidR="00B520D1" w:rsidRPr="00863872">
        <w:rPr>
          <w:rFonts w:ascii="Times New Roman" w:hAnsi="Times New Roman" w:cs="Times New Roman"/>
          <w:sz w:val="20"/>
          <w:szCs w:val="20"/>
        </w:rPr>
        <w:t xml:space="preserve">) time spent in open arms </w:t>
      </w:r>
      <w:r w:rsidR="00B520D1" w:rsidRPr="00863872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 w:rsidR="00B520D1" w:rsidRPr="00863872">
        <w:rPr>
          <w:rFonts w:ascii="Times New Roman" w:hAnsi="Times New Roman" w:cs="Times New Roman"/>
          <w:sz w:val="20"/>
          <w:szCs w:val="20"/>
        </w:rPr>
        <w:t>light chamber compared to the disease control group</w:t>
      </w:r>
      <w:r w:rsidR="00B520D1" w:rsidRPr="00863872">
        <w:rPr>
          <w:rFonts w:ascii="Times New Roman" w:hAnsi="Times New Roman" w:cs="Times New Roman"/>
          <w:sz w:val="20"/>
          <w:szCs w:val="20"/>
          <w:lang w:val="en-US"/>
        </w:rPr>
        <w:t xml:space="preserve"> whereas decreased in escape latency </w:t>
      </w:r>
      <w:r w:rsidR="00B520D1" w:rsidRPr="00863872">
        <w:rPr>
          <w:rFonts w:ascii="Times New Roman" w:hAnsi="Times New Roman" w:cs="Times New Roman"/>
          <w:sz w:val="20"/>
          <w:szCs w:val="20"/>
        </w:rPr>
        <w:t>(</w:t>
      </w:r>
      <w:r w:rsidR="00B520D1" w:rsidRPr="00863872">
        <w:rPr>
          <w:rFonts w:ascii="Times New Roman" w:hAnsi="Times New Roman" w:cs="Times New Roman"/>
          <w:i/>
          <w:iCs/>
          <w:sz w:val="20"/>
          <w:szCs w:val="20"/>
        </w:rPr>
        <w:t>p&lt;0.05)</w:t>
      </w:r>
      <w:r w:rsidR="00B520D1" w:rsidRPr="00863872">
        <w:rPr>
          <w:rFonts w:ascii="Times New Roman" w:hAnsi="Times New Roman" w:cs="Times New Roman"/>
          <w:sz w:val="20"/>
          <w:szCs w:val="20"/>
          <w:lang w:val="en-US"/>
        </w:rPr>
        <w:t xml:space="preserve"> was observed. 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The findings suggested a decline in inflammatory markers upon treatment with C2A. TNF-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sym w:font="Symbol" w:char="F061"/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, IL-1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sym w:font="Symbol" w:char="F062"/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and IL-6 concentrations were restored (</w:t>
      </w:r>
      <w:r w:rsidR="00F65270" w:rsidRPr="00863872">
        <w:rPr>
          <w:rFonts w:ascii="Times New Roman" w:eastAsia="Times New Roman" w:hAnsi="Times New Roman" w:cs="Times New Roman"/>
          <w:i/>
          <w:iCs/>
          <w:sz w:val="20"/>
          <w:szCs w:val="20"/>
          <w:lang w:val="en-US" w:eastAsia="en-GB"/>
        </w:rPr>
        <w:t>p&lt;0.001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) in C2A treated rats. Similar findings were observed for oxidative stress markers.</w:t>
      </w:r>
      <w:r w:rsidR="00016304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Activities of SOD, CAT and concentration of GSH, MDA and NO were restored </w:t>
      </w:r>
      <w:r w:rsidR="003119D3" w:rsidRPr="00863872">
        <w:rPr>
          <w:rFonts w:ascii="Times New Roman" w:hAnsi="Times New Roman" w:cs="Times New Roman"/>
          <w:sz w:val="20"/>
          <w:szCs w:val="20"/>
        </w:rPr>
        <w:t>(</w:t>
      </w:r>
      <w:r w:rsidR="003119D3">
        <w:rPr>
          <w:rFonts w:ascii="Times New Roman" w:hAnsi="Times New Roman" w:cs="Times New Roman"/>
          <w:i/>
          <w:iCs/>
          <w:sz w:val="20"/>
          <w:szCs w:val="20"/>
        </w:rPr>
        <w:t>p&lt;0.0</w:t>
      </w:r>
      <w:r w:rsidR="003119D3" w:rsidRPr="00863872">
        <w:rPr>
          <w:rFonts w:ascii="Times New Roman" w:hAnsi="Times New Roman" w:cs="Times New Roman"/>
          <w:i/>
          <w:iCs/>
          <w:sz w:val="20"/>
          <w:szCs w:val="20"/>
        </w:rPr>
        <w:t>01</w:t>
      </w:r>
      <w:r w:rsidR="003119D3" w:rsidRPr="00863872">
        <w:rPr>
          <w:rFonts w:ascii="Times New Roman" w:hAnsi="Times New Roman" w:cs="Times New Roman"/>
          <w:sz w:val="20"/>
          <w:szCs w:val="20"/>
        </w:rPr>
        <w:t>)</w:t>
      </w:r>
      <w:r w:rsidR="003119D3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  <w:r w:rsidR="00016304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in brain homogenate and serum samples</w:t>
      </w:r>
      <w:r w:rsidR="003119D3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  <w:r w:rsidR="00016304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of treated rats.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  <w:r w:rsidR="00016304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Dopamine and noradrenaline 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levels were also improved upon treatment with C2A </w:t>
      </w:r>
      <w:r w:rsidR="00F65270" w:rsidRPr="00863872">
        <w:rPr>
          <w:rFonts w:ascii="Times New Roman" w:hAnsi="Times New Roman" w:cs="Times New Roman"/>
          <w:sz w:val="20"/>
          <w:szCs w:val="20"/>
        </w:rPr>
        <w:t>(</w:t>
      </w:r>
      <w:r w:rsidR="001D7A2A">
        <w:rPr>
          <w:rFonts w:ascii="Times New Roman" w:hAnsi="Times New Roman" w:cs="Times New Roman"/>
          <w:i/>
          <w:iCs/>
          <w:sz w:val="20"/>
          <w:szCs w:val="20"/>
        </w:rPr>
        <w:t>p&lt;0.0</w:t>
      </w:r>
      <w:r w:rsidR="00F65270" w:rsidRPr="00863872">
        <w:rPr>
          <w:rFonts w:ascii="Times New Roman" w:hAnsi="Times New Roman" w:cs="Times New Roman"/>
          <w:i/>
          <w:iCs/>
          <w:sz w:val="20"/>
          <w:szCs w:val="20"/>
        </w:rPr>
        <w:t>01</w:t>
      </w:r>
      <w:r w:rsidR="00F65270" w:rsidRPr="00863872">
        <w:rPr>
          <w:rFonts w:ascii="Times New Roman" w:hAnsi="Times New Roman" w:cs="Times New Roman"/>
          <w:sz w:val="20"/>
          <w:szCs w:val="20"/>
        </w:rPr>
        <w:t>)</w:t>
      </w:r>
      <w:r w:rsidR="00D70698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D70698" w:rsidRPr="00D70698">
        <w:rPr>
          <w:rFonts w:ascii="Times New Roman" w:hAnsi="Times New Roman" w:cs="Times New Roman"/>
          <w:sz w:val="20"/>
          <w:szCs w:val="20"/>
          <w:lang w:val="en-US"/>
        </w:rPr>
        <w:t>The docking score of TLR is -5.6</w:t>
      </w:r>
      <w:r w:rsidR="00D7069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70698" w:rsidRPr="00D70698">
        <w:rPr>
          <w:rFonts w:ascii="Times New Roman" w:hAnsi="Times New Roman" w:cs="Times New Roman"/>
          <w:sz w:val="20"/>
          <w:szCs w:val="20"/>
          <w:lang w:val="en-US"/>
        </w:rPr>
        <w:t>Kcal/mol. C2A demonstrated positive interactions with the relevant proteins' critical amino acid residues</w:t>
      </w:r>
      <w:r w:rsidR="00D70698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77226D8" w14:textId="46CF5EF1" w:rsidR="00D35A21" w:rsidRPr="00863872" w:rsidRDefault="00D35A21" w:rsidP="00D35A21">
      <w:pPr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</w:pPr>
      <w:r w:rsidRPr="00863872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n-GB"/>
        </w:rPr>
        <w:t>Conclusion</w:t>
      </w:r>
      <w:r w:rsidR="00F65270" w:rsidRPr="00863872">
        <w:rPr>
          <w:rFonts w:ascii="Times New Roman" w:eastAsiaTheme="minorEastAsia" w:hAnsi="Times New Roman" w:cs="Times New Roman"/>
          <w:color w:val="404040" w:themeColor="text1" w:themeTint="BF"/>
          <w:kern w:val="24"/>
          <w:sz w:val="20"/>
          <w:szCs w:val="20"/>
          <w:lang w:val="en-US"/>
        </w:rPr>
        <w:t xml:space="preserve"> 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Treatment with C2A prevented the paraquat-induced toxicity in the brain due to its antioxidant and anti-inflammatory properties. The main mechanism involved in ameliorating paraquat toxicity in the brain is through reduction of oxidative stress and </w:t>
      </w:r>
      <w:r w:rsidR="000926E7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N</w:t>
      </w:r>
      <w:r w:rsidR="000926E7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euroinflammation</w:t>
      </w:r>
      <w:r w:rsidR="00F65270"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>.</w:t>
      </w:r>
      <w:r w:rsidRPr="00863872">
        <w:rPr>
          <w:rFonts w:ascii="Times New Roman" w:eastAsia="Times New Roman" w:hAnsi="Times New Roman" w:cs="Times New Roman"/>
          <w:sz w:val="20"/>
          <w:szCs w:val="20"/>
          <w:lang w:val="en-US" w:eastAsia="en-GB"/>
        </w:rPr>
        <w:t xml:space="preserve"> </w:t>
      </w:r>
    </w:p>
    <w:p w14:paraId="01490710" w14:textId="77777777" w:rsidR="00D35A21" w:rsidRPr="00863872" w:rsidRDefault="00D35A21" w:rsidP="00D35A21">
      <w:pPr>
        <w:rPr>
          <w:rFonts w:ascii="Times New Roman" w:hAnsi="Times New Roman" w:cs="Times New Roman"/>
          <w:sz w:val="20"/>
          <w:szCs w:val="20"/>
        </w:rPr>
      </w:pPr>
    </w:p>
    <w:p w14:paraId="69A09513" w14:textId="77777777" w:rsidR="00D35A21" w:rsidRPr="00863872" w:rsidRDefault="00D35A21" w:rsidP="00D35A21">
      <w:pPr>
        <w:rPr>
          <w:rFonts w:ascii="Times New Roman" w:hAnsi="Times New Roman" w:cs="Times New Roman"/>
          <w:sz w:val="20"/>
          <w:szCs w:val="20"/>
        </w:rPr>
      </w:pPr>
    </w:p>
    <w:p w14:paraId="5083F6CF" w14:textId="1AD7AAFA" w:rsidR="00D35A21" w:rsidRPr="00863872" w:rsidRDefault="00315A75" w:rsidP="00D35A21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63872">
        <w:rPr>
          <w:rFonts w:ascii="Times New Roman" w:hAnsi="Times New Roman" w:cs="Times New Roman"/>
          <w:b/>
          <w:bCs/>
          <w:sz w:val="20"/>
          <w:szCs w:val="20"/>
          <w:lang w:val="en-US"/>
        </w:rPr>
        <w:t>Keywords</w:t>
      </w:r>
      <w:r w:rsidR="00D35A21" w:rsidRPr="00863872"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 w:rsidR="00D35A21" w:rsidRPr="00863872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F0616">
        <w:rPr>
          <w:rFonts w:ascii="Times New Roman" w:hAnsi="Times New Roman" w:cs="Times New Roman"/>
          <w:sz w:val="20"/>
          <w:szCs w:val="20"/>
          <w:lang w:val="en-US"/>
        </w:rPr>
        <w:t>Neurotoxicity</w:t>
      </w:r>
      <w:r w:rsidR="00D35A21" w:rsidRPr="00863872">
        <w:rPr>
          <w:rFonts w:ascii="Times New Roman" w:hAnsi="Times New Roman" w:cs="Times New Roman"/>
          <w:sz w:val="20"/>
          <w:szCs w:val="20"/>
          <w:lang w:val="en-US"/>
        </w:rPr>
        <w:t>, Coumarin</w:t>
      </w:r>
      <w:r w:rsidR="00EF0616">
        <w:rPr>
          <w:rFonts w:ascii="Times New Roman" w:hAnsi="Times New Roman" w:cs="Times New Roman"/>
          <w:sz w:val="20"/>
          <w:szCs w:val="20"/>
          <w:lang w:val="en-US"/>
        </w:rPr>
        <w:t xml:space="preserve"> 2 Aminothiazole</w:t>
      </w:r>
      <w:r w:rsidR="00D35A21" w:rsidRPr="00863872">
        <w:rPr>
          <w:rFonts w:ascii="Times New Roman" w:hAnsi="Times New Roman" w:cs="Times New Roman"/>
          <w:sz w:val="20"/>
          <w:szCs w:val="20"/>
          <w:lang w:val="en-US"/>
        </w:rPr>
        <w:t>, Inflammatory markers, Oxidative stress</w:t>
      </w:r>
      <w:r w:rsidR="00EF0616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>Neurotransmitter</w:t>
      </w:r>
    </w:p>
    <w:p w14:paraId="3AB77D7F" w14:textId="3264AF33" w:rsidR="00D35A21" w:rsidRDefault="00D35A21">
      <w:pPr>
        <w:rPr>
          <w:rFonts w:ascii="Times New Roman" w:hAnsi="Times New Roman" w:cs="Times New Roman"/>
          <w:sz w:val="20"/>
          <w:szCs w:val="20"/>
        </w:rPr>
      </w:pPr>
    </w:p>
    <w:p w14:paraId="5BA21842" w14:textId="748988EB" w:rsidR="00CD5183" w:rsidRDefault="00CD5183">
      <w:pPr>
        <w:rPr>
          <w:rFonts w:ascii="Times New Roman" w:hAnsi="Times New Roman" w:cs="Times New Roman"/>
          <w:sz w:val="20"/>
          <w:szCs w:val="20"/>
        </w:rPr>
      </w:pPr>
    </w:p>
    <w:p w14:paraId="5B56A39E" w14:textId="7BF430DE" w:rsidR="00CD5183" w:rsidRPr="00CD5183" w:rsidRDefault="00CD518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*</w:t>
      </w:r>
      <w:r w:rsidRPr="00CD5183">
        <w:rPr>
          <w:rFonts w:ascii="Times New Roman" w:hAnsi="Times New Roman" w:cs="Times New Roman"/>
          <w:b/>
          <w:bCs/>
          <w:sz w:val="20"/>
          <w:szCs w:val="20"/>
          <w:lang w:val="en-US"/>
        </w:rPr>
        <w:t>Corresponding Author</w:t>
      </w:r>
    </w:p>
    <w:p w14:paraId="3842644D" w14:textId="50F0C626" w:rsidR="00CD5183" w:rsidRDefault="00CD518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Ali Sharif</w:t>
      </w:r>
    </w:p>
    <w:p w14:paraId="4D4179D1" w14:textId="77777777" w:rsidR="00315A75" w:rsidRDefault="00CD518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Department of Pharmacology</w:t>
      </w:r>
    </w:p>
    <w:p w14:paraId="3FEE8F00" w14:textId="63EB281B" w:rsidR="00CD5183" w:rsidRDefault="00CD518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Institute of Pharmacy</w:t>
      </w:r>
    </w:p>
    <w:p w14:paraId="5C5E1B00" w14:textId="77777777" w:rsidR="00CD5183" w:rsidRDefault="00CD518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Lahore College for Women University</w:t>
      </w:r>
    </w:p>
    <w:p w14:paraId="3B70C98B" w14:textId="213EA95E" w:rsidR="00CD5183" w:rsidRPr="00CD5183" w:rsidRDefault="00CD5183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Jail Road, Lahore</w:t>
      </w:r>
    </w:p>
    <w:sectPr w:rsidR="00CD5183" w:rsidRPr="00CD5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93FDF"/>
    <w:multiLevelType w:val="hybridMultilevel"/>
    <w:tmpl w:val="31E69674"/>
    <w:lvl w:ilvl="0" w:tplc="4706415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0C4174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0B081DC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6AE283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56A4BBA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12453F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F4209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5461D2E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FC5758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6CD44129"/>
    <w:multiLevelType w:val="hybridMultilevel"/>
    <w:tmpl w:val="034CB370"/>
    <w:lvl w:ilvl="0" w:tplc="5A224AB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563A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6076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7C178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A0A4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9C2A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A643B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3ECA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C0A7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5196352">
    <w:abstractNumId w:val="0"/>
  </w:num>
  <w:num w:numId="2" w16cid:durableId="52713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57C"/>
    <w:rsid w:val="00016304"/>
    <w:rsid w:val="000926E7"/>
    <w:rsid w:val="001D7A2A"/>
    <w:rsid w:val="003119D3"/>
    <w:rsid w:val="00315A75"/>
    <w:rsid w:val="003C23E3"/>
    <w:rsid w:val="007B24B9"/>
    <w:rsid w:val="00863872"/>
    <w:rsid w:val="009E457C"/>
    <w:rsid w:val="00B520D1"/>
    <w:rsid w:val="00BF7810"/>
    <w:rsid w:val="00C01905"/>
    <w:rsid w:val="00C219C6"/>
    <w:rsid w:val="00CD5183"/>
    <w:rsid w:val="00CE7963"/>
    <w:rsid w:val="00D22F86"/>
    <w:rsid w:val="00D35A21"/>
    <w:rsid w:val="00D70698"/>
    <w:rsid w:val="00EF0616"/>
    <w:rsid w:val="00F6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EB010"/>
  <w15:chartTrackingRefBased/>
  <w15:docId w15:val="{4D89F3AB-3446-456C-B362-D8FA37FA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A2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35A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A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A21"/>
    <w:rPr>
      <w:sz w:val="20"/>
      <w:szCs w:val="20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7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384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33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83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8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asad</dc:creator>
  <cp:keywords/>
  <dc:description/>
  <cp:lastModifiedBy>ali asad</cp:lastModifiedBy>
  <cp:revision>15</cp:revision>
  <dcterms:created xsi:type="dcterms:W3CDTF">2022-11-10T13:44:00Z</dcterms:created>
  <dcterms:modified xsi:type="dcterms:W3CDTF">2022-11-10T16:20:00Z</dcterms:modified>
</cp:coreProperties>
</file>