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93E681" w14:textId="77777777" w:rsidR="00E3466E" w:rsidRPr="003B4242" w:rsidRDefault="00E3466E" w:rsidP="00AF3909">
      <w:pPr>
        <w:jc w:val="both"/>
        <w:rPr>
          <w:rFonts w:ascii="Times New Roman" w:eastAsia="MS PGothic" w:hAnsi="Times New Roman" w:cs="Times New Roman"/>
          <w:b/>
          <w:color w:val="000000"/>
          <w:sz w:val="28"/>
          <w:szCs w:val="28"/>
        </w:rPr>
      </w:pPr>
      <w:r w:rsidRPr="003B4242">
        <w:rPr>
          <w:rFonts w:ascii="Times New Roman" w:hAnsi="Times New Roman" w:cs="Times New Roman"/>
          <w:b/>
          <w:noProof/>
          <w:sz w:val="28"/>
          <w:szCs w:val="28"/>
        </w:rPr>
        <w:drawing>
          <wp:anchor distT="0" distB="0" distL="114300" distR="114300" simplePos="0" relativeHeight="251658240" behindDoc="1" locked="0" layoutInCell="1" allowOverlap="1" wp14:anchorId="6F18B057" wp14:editId="643A6FC8">
            <wp:simplePos x="0" y="0"/>
            <wp:positionH relativeFrom="column">
              <wp:posOffset>5315585</wp:posOffset>
            </wp:positionH>
            <wp:positionV relativeFrom="paragraph">
              <wp:posOffset>-8890</wp:posOffset>
            </wp:positionV>
            <wp:extent cx="1038225" cy="1085850"/>
            <wp:effectExtent l="0" t="0" r="9525" b="0"/>
            <wp:wrapNone/>
            <wp:docPr id="2" name="Picture 2" descr="A person wearing glass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erson wearing glasses&#10;&#10;Description automatically generated with medium confidenc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38225" cy="1085850"/>
                    </a:xfrm>
                    <a:prstGeom prst="rect">
                      <a:avLst/>
                    </a:prstGeom>
                    <a:noFill/>
                    <a:ln>
                      <a:noFill/>
                    </a:ln>
                  </pic:spPr>
                </pic:pic>
              </a:graphicData>
            </a:graphic>
            <wp14:sizeRelH relativeFrom="page">
              <wp14:pctWidth>0</wp14:pctWidth>
            </wp14:sizeRelH>
            <wp14:sizeRelV relativeFrom="page">
              <wp14:pctHeight>0</wp14:pctHeight>
            </wp14:sizeRelV>
          </wp:anchor>
        </w:drawing>
      </w:r>
      <w:r w:rsidR="00AF3909" w:rsidRPr="003B4242">
        <w:rPr>
          <w:rFonts w:ascii="Times New Roman" w:hAnsi="Times New Roman" w:cs="Times New Roman"/>
          <w:b/>
          <w:sz w:val="28"/>
          <w:szCs w:val="28"/>
        </w:rPr>
        <w:t>Abstract Title</w:t>
      </w:r>
      <w:r w:rsidR="00AF3909" w:rsidRPr="003B4242">
        <w:rPr>
          <w:rFonts w:ascii="Times New Roman" w:eastAsia="MS PGothic" w:hAnsi="Times New Roman" w:cs="Times New Roman"/>
          <w:b/>
          <w:color w:val="000000"/>
          <w:sz w:val="28"/>
          <w:szCs w:val="28"/>
        </w:rPr>
        <w:t xml:space="preserve">: Bioavailability enhancement of poorly </w:t>
      </w:r>
      <w:r w:rsidR="00C76CDB" w:rsidRPr="003B4242">
        <w:rPr>
          <w:rFonts w:ascii="Times New Roman" w:eastAsia="MS PGothic" w:hAnsi="Times New Roman" w:cs="Times New Roman"/>
          <w:b/>
          <w:color w:val="000000"/>
          <w:sz w:val="28"/>
          <w:szCs w:val="28"/>
        </w:rPr>
        <w:t>water-soluble</w:t>
      </w:r>
      <w:r w:rsidR="00AF3909" w:rsidRPr="003B4242">
        <w:rPr>
          <w:rFonts w:ascii="Times New Roman" w:eastAsia="MS PGothic" w:hAnsi="Times New Roman" w:cs="Times New Roman"/>
          <w:b/>
          <w:color w:val="000000"/>
          <w:sz w:val="28"/>
          <w:szCs w:val="28"/>
        </w:rPr>
        <w:t xml:space="preserve"> </w:t>
      </w:r>
    </w:p>
    <w:p w14:paraId="46947116" w14:textId="77777777" w:rsidR="00E3466E" w:rsidRPr="003B4242" w:rsidRDefault="00AF3909" w:rsidP="00AF3909">
      <w:pPr>
        <w:jc w:val="both"/>
        <w:rPr>
          <w:rFonts w:ascii="Times New Roman" w:eastAsia="MS PGothic" w:hAnsi="Times New Roman" w:cs="Times New Roman"/>
          <w:b/>
          <w:color w:val="000000"/>
          <w:sz w:val="28"/>
          <w:szCs w:val="28"/>
        </w:rPr>
      </w:pPr>
      <w:r w:rsidRPr="003B4242">
        <w:rPr>
          <w:rFonts w:ascii="Times New Roman" w:eastAsia="MS PGothic" w:hAnsi="Times New Roman" w:cs="Times New Roman"/>
          <w:b/>
          <w:color w:val="000000"/>
          <w:sz w:val="28"/>
          <w:szCs w:val="28"/>
        </w:rPr>
        <w:t xml:space="preserve">drugs (BCS Class II and IV Drugs) using hot-melt extrusion (HME): </w:t>
      </w:r>
    </w:p>
    <w:p w14:paraId="423D9031" w14:textId="0353F2C0" w:rsidR="00AF3909" w:rsidRPr="003B4242" w:rsidRDefault="00AF3909" w:rsidP="00AF3909">
      <w:pPr>
        <w:jc w:val="both"/>
        <w:rPr>
          <w:rFonts w:ascii="Times New Roman" w:eastAsia="MS PGothic" w:hAnsi="Times New Roman" w:cs="Times New Roman"/>
          <w:b/>
          <w:color w:val="000000"/>
          <w:sz w:val="28"/>
          <w:szCs w:val="28"/>
        </w:rPr>
      </w:pPr>
      <w:r w:rsidRPr="003B4242">
        <w:rPr>
          <w:rFonts w:ascii="Times New Roman" w:eastAsia="MS PGothic" w:hAnsi="Times New Roman" w:cs="Times New Roman"/>
          <w:b/>
          <w:color w:val="000000"/>
          <w:sz w:val="28"/>
          <w:szCs w:val="28"/>
        </w:rPr>
        <w:t xml:space="preserve">The </w:t>
      </w:r>
      <w:r w:rsidR="00F31C3A" w:rsidRPr="003B4242">
        <w:rPr>
          <w:rFonts w:ascii="Times New Roman" w:eastAsia="MS PGothic" w:hAnsi="Times New Roman" w:cs="Times New Roman"/>
          <w:b/>
          <w:color w:val="000000"/>
          <w:sz w:val="28"/>
          <w:szCs w:val="28"/>
        </w:rPr>
        <w:t>cost-effective</w:t>
      </w:r>
      <w:r w:rsidRPr="003B4242">
        <w:rPr>
          <w:rFonts w:ascii="Times New Roman" w:eastAsia="MS PGothic" w:hAnsi="Times New Roman" w:cs="Times New Roman"/>
          <w:b/>
          <w:color w:val="000000"/>
          <w:sz w:val="28"/>
          <w:szCs w:val="28"/>
        </w:rPr>
        <w:t xml:space="preserve"> approach </w:t>
      </w:r>
    </w:p>
    <w:p w14:paraId="4ED17820" w14:textId="158A0B9D" w:rsidR="00AF3909" w:rsidRPr="003B4242" w:rsidRDefault="00AF3909" w:rsidP="00AF3909">
      <w:pPr>
        <w:jc w:val="both"/>
        <w:rPr>
          <w:rFonts w:ascii="Times New Roman" w:hAnsi="Times New Roman" w:cs="Times New Roman"/>
          <w:b/>
          <w:bCs/>
          <w:color w:val="000000"/>
          <w:sz w:val="24"/>
          <w:szCs w:val="24"/>
        </w:rPr>
      </w:pPr>
      <w:r w:rsidRPr="00141A6B">
        <w:rPr>
          <w:rFonts w:ascii="Times New Roman" w:eastAsia="MS PGothic" w:hAnsi="Times New Roman" w:cs="Times New Roman"/>
          <w:color w:val="000000"/>
          <w:sz w:val="24"/>
          <w:szCs w:val="24"/>
        </w:rPr>
        <w:br/>
      </w:r>
      <w:r w:rsidRPr="003B4242">
        <w:rPr>
          <w:rFonts w:ascii="Times New Roman" w:eastAsia="MS PGothic" w:hAnsi="Times New Roman" w:cs="Times New Roman"/>
          <w:b/>
          <w:bCs/>
          <w:color w:val="000000"/>
          <w:sz w:val="24"/>
          <w:szCs w:val="24"/>
        </w:rPr>
        <w:t xml:space="preserve">Name: </w:t>
      </w:r>
      <w:r w:rsidRPr="003B4242">
        <w:rPr>
          <w:rFonts w:ascii="Times New Roman" w:hAnsi="Times New Roman" w:cs="Times New Roman"/>
          <w:b/>
          <w:bCs/>
          <w:color w:val="000000"/>
          <w:sz w:val="24"/>
          <w:szCs w:val="24"/>
        </w:rPr>
        <w:t xml:space="preserve">Devendra Ridhurkar*, Ph.D., </w:t>
      </w:r>
    </w:p>
    <w:p w14:paraId="54FA32AC" w14:textId="114963D4" w:rsidR="00AF3909" w:rsidRPr="003B4242" w:rsidRDefault="00AF3909" w:rsidP="00AF3909">
      <w:pPr>
        <w:jc w:val="both"/>
        <w:rPr>
          <w:rFonts w:ascii="Times New Roman" w:hAnsi="Times New Roman" w:cs="Times New Roman"/>
          <w:b/>
          <w:bCs/>
          <w:i/>
          <w:iCs/>
          <w:sz w:val="24"/>
          <w:szCs w:val="24"/>
        </w:rPr>
      </w:pPr>
      <w:r w:rsidRPr="003B4242">
        <w:rPr>
          <w:rFonts w:ascii="Times New Roman" w:hAnsi="Times New Roman" w:cs="Times New Roman"/>
          <w:b/>
          <w:bCs/>
          <w:i/>
          <w:iCs/>
          <w:color w:val="000000"/>
          <w:sz w:val="24"/>
          <w:szCs w:val="24"/>
        </w:rPr>
        <w:t xml:space="preserve">Pharmaceutical Development Division, Neurax Pharmaceuticals, Barcelona. Spain </w:t>
      </w:r>
    </w:p>
    <w:p w14:paraId="6EED5D39" w14:textId="1B99D423" w:rsidR="00B06B94" w:rsidRPr="00141A6B" w:rsidRDefault="00B06B94" w:rsidP="00B06B94">
      <w:pPr>
        <w:rPr>
          <w:rFonts w:ascii="Times New Roman" w:hAnsi="Times New Roman" w:cs="Times New Roman"/>
          <w:sz w:val="24"/>
          <w:szCs w:val="24"/>
        </w:rPr>
      </w:pPr>
      <w:r w:rsidRPr="00141A6B">
        <w:rPr>
          <w:rFonts w:ascii="Times New Roman" w:hAnsi="Times New Roman" w:cs="Times New Roman"/>
          <w:b/>
          <w:sz w:val="24"/>
          <w:szCs w:val="24"/>
        </w:rPr>
        <w:t>Abstract</w:t>
      </w:r>
    </w:p>
    <w:p w14:paraId="4CE6EF38" w14:textId="3285DA16" w:rsidR="00AF3909" w:rsidRPr="00141A6B" w:rsidRDefault="00AF3909" w:rsidP="00AF3909">
      <w:pPr>
        <w:pStyle w:val="Default"/>
        <w:jc w:val="both"/>
        <w:rPr>
          <w:rFonts w:ascii="Times New Roman" w:hAnsi="Times New Roman" w:cs="Times New Roman"/>
        </w:rPr>
      </w:pPr>
      <w:r w:rsidRPr="00141A6B">
        <w:rPr>
          <w:rFonts w:ascii="Times New Roman" w:hAnsi="Times New Roman" w:cs="Times New Roman"/>
        </w:rPr>
        <w:t>For orally administered drugs, solubility and permeability is one of the rate-limiting factors to achieve their desired concentration in systemic circulation for pharma</w:t>
      </w:r>
      <w:r w:rsidRPr="00141A6B">
        <w:rPr>
          <w:rFonts w:ascii="Times New Roman" w:hAnsi="Times New Roman" w:cs="Times New Roman"/>
        </w:rPr>
        <w:softHyphen/>
        <w:t>cological response. Poor solubility of BCS class II and IV drugs is attributable for delay or failure and due to this reason formulation scientist faces a major challenge to develop a formulation with good bioavailability. Enhancement of solubility and bioavailability of poorly soluble drugs can be achieved by amorphous solid dispersions which are prepared by converting the poorly water-soluble crystalline form into a more soluble amorphous form within the polymeric blends. Hot Melt Extrusion (HME) has been widely used to prepare amorphous solid dispersions for the improvement of solubility and dissolution rates of poorly soluble materials. During the melt extrusion process, the dissolution of APIs into the polymer matrix is accelerated under the influence of shear and heat. HME has gained popularity in the pharmaceutical industry as a means of improv</w:t>
      </w:r>
      <w:r w:rsidRPr="00141A6B">
        <w:rPr>
          <w:rFonts w:ascii="Times New Roman" w:hAnsi="Times New Roman" w:cs="Times New Roman"/>
        </w:rPr>
        <w:softHyphen/>
        <w:t>ing the bioavailability of drugs due to its wide applications, simple pro</w:t>
      </w:r>
      <w:r w:rsidRPr="00141A6B">
        <w:rPr>
          <w:rFonts w:ascii="Times New Roman" w:hAnsi="Times New Roman" w:cs="Times New Roman"/>
        </w:rPr>
        <w:softHyphen/>
        <w:t>cess and low costs. HME is an efficient technology for producing solid molecular dispersions with considerable advantages including the absence of solvents, few processing steps, and con</w:t>
      </w:r>
      <w:r w:rsidRPr="00141A6B">
        <w:rPr>
          <w:rFonts w:ascii="Times New Roman" w:hAnsi="Times New Roman" w:cs="Times New Roman"/>
        </w:rPr>
        <w:softHyphen/>
        <w:t xml:space="preserve">tinuous operation over solvent-based processes such as spray drying and co-precipitation. Also, HME is one of the recommended processes by FDA to encourage move from batch-to-continuous manufacturing. Moreover, it can be used </w:t>
      </w:r>
      <w:r w:rsidRPr="00141A6B">
        <w:rPr>
          <w:rFonts w:ascii="Times New Roman" w:hAnsi="Times New Roman" w:cs="Times New Roman"/>
          <w:lang w:val="en"/>
        </w:rPr>
        <w:t xml:space="preserve">to earn intellectual property and to make the noninfringing strategies for products development with ANDA para </w:t>
      </w:r>
      <w:r w:rsidRPr="00141A6B">
        <w:rPr>
          <w:rFonts w:ascii="Times New Roman" w:hAnsi="Times New Roman" w:cs="Times New Roman"/>
        </w:rPr>
        <w:t>IV fillings. Marketed formulations Kaletra</w:t>
      </w:r>
      <w:r w:rsidRPr="00141A6B">
        <w:rPr>
          <w:rFonts w:ascii="Times New Roman" w:hAnsi="Times New Roman" w:cs="Times New Roman"/>
          <w:vertAlign w:val="superscript"/>
        </w:rPr>
        <w:t>®</w:t>
      </w:r>
      <w:r w:rsidRPr="00141A6B">
        <w:rPr>
          <w:rFonts w:ascii="Times New Roman" w:hAnsi="Times New Roman" w:cs="Times New Roman"/>
        </w:rPr>
        <w:t xml:space="preserve"> and </w:t>
      </w:r>
      <w:proofErr w:type="spellStart"/>
      <w:r w:rsidRPr="00141A6B">
        <w:rPr>
          <w:rFonts w:ascii="Times New Roman" w:hAnsi="Times New Roman" w:cs="Times New Roman"/>
        </w:rPr>
        <w:t>Onmel</w:t>
      </w:r>
      <w:proofErr w:type="spellEnd"/>
      <w:r w:rsidRPr="00141A6B">
        <w:rPr>
          <w:rFonts w:ascii="Times New Roman" w:hAnsi="Times New Roman" w:cs="Times New Roman"/>
          <w:vertAlign w:val="superscript"/>
        </w:rPr>
        <w:t>®</w:t>
      </w:r>
      <w:r w:rsidRPr="00141A6B">
        <w:rPr>
          <w:rFonts w:ascii="Times New Roman" w:hAnsi="Times New Roman" w:cs="Times New Roman"/>
        </w:rPr>
        <w:t xml:space="preserve"> which are prepared by HME technology, are the classical examples.</w:t>
      </w:r>
    </w:p>
    <w:p w14:paraId="540C51FC" w14:textId="7E57EB04" w:rsidR="00E3466E" w:rsidRPr="00141A6B" w:rsidRDefault="00E3466E" w:rsidP="00AF3909">
      <w:pPr>
        <w:pStyle w:val="Default"/>
        <w:jc w:val="both"/>
        <w:rPr>
          <w:rFonts w:ascii="Times New Roman" w:hAnsi="Times New Roman" w:cs="Times New Roman"/>
        </w:rPr>
      </w:pPr>
    </w:p>
    <w:p w14:paraId="19F51808" w14:textId="55E236A3" w:rsidR="00E3466E" w:rsidRPr="00141A6B" w:rsidRDefault="00E3466E" w:rsidP="00E3466E">
      <w:pPr>
        <w:rPr>
          <w:rFonts w:ascii="Times New Roman" w:hAnsi="Times New Roman" w:cs="Times New Roman"/>
          <w:sz w:val="24"/>
          <w:szCs w:val="24"/>
        </w:rPr>
      </w:pPr>
      <w:r w:rsidRPr="00141A6B">
        <w:rPr>
          <w:rFonts w:ascii="Times New Roman" w:hAnsi="Times New Roman" w:cs="Times New Roman"/>
          <w:b/>
          <w:sz w:val="24"/>
          <w:szCs w:val="24"/>
        </w:rPr>
        <w:t xml:space="preserve">Biography </w:t>
      </w:r>
    </w:p>
    <w:p w14:paraId="6AA79876" w14:textId="77777777" w:rsidR="00E3466E" w:rsidRPr="00141A6B" w:rsidRDefault="00E3466E" w:rsidP="00E3466E">
      <w:pPr>
        <w:jc w:val="both"/>
        <w:rPr>
          <w:rFonts w:ascii="Times New Roman" w:hAnsi="Times New Roman" w:cs="Times New Roman"/>
          <w:b/>
          <w:sz w:val="24"/>
          <w:szCs w:val="24"/>
          <w:lang w:val="en-NZ"/>
        </w:rPr>
      </w:pPr>
      <w:bookmarkStart w:id="0" w:name="_Hlk101782131"/>
      <w:r w:rsidRPr="00141A6B">
        <w:rPr>
          <w:rFonts w:ascii="Times New Roman" w:hAnsi="Times New Roman" w:cs="Times New Roman"/>
          <w:sz w:val="24"/>
          <w:szCs w:val="24"/>
        </w:rPr>
        <w:t xml:space="preserve">Dr. Ridhurkar works as an Expert Scientist at Neurax Pharm., Barcelona. He is </w:t>
      </w:r>
      <w:r w:rsidRPr="00141A6B">
        <w:rPr>
          <w:rFonts w:ascii="Times New Roman" w:eastAsia="Times New Roman" w:hAnsi="Times New Roman" w:cs="Times New Roman"/>
          <w:sz w:val="24"/>
          <w:szCs w:val="24"/>
        </w:rPr>
        <w:t xml:space="preserve">Subject Matter Expert over 16 years of scientific leadership and management experience in development and manufacturing of NCE, Proprietary and Generic (Complex, Specialty and Branded) for global pharma majors </w:t>
      </w:r>
      <w:r w:rsidRPr="00141A6B">
        <w:rPr>
          <w:rFonts w:ascii="Times New Roman" w:hAnsi="Times New Roman" w:cs="Times New Roman"/>
          <w:sz w:val="24"/>
          <w:szCs w:val="24"/>
        </w:rPr>
        <w:t xml:space="preserve">like Servier, Hungary, Dr. Reddys </w:t>
      </w:r>
      <w:r w:rsidRPr="00141A6B">
        <w:rPr>
          <w:rFonts w:ascii="Times New Roman" w:eastAsia="Times New Roman" w:hAnsi="Times New Roman" w:cs="Times New Roman"/>
          <w:sz w:val="24"/>
          <w:szCs w:val="24"/>
        </w:rPr>
        <w:t>India. </w:t>
      </w:r>
      <w:r w:rsidRPr="00141A6B">
        <w:rPr>
          <w:rFonts w:ascii="Times New Roman" w:hAnsi="Times New Roman" w:cs="Times New Roman"/>
          <w:sz w:val="24"/>
          <w:szCs w:val="24"/>
        </w:rPr>
        <w:t xml:space="preserve">He is expert in using platform technologies like hot melt extrusion, nanotechnology, and cyclodextrin complexation. He obtained his M. Pharm, Ph.D. degree in Pharmaceutics from IIT, Varanasi, India. He is a member of editorial board for various pharmaceutical journals and has earned to his credit over 10 peer-reviewed papers in reputed international and national journals and 9 patents to his credit. He has been associated with various pharmaceutical bodies in Hungary, </w:t>
      </w:r>
      <w:proofErr w:type="gramStart"/>
      <w:r w:rsidRPr="00141A6B">
        <w:rPr>
          <w:rFonts w:ascii="Times New Roman" w:hAnsi="Times New Roman" w:cs="Times New Roman"/>
          <w:sz w:val="24"/>
          <w:szCs w:val="24"/>
        </w:rPr>
        <w:t>India</w:t>
      </w:r>
      <w:proofErr w:type="gramEnd"/>
      <w:r w:rsidRPr="00141A6B">
        <w:rPr>
          <w:rFonts w:ascii="Times New Roman" w:hAnsi="Times New Roman" w:cs="Times New Roman"/>
          <w:sz w:val="24"/>
          <w:szCs w:val="24"/>
        </w:rPr>
        <w:t xml:space="preserve"> and American Association of Pharmaceutical Scientists. He is a member of programme advisory committee for Pharma Connect Congress, Hungary and has attended and delivered seminars and presentations at various national and international conferences.</w:t>
      </w:r>
    </w:p>
    <w:bookmarkEnd w:id="0"/>
    <w:p w14:paraId="027D89D1" w14:textId="678DC65A" w:rsidR="006732A9" w:rsidRPr="00141A6B" w:rsidRDefault="006732A9" w:rsidP="00AF3909">
      <w:pPr>
        <w:pStyle w:val="Default"/>
        <w:jc w:val="both"/>
        <w:rPr>
          <w:rFonts w:ascii="Times New Roman" w:hAnsi="Times New Roman" w:cs="Times New Roman"/>
          <w:b/>
          <w:bCs/>
          <w:lang w:val="en-GB"/>
        </w:rPr>
      </w:pPr>
      <w:r w:rsidRPr="00141A6B">
        <w:rPr>
          <w:rFonts w:ascii="Times New Roman" w:hAnsi="Times New Roman" w:cs="Times New Roman"/>
          <w:b/>
          <w:bCs/>
          <w:lang w:val="en-GB"/>
        </w:rPr>
        <w:lastRenderedPageBreak/>
        <w:t>Recent Publications</w:t>
      </w:r>
    </w:p>
    <w:p w14:paraId="11954F07" w14:textId="77777777" w:rsidR="006732A9" w:rsidRPr="00141A6B" w:rsidRDefault="006732A9" w:rsidP="006732A9">
      <w:pPr>
        <w:numPr>
          <w:ilvl w:val="0"/>
          <w:numId w:val="2"/>
        </w:numPr>
        <w:spacing w:before="160" w:after="160" w:line="360" w:lineRule="auto"/>
        <w:jc w:val="both"/>
        <w:rPr>
          <w:rFonts w:ascii="Times New Roman" w:hAnsi="Times New Roman" w:cs="Times New Roman"/>
          <w:b/>
          <w:sz w:val="24"/>
          <w:szCs w:val="24"/>
        </w:rPr>
      </w:pPr>
      <w:r w:rsidRPr="00141A6B">
        <w:rPr>
          <w:rFonts w:ascii="Times New Roman" w:hAnsi="Times New Roman" w:cs="Times New Roman"/>
          <w:bCs/>
          <w:sz w:val="24"/>
          <w:szCs w:val="24"/>
        </w:rPr>
        <w:t xml:space="preserve">“Bioavailability enhancement of poorly water-soluble drugs (BCS Class II and IV Drugs) using hot-melt extrusion (HME): The cost-effective approach”. </w:t>
      </w:r>
      <w:proofErr w:type="spellStart"/>
      <w:r w:rsidRPr="00141A6B">
        <w:rPr>
          <w:rFonts w:ascii="Times New Roman" w:hAnsi="Times New Roman" w:cs="Times New Roman"/>
          <w:b/>
          <w:sz w:val="24"/>
          <w:szCs w:val="24"/>
        </w:rPr>
        <w:t>Chimica</w:t>
      </w:r>
      <w:proofErr w:type="spellEnd"/>
      <w:r w:rsidRPr="00141A6B">
        <w:rPr>
          <w:rFonts w:ascii="Times New Roman" w:hAnsi="Times New Roman" w:cs="Times New Roman"/>
          <w:b/>
          <w:sz w:val="24"/>
          <w:szCs w:val="24"/>
        </w:rPr>
        <w:t xml:space="preserve"> </w:t>
      </w:r>
      <w:proofErr w:type="spellStart"/>
      <w:r w:rsidRPr="00141A6B">
        <w:rPr>
          <w:rFonts w:ascii="Times New Roman" w:hAnsi="Times New Roman" w:cs="Times New Roman"/>
          <w:b/>
          <w:sz w:val="24"/>
          <w:szCs w:val="24"/>
        </w:rPr>
        <w:t>Oggi</w:t>
      </w:r>
      <w:proofErr w:type="spellEnd"/>
      <w:r w:rsidRPr="00141A6B">
        <w:rPr>
          <w:rFonts w:ascii="Times New Roman" w:hAnsi="Times New Roman" w:cs="Times New Roman"/>
          <w:b/>
          <w:sz w:val="24"/>
          <w:szCs w:val="24"/>
        </w:rPr>
        <w:t xml:space="preserve"> - Chemistry Today - vol. 38(4) July/August 2020.</w:t>
      </w:r>
    </w:p>
    <w:p w14:paraId="28057126" w14:textId="77777777" w:rsidR="006732A9" w:rsidRPr="00141A6B" w:rsidRDefault="006732A9" w:rsidP="006732A9">
      <w:pPr>
        <w:numPr>
          <w:ilvl w:val="0"/>
          <w:numId w:val="2"/>
        </w:numPr>
        <w:spacing w:before="160" w:after="160" w:line="360" w:lineRule="auto"/>
        <w:jc w:val="both"/>
        <w:rPr>
          <w:rStyle w:val="A0"/>
          <w:rFonts w:ascii="Times New Roman" w:hAnsi="Times New Roman" w:cs="Times New Roman"/>
          <w:b w:val="0"/>
          <w:bCs w:val="0"/>
          <w:sz w:val="24"/>
          <w:szCs w:val="24"/>
        </w:rPr>
      </w:pPr>
      <w:r w:rsidRPr="00141A6B">
        <w:rPr>
          <w:rFonts w:ascii="Times New Roman" w:hAnsi="Times New Roman" w:cs="Times New Roman"/>
          <w:bCs/>
          <w:sz w:val="24"/>
          <w:szCs w:val="24"/>
        </w:rPr>
        <w:t>“Hot-melt extrusion (HME) and its application for pharmacoki</w:t>
      </w:r>
      <w:r w:rsidRPr="00141A6B">
        <w:rPr>
          <w:rFonts w:ascii="Times New Roman" w:hAnsi="Times New Roman" w:cs="Times New Roman"/>
          <w:bCs/>
          <w:sz w:val="24"/>
          <w:szCs w:val="24"/>
        </w:rPr>
        <w:softHyphen/>
        <w:t xml:space="preserve">netic improvement of poorly water-soluble drugs”. </w:t>
      </w:r>
      <w:r w:rsidRPr="00141A6B">
        <w:rPr>
          <w:rFonts w:ascii="Times New Roman" w:hAnsi="Times New Roman" w:cs="Times New Roman"/>
          <w:sz w:val="24"/>
          <w:szCs w:val="24"/>
        </w:rPr>
        <w:t>PTB</w:t>
      </w:r>
      <w:r w:rsidRPr="00141A6B">
        <w:rPr>
          <w:rStyle w:val="A0"/>
          <w:rFonts w:ascii="Times New Roman" w:hAnsi="Times New Roman" w:cs="Times New Roman"/>
          <w:sz w:val="24"/>
          <w:szCs w:val="24"/>
        </w:rPr>
        <w:t xml:space="preserve"> Reports. 2016; 2(3): 47-51.</w:t>
      </w:r>
    </w:p>
    <w:p w14:paraId="73D292B9" w14:textId="77777777" w:rsidR="006732A9" w:rsidRPr="00141A6B" w:rsidRDefault="006732A9" w:rsidP="006732A9">
      <w:pPr>
        <w:numPr>
          <w:ilvl w:val="0"/>
          <w:numId w:val="2"/>
        </w:numPr>
        <w:spacing w:before="160" w:after="160" w:line="360" w:lineRule="auto"/>
        <w:jc w:val="both"/>
        <w:rPr>
          <w:rFonts w:ascii="Times New Roman" w:hAnsi="Times New Roman" w:cs="Times New Roman"/>
          <w:b/>
          <w:sz w:val="24"/>
          <w:szCs w:val="24"/>
        </w:rPr>
      </w:pPr>
      <w:r w:rsidRPr="00141A6B">
        <w:rPr>
          <w:rFonts w:ascii="Times New Roman" w:hAnsi="Times New Roman" w:cs="Times New Roman"/>
          <w:bCs/>
          <w:sz w:val="24"/>
          <w:szCs w:val="24"/>
        </w:rPr>
        <w:t xml:space="preserve">“Leveraging the benefits offered by HME over traditional processing techniques to enhance the solubility of the drug”: </w:t>
      </w:r>
      <w:r w:rsidRPr="00141A6B">
        <w:rPr>
          <w:rFonts w:ascii="Times New Roman" w:hAnsi="Times New Roman" w:cs="Times New Roman"/>
          <w:b/>
          <w:sz w:val="24"/>
          <w:szCs w:val="24"/>
        </w:rPr>
        <w:t>September/October 2012 Biopharma Asia 16-25.</w:t>
      </w:r>
    </w:p>
    <w:p w14:paraId="7053ADD4" w14:textId="77777777" w:rsidR="006732A9" w:rsidRPr="00141A6B" w:rsidRDefault="006732A9" w:rsidP="006732A9">
      <w:pPr>
        <w:numPr>
          <w:ilvl w:val="0"/>
          <w:numId w:val="2"/>
        </w:numPr>
        <w:spacing w:before="160" w:after="160" w:line="360" w:lineRule="auto"/>
        <w:jc w:val="both"/>
        <w:rPr>
          <w:rFonts w:ascii="Times New Roman" w:hAnsi="Times New Roman" w:cs="Times New Roman"/>
          <w:b/>
          <w:sz w:val="24"/>
          <w:szCs w:val="24"/>
        </w:rPr>
      </w:pPr>
      <w:r w:rsidRPr="00141A6B">
        <w:rPr>
          <w:rFonts w:ascii="Times New Roman" w:hAnsi="Times New Roman" w:cs="Times New Roman"/>
          <w:bCs/>
          <w:sz w:val="24"/>
          <w:szCs w:val="24"/>
        </w:rPr>
        <w:t xml:space="preserve">“Inclusion complex of </w:t>
      </w:r>
      <w:proofErr w:type="spellStart"/>
      <w:r w:rsidRPr="00141A6B">
        <w:rPr>
          <w:rFonts w:ascii="Times New Roman" w:hAnsi="Times New Roman" w:cs="Times New Roman"/>
          <w:bCs/>
          <w:sz w:val="24"/>
          <w:szCs w:val="24"/>
        </w:rPr>
        <w:t>aprepitant</w:t>
      </w:r>
      <w:proofErr w:type="spellEnd"/>
      <w:r w:rsidRPr="00141A6B">
        <w:rPr>
          <w:rFonts w:ascii="Times New Roman" w:hAnsi="Times New Roman" w:cs="Times New Roman"/>
          <w:bCs/>
          <w:sz w:val="24"/>
          <w:szCs w:val="24"/>
        </w:rPr>
        <w:t xml:space="preserve"> with cyclodextrin: evaluation of physico-chemical and pharmacokinetic properties”. </w:t>
      </w:r>
      <w:r w:rsidRPr="00141A6B">
        <w:rPr>
          <w:rFonts w:ascii="Times New Roman" w:hAnsi="Times New Roman" w:cs="Times New Roman"/>
          <w:b/>
          <w:sz w:val="24"/>
          <w:szCs w:val="24"/>
        </w:rPr>
        <w:t>Drug Dev Ind Pharm. 2013; 39(11): 1783–1792.</w:t>
      </w:r>
    </w:p>
    <w:p w14:paraId="55408A23" w14:textId="77777777" w:rsidR="006732A9" w:rsidRPr="00141A6B" w:rsidRDefault="006732A9" w:rsidP="006732A9">
      <w:pPr>
        <w:numPr>
          <w:ilvl w:val="0"/>
          <w:numId w:val="2"/>
        </w:numPr>
        <w:spacing w:before="160" w:after="160" w:line="360" w:lineRule="auto"/>
        <w:jc w:val="both"/>
        <w:rPr>
          <w:rFonts w:ascii="Times New Roman" w:hAnsi="Times New Roman" w:cs="Times New Roman"/>
          <w:b/>
          <w:bCs/>
          <w:sz w:val="24"/>
          <w:szCs w:val="24"/>
        </w:rPr>
      </w:pPr>
      <w:r w:rsidRPr="00141A6B">
        <w:rPr>
          <w:rFonts w:ascii="Times New Roman" w:hAnsi="Times New Roman" w:cs="Times New Roman"/>
          <w:sz w:val="24"/>
          <w:szCs w:val="24"/>
        </w:rPr>
        <w:t>“</w:t>
      </w:r>
      <w:r w:rsidRPr="00141A6B">
        <w:rPr>
          <w:rFonts w:ascii="Times New Roman" w:hAnsi="Times New Roman" w:cs="Times New Roman"/>
          <w:i/>
          <w:sz w:val="24"/>
          <w:szCs w:val="24"/>
        </w:rPr>
        <w:t>In-vitro</w:t>
      </w:r>
      <w:r w:rsidRPr="00141A6B">
        <w:rPr>
          <w:rFonts w:ascii="Times New Roman" w:hAnsi="Times New Roman" w:cs="Times New Roman"/>
          <w:sz w:val="24"/>
          <w:szCs w:val="24"/>
        </w:rPr>
        <w:t xml:space="preserve"> release kinetics and bioavailability of gastroretentive cinnarizine HCl tablet”. </w:t>
      </w:r>
      <w:r w:rsidRPr="00141A6B">
        <w:rPr>
          <w:rFonts w:ascii="Times New Roman" w:hAnsi="Times New Roman" w:cs="Times New Roman"/>
          <w:b/>
          <w:bCs/>
          <w:sz w:val="24"/>
          <w:szCs w:val="24"/>
        </w:rPr>
        <w:t>AAPS PharmSciTech.2010; 2(1) 294-303.</w:t>
      </w:r>
    </w:p>
    <w:p w14:paraId="632E4CC0" w14:textId="3EC624E0" w:rsidR="006732A9" w:rsidRPr="00141A6B" w:rsidRDefault="00141A6B" w:rsidP="006732A9">
      <w:pPr>
        <w:autoSpaceDE w:val="0"/>
        <w:autoSpaceDN w:val="0"/>
        <w:adjustRightInd w:val="0"/>
        <w:spacing w:before="100" w:beforeAutospacing="1" w:after="100" w:afterAutospacing="1"/>
        <w:jc w:val="both"/>
        <w:outlineLvl w:val="0"/>
        <w:rPr>
          <w:rFonts w:ascii="Times New Roman" w:hAnsi="Times New Roman" w:cs="Times New Roman"/>
          <w:color w:val="000000"/>
          <w:sz w:val="24"/>
          <w:szCs w:val="24"/>
        </w:rPr>
      </w:pPr>
      <w:r w:rsidRPr="00141A6B">
        <w:rPr>
          <w:rFonts w:ascii="Times New Roman" w:hAnsi="Times New Roman" w:cs="Times New Roman"/>
          <w:b/>
          <w:bCs/>
          <w:color w:val="0D182D"/>
          <w:sz w:val="24"/>
          <w:szCs w:val="24"/>
          <w:lang w:val="en-GB"/>
        </w:rPr>
        <w:t>References</w:t>
      </w:r>
    </w:p>
    <w:p w14:paraId="4BC0E13E" w14:textId="7486671A" w:rsidR="00AF3909" w:rsidRPr="00141A6B" w:rsidRDefault="00AF3909" w:rsidP="00AF3909">
      <w:pPr>
        <w:pStyle w:val="ListParagraph"/>
        <w:numPr>
          <w:ilvl w:val="0"/>
          <w:numId w:val="1"/>
        </w:numPr>
        <w:autoSpaceDE w:val="0"/>
        <w:autoSpaceDN w:val="0"/>
        <w:adjustRightInd w:val="0"/>
        <w:spacing w:before="100" w:beforeAutospacing="1" w:after="100" w:afterAutospacing="1"/>
        <w:jc w:val="both"/>
        <w:outlineLvl w:val="0"/>
        <w:rPr>
          <w:rFonts w:ascii="Times New Roman" w:hAnsi="Times New Roman"/>
          <w:color w:val="000000"/>
          <w:sz w:val="24"/>
          <w:szCs w:val="24"/>
        </w:rPr>
      </w:pPr>
      <w:r w:rsidRPr="00141A6B">
        <w:rPr>
          <w:rFonts w:ascii="Times New Roman" w:hAnsi="Times New Roman"/>
          <w:color w:val="000000"/>
          <w:sz w:val="24"/>
          <w:szCs w:val="24"/>
        </w:rPr>
        <w:t xml:space="preserve">Ridhurkar D, </w:t>
      </w:r>
      <w:proofErr w:type="spellStart"/>
      <w:r w:rsidRPr="00141A6B">
        <w:rPr>
          <w:rFonts w:ascii="Times New Roman" w:hAnsi="Times New Roman"/>
          <w:color w:val="000000"/>
          <w:sz w:val="24"/>
          <w:szCs w:val="24"/>
        </w:rPr>
        <w:t>Vajdai</w:t>
      </w:r>
      <w:proofErr w:type="spellEnd"/>
      <w:r w:rsidRPr="00141A6B">
        <w:rPr>
          <w:rFonts w:ascii="Times New Roman" w:hAnsi="Times New Roman"/>
          <w:color w:val="000000"/>
          <w:sz w:val="24"/>
          <w:szCs w:val="24"/>
        </w:rPr>
        <w:t xml:space="preserve"> A, </w:t>
      </w:r>
      <w:proofErr w:type="spellStart"/>
      <w:r w:rsidRPr="00141A6B">
        <w:rPr>
          <w:rFonts w:ascii="Times New Roman" w:hAnsi="Times New Roman"/>
          <w:color w:val="000000"/>
          <w:sz w:val="24"/>
          <w:szCs w:val="24"/>
        </w:rPr>
        <w:t>Zsigmond</w:t>
      </w:r>
      <w:proofErr w:type="spellEnd"/>
      <w:r w:rsidRPr="00141A6B">
        <w:rPr>
          <w:rFonts w:ascii="Times New Roman" w:hAnsi="Times New Roman"/>
          <w:color w:val="000000"/>
          <w:sz w:val="24"/>
          <w:szCs w:val="24"/>
        </w:rPr>
        <w:t xml:space="preserve"> Z (2016) Hot-melt extrusion (HME) and its </w:t>
      </w:r>
    </w:p>
    <w:p w14:paraId="418DDB98" w14:textId="77777777" w:rsidR="00AF3909" w:rsidRPr="00141A6B" w:rsidRDefault="00AF3909" w:rsidP="00AF3909">
      <w:pPr>
        <w:pStyle w:val="ListParagraph"/>
        <w:autoSpaceDE w:val="0"/>
        <w:autoSpaceDN w:val="0"/>
        <w:adjustRightInd w:val="0"/>
        <w:spacing w:before="100" w:beforeAutospacing="1" w:after="100" w:afterAutospacing="1"/>
        <w:ind w:left="1440"/>
        <w:jc w:val="both"/>
        <w:outlineLvl w:val="0"/>
        <w:rPr>
          <w:rFonts w:ascii="Times New Roman" w:hAnsi="Times New Roman"/>
          <w:color w:val="000000"/>
          <w:sz w:val="24"/>
          <w:szCs w:val="24"/>
        </w:rPr>
      </w:pPr>
      <w:r w:rsidRPr="00141A6B">
        <w:rPr>
          <w:rFonts w:ascii="Times New Roman" w:hAnsi="Times New Roman"/>
          <w:color w:val="000000"/>
          <w:sz w:val="24"/>
          <w:szCs w:val="24"/>
        </w:rPr>
        <w:t>application for pharmacoki</w:t>
      </w:r>
      <w:r w:rsidRPr="00141A6B">
        <w:rPr>
          <w:rFonts w:ascii="Times New Roman" w:hAnsi="Times New Roman"/>
          <w:color w:val="000000"/>
          <w:sz w:val="24"/>
          <w:szCs w:val="24"/>
        </w:rPr>
        <w:softHyphen/>
        <w:t>netic improvement of poorly water-soluble drugs. PTB Reports; 2(3): 47-51.</w:t>
      </w:r>
    </w:p>
    <w:p w14:paraId="7A2E2869" w14:textId="77777777" w:rsidR="00AF3909" w:rsidRPr="00141A6B" w:rsidRDefault="00AF3909" w:rsidP="00AF3909">
      <w:pPr>
        <w:pStyle w:val="ListParagraph"/>
        <w:numPr>
          <w:ilvl w:val="0"/>
          <w:numId w:val="1"/>
        </w:numPr>
        <w:autoSpaceDE w:val="0"/>
        <w:autoSpaceDN w:val="0"/>
        <w:adjustRightInd w:val="0"/>
        <w:spacing w:before="100" w:beforeAutospacing="1" w:after="100" w:afterAutospacing="1"/>
        <w:jc w:val="both"/>
        <w:outlineLvl w:val="0"/>
        <w:rPr>
          <w:rFonts w:ascii="Times New Roman" w:hAnsi="Times New Roman"/>
          <w:color w:val="000000"/>
          <w:sz w:val="24"/>
          <w:szCs w:val="24"/>
        </w:rPr>
      </w:pPr>
      <w:r w:rsidRPr="00141A6B">
        <w:rPr>
          <w:rFonts w:ascii="Times New Roman" w:hAnsi="Times New Roman"/>
          <w:color w:val="000000"/>
          <w:sz w:val="24"/>
          <w:szCs w:val="24"/>
        </w:rPr>
        <w:t xml:space="preserve">Ridhurkar D, Pillai R, Dhawan S (2012) Leveraging the benefits offered by HME </w:t>
      </w:r>
    </w:p>
    <w:p w14:paraId="57D14E50" w14:textId="77777777" w:rsidR="00AF3909" w:rsidRPr="00141A6B" w:rsidRDefault="00AF3909" w:rsidP="00AF3909">
      <w:pPr>
        <w:pStyle w:val="ListParagraph"/>
        <w:autoSpaceDE w:val="0"/>
        <w:autoSpaceDN w:val="0"/>
        <w:adjustRightInd w:val="0"/>
        <w:spacing w:before="100" w:beforeAutospacing="1" w:after="100" w:afterAutospacing="1"/>
        <w:ind w:left="1440"/>
        <w:jc w:val="both"/>
        <w:outlineLvl w:val="0"/>
        <w:rPr>
          <w:rFonts w:ascii="Times New Roman" w:hAnsi="Times New Roman"/>
          <w:color w:val="000000"/>
          <w:sz w:val="24"/>
          <w:szCs w:val="24"/>
        </w:rPr>
      </w:pPr>
      <w:r w:rsidRPr="00141A6B">
        <w:rPr>
          <w:rFonts w:ascii="Times New Roman" w:hAnsi="Times New Roman"/>
          <w:color w:val="000000"/>
          <w:sz w:val="24"/>
          <w:szCs w:val="24"/>
        </w:rPr>
        <w:t>over traditional processing techniques to enhance the solubility of the drug September/October BioPharma Asia 16-25.</w:t>
      </w:r>
    </w:p>
    <w:p w14:paraId="13B62ACE" w14:textId="77777777" w:rsidR="00AF3909" w:rsidRPr="00141A6B" w:rsidRDefault="00AF3909" w:rsidP="00AF3909">
      <w:pPr>
        <w:pStyle w:val="ListParagraph"/>
        <w:numPr>
          <w:ilvl w:val="0"/>
          <w:numId w:val="1"/>
        </w:numPr>
        <w:autoSpaceDE w:val="0"/>
        <w:autoSpaceDN w:val="0"/>
        <w:adjustRightInd w:val="0"/>
        <w:spacing w:before="100" w:beforeAutospacing="1" w:after="100" w:afterAutospacing="1"/>
        <w:jc w:val="both"/>
        <w:outlineLvl w:val="0"/>
        <w:rPr>
          <w:rFonts w:ascii="Times New Roman" w:hAnsi="Times New Roman"/>
          <w:color w:val="000000"/>
          <w:sz w:val="24"/>
          <w:szCs w:val="24"/>
        </w:rPr>
      </w:pPr>
      <w:r w:rsidRPr="00141A6B">
        <w:rPr>
          <w:rFonts w:ascii="Times New Roman" w:hAnsi="Times New Roman"/>
          <w:color w:val="000000"/>
          <w:sz w:val="24"/>
          <w:szCs w:val="24"/>
        </w:rPr>
        <w:t xml:space="preserve">Patil H, Tiwari R, </w:t>
      </w:r>
      <w:proofErr w:type="spellStart"/>
      <w:r w:rsidRPr="00141A6B">
        <w:rPr>
          <w:rFonts w:ascii="Times New Roman" w:hAnsi="Times New Roman"/>
          <w:color w:val="000000"/>
          <w:sz w:val="24"/>
          <w:szCs w:val="24"/>
        </w:rPr>
        <w:t>Repka</w:t>
      </w:r>
      <w:proofErr w:type="spellEnd"/>
      <w:r w:rsidRPr="00141A6B">
        <w:rPr>
          <w:rFonts w:ascii="Times New Roman" w:hAnsi="Times New Roman"/>
          <w:color w:val="000000"/>
          <w:sz w:val="24"/>
          <w:szCs w:val="24"/>
        </w:rPr>
        <w:t xml:space="preserve"> M (2016) Hot-Melt Extrusion: from theory to   </w:t>
      </w:r>
    </w:p>
    <w:p w14:paraId="4E94EF36" w14:textId="77777777" w:rsidR="00AF3909" w:rsidRPr="00141A6B" w:rsidRDefault="00AF3909" w:rsidP="00AF3909">
      <w:pPr>
        <w:pStyle w:val="ListParagraph"/>
        <w:autoSpaceDE w:val="0"/>
        <w:autoSpaceDN w:val="0"/>
        <w:adjustRightInd w:val="0"/>
        <w:spacing w:before="100" w:beforeAutospacing="1" w:after="100" w:afterAutospacing="1"/>
        <w:ind w:firstLine="720"/>
        <w:jc w:val="both"/>
        <w:outlineLvl w:val="0"/>
        <w:rPr>
          <w:rStyle w:val="cit"/>
          <w:rFonts w:ascii="Times New Roman" w:hAnsi="Times New Roman"/>
          <w:color w:val="000000"/>
          <w:sz w:val="24"/>
          <w:szCs w:val="24"/>
        </w:rPr>
      </w:pPr>
      <w:r w:rsidRPr="00141A6B">
        <w:rPr>
          <w:rFonts w:ascii="Times New Roman" w:hAnsi="Times New Roman"/>
          <w:color w:val="000000"/>
          <w:sz w:val="24"/>
          <w:szCs w:val="24"/>
        </w:rPr>
        <w:t xml:space="preserve">application in pharmaceutical formulation. </w:t>
      </w:r>
      <w:r w:rsidRPr="00141A6B">
        <w:rPr>
          <w:rStyle w:val="cit"/>
          <w:rFonts w:ascii="Times New Roman" w:hAnsi="Times New Roman"/>
          <w:sz w:val="24"/>
          <w:szCs w:val="24"/>
          <w:lang w:val="en"/>
        </w:rPr>
        <w:t xml:space="preserve">AAPS </w:t>
      </w:r>
      <w:proofErr w:type="spellStart"/>
      <w:r w:rsidRPr="00141A6B">
        <w:rPr>
          <w:rStyle w:val="cit"/>
          <w:rFonts w:ascii="Times New Roman" w:hAnsi="Times New Roman"/>
          <w:sz w:val="24"/>
          <w:szCs w:val="24"/>
          <w:lang w:val="en"/>
        </w:rPr>
        <w:t>PharmSciTech</w:t>
      </w:r>
      <w:proofErr w:type="spellEnd"/>
      <w:r w:rsidRPr="00141A6B">
        <w:rPr>
          <w:rStyle w:val="cit"/>
          <w:rFonts w:ascii="Times New Roman" w:hAnsi="Times New Roman"/>
          <w:sz w:val="24"/>
          <w:szCs w:val="24"/>
          <w:lang w:val="en"/>
        </w:rPr>
        <w:t xml:space="preserve"> 17(1): 20–42.</w:t>
      </w:r>
    </w:p>
    <w:p w14:paraId="0EA1C43D" w14:textId="77777777" w:rsidR="00C76CDB" w:rsidRPr="00141A6B" w:rsidRDefault="00AF3909" w:rsidP="00C76CDB">
      <w:pPr>
        <w:pStyle w:val="ListParagraph"/>
        <w:numPr>
          <w:ilvl w:val="0"/>
          <w:numId w:val="1"/>
        </w:numPr>
        <w:autoSpaceDE w:val="0"/>
        <w:autoSpaceDN w:val="0"/>
        <w:adjustRightInd w:val="0"/>
        <w:spacing w:before="100" w:beforeAutospacing="1" w:after="100" w:afterAutospacing="1"/>
        <w:ind w:left="709"/>
        <w:jc w:val="both"/>
        <w:outlineLvl w:val="0"/>
        <w:rPr>
          <w:rFonts w:ascii="Times New Roman" w:hAnsi="Times New Roman"/>
          <w:color w:val="000000"/>
          <w:sz w:val="24"/>
          <w:szCs w:val="24"/>
        </w:rPr>
      </w:pPr>
      <w:r w:rsidRPr="00141A6B">
        <w:rPr>
          <w:rFonts w:ascii="Times New Roman" w:hAnsi="Times New Roman"/>
          <w:color w:val="000000"/>
          <w:sz w:val="24"/>
          <w:szCs w:val="24"/>
        </w:rPr>
        <w:t>Wang W, Kang Q, Liu N, Zhang Q, Zhang Y, Li H (2014) Enhanced dissolution</w:t>
      </w:r>
      <w:r w:rsidR="00C76CDB" w:rsidRPr="00141A6B">
        <w:rPr>
          <w:rFonts w:ascii="Times New Roman" w:hAnsi="Times New Roman"/>
          <w:color w:val="000000"/>
          <w:sz w:val="24"/>
          <w:szCs w:val="24"/>
        </w:rPr>
        <w:t xml:space="preserve">  </w:t>
      </w:r>
    </w:p>
    <w:p w14:paraId="66E0E18A" w14:textId="77777777" w:rsidR="00C76CDB" w:rsidRPr="00141A6B" w:rsidRDefault="00C76CDB" w:rsidP="00C76CDB">
      <w:pPr>
        <w:pStyle w:val="ListParagraph"/>
        <w:autoSpaceDE w:val="0"/>
        <w:autoSpaceDN w:val="0"/>
        <w:adjustRightInd w:val="0"/>
        <w:spacing w:before="100" w:beforeAutospacing="1" w:after="100" w:afterAutospacing="1"/>
        <w:ind w:left="709"/>
        <w:jc w:val="both"/>
        <w:outlineLvl w:val="0"/>
        <w:rPr>
          <w:rFonts w:ascii="Times New Roman" w:hAnsi="Times New Roman"/>
          <w:color w:val="000000"/>
          <w:sz w:val="24"/>
          <w:szCs w:val="24"/>
        </w:rPr>
      </w:pPr>
      <w:r w:rsidRPr="00141A6B">
        <w:rPr>
          <w:rFonts w:ascii="Times New Roman" w:hAnsi="Times New Roman"/>
          <w:color w:val="000000"/>
          <w:sz w:val="24"/>
          <w:szCs w:val="24"/>
        </w:rPr>
        <w:t xml:space="preserve">            </w:t>
      </w:r>
      <w:r w:rsidR="00AF3909" w:rsidRPr="00141A6B">
        <w:rPr>
          <w:rFonts w:ascii="Times New Roman" w:hAnsi="Times New Roman"/>
          <w:color w:val="000000"/>
          <w:sz w:val="24"/>
          <w:szCs w:val="24"/>
        </w:rPr>
        <w:t xml:space="preserve">and oral bioavailability of Ginkgo biloba extract by preparing solid dispersion via </w:t>
      </w:r>
      <w:r w:rsidRPr="00141A6B">
        <w:rPr>
          <w:rFonts w:ascii="Times New Roman" w:hAnsi="Times New Roman"/>
          <w:color w:val="000000"/>
          <w:sz w:val="24"/>
          <w:szCs w:val="24"/>
        </w:rPr>
        <w:t xml:space="preserve"> </w:t>
      </w:r>
    </w:p>
    <w:p w14:paraId="211BE578" w14:textId="77777777" w:rsidR="00C76CDB" w:rsidRPr="00141A6B" w:rsidRDefault="00C76CDB" w:rsidP="00C76CDB">
      <w:pPr>
        <w:pStyle w:val="ListParagraph"/>
        <w:autoSpaceDE w:val="0"/>
        <w:autoSpaceDN w:val="0"/>
        <w:adjustRightInd w:val="0"/>
        <w:spacing w:before="100" w:beforeAutospacing="1" w:after="100" w:afterAutospacing="1"/>
        <w:ind w:left="709"/>
        <w:jc w:val="both"/>
        <w:outlineLvl w:val="0"/>
        <w:rPr>
          <w:rFonts w:ascii="Times New Roman" w:hAnsi="Times New Roman"/>
          <w:color w:val="000000"/>
          <w:sz w:val="24"/>
          <w:szCs w:val="24"/>
        </w:rPr>
      </w:pPr>
      <w:r w:rsidRPr="00141A6B">
        <w:rPr>
          <w:rFonts w:ascii="Times New Roman" w:hAnsi="Times New Roman"/>
          <w:color w:val="000000"/>
          <w:sz w:val="24"/>
          <w:szCs w:val="24"/>
        </w:rPr>
        <w:t xml:space="preserve">           </w:t>
      </w:r>
      <w:r w:rsidR="00AF3909" w:rsidRPr="00141A6B">
        <w:rPr>
          <w:rFonts w:ascii="Times New Roman" w:hAnsi="Times New Roman"/>
          <w:color w:val="000000"/>
          <w:sz w:val="24"/>
          <w:szCs w:val="24"/>
        </w:rPr>
        <w:t>hot-melt extrusion. Fitoterapia.102:189-97.</w:t>
      </w:r>
    </w:p>
    <w:p w14:paraId="5AAE3BE4" w14:textId="5346F976" w:rsidR="00C76CDB" w:rsidRPr="00141A6B" w:rsidRDefault="00AF3909" w:rsidP="00ED34A1">
      <w:pPr>
        <w:pStyle w:val="ListParagraph"/>
        <w:numPr>
          <w:ilvl w:val="0"/>
          <w:numId w:val="1"/>
        </w:numPr>
        <w:autoSpaceDE w:val="0"/>
        <w:autoSpaceDN w:val="0"/>
        <w:adjustRightInd w:val="0"/>
        <w:spacing w:before="100" w:beforeAutospacing="1" w:after="100" w:afterAutospacing="1"/>
        <w:jc w:val="both"/>
        <w:outlineLvl w:val="0"/>
        <w:rPr>
          <w:rFonts w:ascii="Times New Roman" w:hAnsi="Times New Roman"/>
          <w:color w:val="000000"/>
          <w:sz w:val="24"/>
          <w:szCs w:val="24"/>
        </w:rPr>
      </w:pPr>
      <w:proofErr w:type="spellStart"/>
      <w:r w:rsidRPr="00141A6B">
        <w:rPr>
          <w:rFonts w:ascii="Times New Roman" w:hAnsi="Times New Roman"/>
          <w:color w:val="000000"/>
          <w:sz w:val="24"/>
          <w:szCs w:val="24"/>
        </w:rPr>
        <w:t>Repka</w:t>
      </w:r>
      <w:proofErr w:type="spellEnd"/>
      <w:r w:rsidRPr="00141A6B">
        <w:rPr>
          <w:rFonts w:ascii="Times New Roman" w:hAnsi="Times New Roman"/>
          <w:color w:val="000000"/>
          <w:sz w:val="24"/>
          <w:szCs w:val="24"/>
        </w:rPr>
        <w:t xml:space="preserve"> M, Bandari A, </w:t>
      </w:r>
      <w:proofErr w:type="spellStart"/>
      <w:r w:rsidRPr="00141A6B">
        <w:rPr>
          <w:rFonts w:ascii="Times New Roman" w:hAnsi="Times New Roman"/>
          <w:color w:val="000000"/>
          <w:sz w:val="24"/>
          <w:szCs w:val="24"/>
        </w:rPr>
        <w:t>Kallakunta</w:t>
      </w:r>
      <w:proofErr w:type="spellEnd"/>
      <w:r w:rsidRPr="00141A6B">
        <w:rPr>
          <w:rFonts w:ascii="Times New Roman" w:hAnsi="Times New Roman"/>
          <w:color w:val="000000"/>
          <w:sz w:val="24"/>
          <w:szCs w:val="24"/>
        </w:rPr>
        <w:t xml:space="preserve"> S (2018) Melt extrusion with poorly soluble drugs     </w:t>
      </w:r>
      <w:r w:rsidR="00C76CDB" w:rsidRPr="00141A6B">
        <w:rPr>
          <w:rFonts w:ascii="Times New Roman" w:hAnsi="Times New Roman"/>
          <w:color w:val="000000"/>
          <w:sz w:val="24"/>
          <w:szCs w:val="24"/>
        </w:rPr>
        <w:t xml:space="preserve">  </w:t>
      </w:r>
    </w:p>
    <w:p w14:paraId="26CFD97B" w14:textId="3E65900E" w:rsidR="00AF3909" w:rsidRPr="00141A6B" w:rsidRDefault="00C76CDB" w:rsidP="00C76CDB">
      <w:pPr>
        <w:pStyle w:val="ListParagraph"/>
        <w:autoSpaceDE w:val="0"/>
        <w:autoSpaceDN w:val="0"/>
        <w:adjustRightInd w:val="0"/>
        <w:spacing w:before="100" w:beforeAutospacing="1" w:after="100" w:afterAutospacing="1"/>
        <w:ind w:left="709"/>
        <w:jc w:val="both"/>
        <w:outlineLvl w:val="0"/>
        <w:rPr>
          <w:rFonts w:ascii="Times New Roman" w:hAnsi="Times New Roman"/>
          <w:color w:val="000000"/>
          <w:sz w:val="24"/>
          <w:szCs w:val="24"/>
        </w:rPr>
      </w:pPr>
      <w:r w:rsidRPr="00141A6B">
        <w:rPr>
          <w:rFonts w:ascii="Times New Roman" w:hAnsi="Times New Roman"/>
          <w:color w:val="000000"/>
          <w:sz w:val="24"/>
          <w:szCs w:val="24"/>
        </w:rPr>
        <w:t xml:space="preserve">   </w:t>
      </w:r>
      <w:r w:rsidR="00ED34A1" w:rsidRPr="00141A6B">
        <w:rPr>
          <w:rFonts w:ascii="Times New Roman" w:hAnsi="Times New Roman"/>
          <w:color w:val="000000"/>
          <w:sz w:val="24"/>
          <w:szCs w:val="24"/>
        </w:rPr>
        <w:t xml:space="preserve">        </w:t>
      </w:r>
      <w:r w:rsidR="00AF3909" w:rsidRPr="00141A6B">
        <w:rPr>
          <w:rFonts w:ascii="Times New Roman" w:hAnsi="Times New Roman"/>
          <w:color w:val="000000"/>
          <w:sz w:val="24"/>
          <w:szCs w:val="24"/>
        </w:rPr>
        <w:t>An integrated review. International Journal of Pharmaceutics, 535(1-2), 68–85.</w:t>
      </w:r>
    </w:p>
    <w:p w14:paraId="14B6E2A2" w14:textId="7DB5E5C6" w:rsidR="00441FB4" w:rsidRPr="00141A6B" w:rsidRDefault="00EC19EB" w:rsidP="00550399">
      <w:pPr>
        <w:autoSpaceDE w:val="0"/>
        <w:autoSpaceDN w:val="0"/>
        <w:adjustRightInd w:val="0"/>
        <w:rPr>
          <w:rFonts w:ascii="Times New Roman" w:hAnsi="Times New Roman" w:cs="Times New Roman"/>
          <w:sz w:val="24"/>
          <w:szCs w:val="24"/>
          <w:lang w:val="en-NZ"/>
        </w:rPr>
      </w:pPr>
      <w:r w:rsidRPr="00141A6B">
        <w:rPr>
          <w:rFonts w:ascii="Times New Roman" w:hAnsi="Times New Roman" w:cs="Times New Roman"/>
          <w:b/>
          <w:sz w:val="24"/>
          <w:szCs w:val="24"/>
          <w:lang w:val="en-NZ"/>
        </w:rPr>
        <w:t xml:space="preserve">Presenting author details </w:t>
      </w:r>
      <w:r w:rsidRPr="00141A6B">
        <w:rPr>
          <w:rFonts w:ascii="Times New Roman" w:hAnsi="Times New Roman" w:cs="Times New Roman"/>
          <w:b/>
          <w:sz w:val="24"/>
          <w:szCs w:val="24"/>
          <w:lang w:val="en-NZ"/>
        </w:rPr>
        <w:br/>
      </w:r>
      <w:r w:rsidR="00AF3909" w:rsidRPr="00141A6B">
        <w:rPr>
          <w:rFonts w:ascii="Times New Roman" w:hAnsi="Times New Roman" w:cs="Times New Roman"/>
          <w:sz w:val="24"/>
          <w:szCs w:val="24"/>
          <w:lang w:val="en-NZ"/>
        </w:rPr>
        <w:t xml:space="preserve">Full name: Dr. </w:t>
      </w:r>
      <w:r w:rsidR="00AF3909" w:rsidRPr="00141A6B">
        <w:rPr>
          <w:rFonts w:ascii="Times New Roman" w:hAnsi="Times New Roman" w:cs="Times New Roman"/>
          <w:sz w:val="24"/>
          <w:szCs w:val="24"/>
          <w:lang w:val="it-IT"/>
        </w:rPr>
        <w:t>Devendra Ridhurkar</w:t>
      </w:r>
      <w:r w:rsidR="00AF3909" w:rsidRPr="00141A6B">
        <w:rPr>
          <w:rFonts w:ascii="Times New Roman" w:hAnsi="Times New Roman" w:cs="Times New Roman"/>
          <w:sz w:val="24"/>
          <w:szCs w:val="24"/>
          <w:lang w:val="en-NZ"/>
        </w:rPr>
        <w:br/>
      </w:r>
      <w:r w:rsidR="00290172" w:rsidRPr="00141A6B">
        <w:rPr>
          <w:rFonts w:ascii="Times New Roman" w:hAnsi="Times New Roman" w:cs="Times New Roman"/>
          <w:sz w:val="24"/>
          <w:szCs w:val="24"/>
          <w:lang w:val="en-NZ"/>
        </w:rPr>
        <w:t xml:space="preserve">Linked In </w:t>
      </w:r>
      <w:r w:rsidR="00AF3909" w:rsidRPr="00141A6B">
        <w:rPr>
          <w:rFonts w:ascii="Times New Roman" w:hAnsi="Times New Roman" w:cs="Times New Roman"/>
          <w:sz w:val="24"/>
          <w:szCs w:val="24"/>
          <w:lang w:val="en-NZ"/>
        </w:rPr>
        <w:t>account:</w:t>
      </w:r>
      <w:r w:rsidR="00441FB4" w:rsidRPr="00141A6B">
        <w:rPr>
          <w:rFonts w:ascii="Times New Roman" w:hAnsi="Times New Roman" w:cs="Times New Roman"/>
          <w:sz w:val="24"/>
          <w:szCs w:val="24"/>
        </w:rPr>
        <w:t xml:space="preserve"> </w:t>
      </w:r>
      <w:hyperlink r:id="rId6" w:history="1">
        <w:r w:rsidR="00441FB4" w:rsidRPr="00141A6B">
          <w:rPr>
            <w:rStyle w:val="Hyperlink"/>
            <w:rFonts w:ascii="Times New Roman" w:hAnsi="Times New Roman" w:cs="Times New Roman"/>
            <w:sz w:val="24"/>
            <w:szCs w:val="24"/>
            <w:lang w:val="en-NZ"/>
          </w:rPr>
          <w:t>https://www.linkedin.com/in/dr-devendra-ridhurkar-813b5b15/</w:t>
        </w:r>
      </w:hyperlink>
    </w:p>
    <w:sectPr w:rsidR="00441FB4" w:rsidRPr="00141A6B" w:rsidSect="00C76CDB">
      <w:pgSz w:w="12240" w:h="15840"/>
      <w:pgMar w:top="1304" w:right="1304" w:bottom="130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Arial"/>
    <w:panose1 w:val="00000000000000000000"/>
    <w:charset w:val="00"/>
    <w:family w:val="swiss"/>
    <w:notTrueType/>
    <w:pitch w:val="default"/>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8B51D5"/>
    <w:multiLevelType w:val="hybridMultilevel"/>
    <w:tmpl w:val="6591AC7D"/>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6AB563B5"/>
    <w:multiLevelType w:val="hybridMultilevel"/>
    <w:tmpl w:val="38D468BC"/>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321003604">
    <w:abstractNumId w:val="0"/>
  </w:num>
  <w:num w:numId="2" w16cid:durableId="7478487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B94"/>
    <w:rsid w:val="0005267D"/>
    <w:rsid w:val="00141A6B"/>
    <w:rsid w:val="0019242B"/>
    <w:rsid w:val="001C1503"/>
    <w:rsid w:val="00241CD5"/>
    <w:rsid w:val="00290172"/>
    <w:rsid w:val="002A021E"/>
    <w:rsid w:val="002A0F8F"/>
    <w:rsid w:val="00352289"/>
    <w:rsid w:val="003B4242"/>
    <w:rsid w:val="00441FB4"/>
    <w:rsid w:val="004C2585"/>
    <w:rsid w:val="00550399"/>
    <w:rsid w:val="006732A9"/>
    <w:rsid w:val="00675457"/>
    <w:rsid w:val="0078427C"/>
    <w:rsid w:val="007B3C74"/>
    <w:rsid w:val="008140FE"/>
    <w:rsid w:val="0086089D"/>
    <w:rsid w:val="008A24F1"/>
    <w:rsid w:val="009C7233"/>
    <w:rsid w:val="00AB17C0"/>
    <w:rsid w:val="00AF3909"/>
    <w:rsid w:val="00AF5DD3"/>
    <w:rsid w:val="00B06B94"/>
    <w:rsid w:val="00B41087"/>
    <w:rsid w:val="00B97B06"/>
    <w:rsid w:val="00BC77D6"/>
    <w:rsid w:val="00C76CDB"/>
    <w:rsid w:val="00CA14AD"/>
    <w:rsid w:val="00CB4F5D"/>
    <w:rsid w:val="00CC75E9"/>
    <w:rsid w:val="00CE7548"/>
    <w:rsid w:val="00CF4BE7"/>
    <w:rsid w:val="00D002F0"/>
    <w:rsid w:val="00D01AEC"/>
    <w:rsid w:val="00D43840"/>
    <w:rsid w:val="00E3466E"/>
    <w:rsid w:val="00E5059A"/>
    <w:rsid w:val="00EC19EB"/>
    <w:rsid w:val="00ED34A1"/>
    <w:rsid w:val="00F31C3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D9A84"/>
  <w15:docId w15:val="{DF51EA33-976E-46A8-B91A-EECEB7E8A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5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77D6"/>
    <w:rPr>
      <w:color w:val="0000FF" w:themeColor="hyperlink"/>
      <w:u w:val="single"/>
    </w:rPr>
  </w:style>
  <w:style w:type="paragraph" w:styleId="BalloonText">
    <w:name w:val="Balloon Text"/>
    <w:basedOn w:val="Normal"/>
    <w:link w:val="BalloonTextChar"/>
    <w:uiPriority w:val="99"/>
    <w:semiHidden/>
    <w:unhideWhenUsed/>
    <w:rsid w:val="00EC19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19EB"/>
    <w:rPr>
      <w:rFonts w:ascii="Tahoma" w:hAnsi="Tahoma" w:cs="Tahoma"/>
      <w:sz w:val="16"/>
      <w:szCs w:val="16"/>
    </w:rPr>
  </w:style>
  <w:style w:type="paragraph" w:customStyle="1" w:styleId="Default">
    <w:name w:val="Default"/>
    <w:rsid w:val="00AF3909"/>
    <w:pPr>
      <w:autoSpaceDE w:val="0"/>
      <w:autoSpaceDN w:val="0"/>
      <w:adjustRightInd w:val="0"/>
      <w:spacing w:after="0" w:line="240" w:lineRule="auto"/>
    </w:pPr>
    <w:rPr>
      <w:rFonts w:ascii="Myriad Pro" w:eastAsia="Calibri" w:hAnsi="Myriad Pro" w:cs="Myriad Pro"/>
      <w:color w:val="000000"/>
      <w:sz w:val="24"/>
      <w:szCs w:val="24"/>
    </w:rPr>
  </w:style>
  <w:style w:type="paragraph" w:styleId="ListParagraph">
    <w:name w:val="List Paragraph"/>
    <w:basedOn w:val="Normal"/>
    <w:uiPriority w:val="34"/>
    <w:qFormat/>
    <w:rsid w:val="00AF3909"/>
    <w:pPr>
      <w:ind w:left="720"/>
      <w:contextualSpacing/>
    </w:pPr>
    <w:rPr>
      <w:rFonts w:ascii="Calibri" w:eastAsia="Calibri" w:hAnsi="Calibri" w:cs="Times New Roman"/>
    </w:rPr>
  </w:style>
  <w:style w:type="character" w:customStyle="1" w:styleId="cit">
    <w:name w:val="cit"/>
    <w:rsid w:val="00AF3909"/>
  </w:style>
  <w:style w:type="character" w:styleId="UnresolvedMention">
    <w:name w:val="Unresolved Mention"/>
    <w:basedOn w:val="DefaultParagraphFont"/>
    <w:uiPriority w:val="99"/>
    <w:semiHidden/>
    <w:unhideWhenUsed/>
    <w:rsid w:val="00441FB4"/>
    <w:rPr>
      <w:color w:val="605E5C"/>
      <w:shd w:val="clear" w:color="auto" w:fill="E1DFDD"/>
    </w:rPr>
  </w:style>
  <w:style w:type="character" w:customStyle="1" w:styleId="A0">
    <w:name w:val="A0"/>
    <w:uiPriority w:val="99"/>
    <w:rsid w:val="006732A9"/>
    <w:rPr>
      <w:rFonts w:cs="Myriad Pro"/>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inkedin.com/in/dr-devendra-ridhurkar-813b5b15/"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760</Words>
  <Characters>4332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Venkatesh</dc:creator>
  <cp:lastModifiedBy>Ridhurkar, Devendra</cp:lastModifiedBy>
  <cp:revision>14</cp:revision>
  <dcterms:created xsi:type="dcterms:W3CDTF">2022-03-18T14:19:00Z</dcterms:created>
  <dcterms:modified xsi:type="dcterms:W3CDTF">2022-10-19T15:32:00Z</dcterms:modified>
</cp:coreProperties>
</file>