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7D7" w:rsidRPr="002A6120" w:rsidRDefault="003457D7" w:rsidP="008A2C16">
      <w:pPr>
        <w:pStyle w:val="MDPI12title"/>
        <w:spacing w:line="360" w:lineRule="auto"/>
        <w:jc w:val="both"/>
        <w:rPr>
          <w:sz w:val="24"/>
          <w:szCs w:val="24"/>
        </w:rPr>
      </w:pPr>
      <w:bookmarkStart w:id="0" w:name="_Hlk84845426"/>
      <w:r w:rsidRPr="002A6120">
        <w:rPr>
          <w:sz w:val="24"/>
          <w:szCs w:val="24"/>
        </w:rPr>
        <w:t xml:space="preserve">Synthesis, molecular docking analysis </w:t>
      </w:r>
      <w:bookmarkStart w:id="1" w:name="_GoBack"/>
      <w:bookmarkEnd w:id="1"/>
      <w:r w:rsidRPr="002A6120">
        <w:rPr>
          <w:sz w:val="24"/>
          <w:szCs w:val="24"/>
        </w:rPr>
        <w:t xml:space="preserve">and </w:t>
      </w:r>
      <w:r w:rsidRPr="00EA56CC">
        <w:rPr>
          <w:i/>
          <w:sz w:val="24"/>
          <w:szCs w:val="24"/>
        </w:rPr>
        <w:t>in-vitro</w:t>
      </w:r>
      <w:r w:rsidRPr="002A6120">
        <w:rPr>
          <w:sz w:val="24"/>
          <w:szCs w:val="24"/>
        </w:rPr>
        <w:t xml:space="preserve"> evaluation of 1</w:t>
      </w:r>
      <w:proofErr w:type="gramStart"/>
      <w:r w:rsidRPr="002A6120">
        <w:rPr>
          <w:sz w:val="24"/>
          <w:szCs w:val="24"/>
        </w:rPr>
        <w:t>,4</w:t>
      </w:r>
      <w:proofErr w:type="gramEnd"/>
      <w:r w:rsidRPr="002A6120">
        <w:rPr>
          <w:sz w:val="24"/>
          <w:szCs w:val="24"/>
        </w:rPr>
        <w:t>-dihydroxyanthraquinone</w:t>
      </w:r>
      <w:r w:rsidRPr="002A6120">
        <w:rPr>
          <w:sz w:val="24"/>
          <w:szCs w:val="24"/>
        </w:rPr>
        <w:tab/>
        <w:t>derivatives as a</w:t>
      </w:r>
      <w:r w:rsidRPr="002A6120">
        <w:rPr>
          <w:sz w:val="24"/>
          <w:szCs w:val="24"/>
        </w:rPr>
        <w:t>n</w:t>
      </w:r>
      <w:r w:rsidRPr="002A6120">
        <w:rPr>
          <w:sz w:val="24"/>
          <w:szCs w:val="24"/>
        </w:rPr>
        <w:t>ti-trypanosomal agents</w:t>
      </w:r>
    </w:p>
    <w:bookmarkEnd w:id="0"/>
    <w:p w:rsidR="00444E39" w:rsidRPr="00BC53ED" w:rsidRDefault="00444E39" w:rsidP="00BC53ED">
      <w:pPr>
        <w:pStyle w:val="MDPI16affiliation"/>
        <w:rPr>
          <w:szCs w:val="16"/>
        </w:rPr>
      </w:pPr>
      <w:r w:rsidRPr="00A04434">
        <w:t>1</w:t>
      </w:r>
      <w:r w:rsidRPr="00A04434">
        <w:tab/>
      </w:r>
      <w:r w:rsidRPr="00A04434">
        <w:rPr>
          <w:szCs w:val="16"/>
        </w:rPr>
        <w:t>Department of Chemistry, Faculty of Science, Rhodes University, Makhanda 6140, South Africa;</w:t>
      </w:r>
      <w:hyperlink r:id="rId5" w:history="1">
        <w:r w:rsidRPr="00A04434">
          <w:rPr>
            <w:rStyle w:val="Hyperlink"/>
          </w:rPr>
          <w:t>lydiakisula@yahoo.com</w:t>
        </w:r>
      </w:hyperlink>
      <w:r w:rsidRPr="00A04434">
        <w:rPr>
          <w:szCs w:val="20"/>
        </w:rPr>
        <w:t xml:space="preserve"> (LK</w:t>
      </w:r>
      <w:r w:rsidRPr="00A04434">
        <w:rPr>
          <w:szCs w:val="16"/>
        </w:rPr>
        <w:t xml:space="preserve">.); </w:t>
      </w:r>
      <w:r w:rsidRPr="00A04434">
        <w:rPr>
          <w:szCs w:val="20"/>
        </w:rPr>
        <w:t>x.siwenoundou@ru.ac.za (XSN</w:t>
      </w:r>
      <w:r w:rsidRPr="00A04434">
        <w:rPr>
          <w:szCs w:val="16"/>
        </w:rPr>
        <w:t>)</w:t>
      </w:r>
      <w:r w:rsidRPr="00A04434">
        <w:rPr>
          <w:szCs w:val="20"/>
        </w:rPr>
        <w:t xml:space="preserve">; </w:t>
      </w:r>
      <w:hyperlink r:id="rId6" w:history="1">
        <w:r w:rsidRPr="00A04434">
          <w:rPr>
            <w:rStyle w:val="Hyperlink"/>
          </w:rPr>
          <w:t>r.krause@ru.ac.za</w:t>
        </w:r>
      </w:hyperlink>
      <w:r w:rsidRPr="00A04434">
        <w:rPr>
          <w:szCs w:val="20"/>
        </w:rPr>
        <w:t xml:space="preserve"> (RWMK)</w:t>
      </w:r>
    </w:p>
    <w:p w:rsidR="00444E39" w:rsidRPr="00A04434" w:rsidRDefault="00444E39" w:rsidP="00444E39">
      <w:pPr>
        <w:pStyle w:val="MDPI16affiliation"/>
        <w:rPr>
          <w:szCs w:val="16"/>
        </w:rPr>
      </w:pPr>
      <w:r w:rsidRPr="00A04434">
        <w:rPr>
          <w:szCs w:val="12"/>
        </w:rPr>
        <w:t xml:space="preserve">2 </w:t>
      </w:r>
      <w:r w:rsidRPr="00A04434">
        <w:rPr>
          <w:szCs w:val="16"/>
        </w:rPr>
        <w:t>Departments of Biochemistry and Microbiology, Faculty of Science, Rhodes University,</w:t>
      </w:r>
    </w:p>
    <w:p w:rsidR="00444E39" w:rsidRPr="00A04434" w:rsidRDefault="00444E39" w:rsidP="00444E39">
      <w:pPr>
        <w:pStyle w:val="MDPI16affiliation"/>
        <w:rPr>
          <w:szCs w:val="16"/>
        </w:rPr>
      </w:pPr>
      <w:r w:rsidRPr="00A04434">
        <w:rPr>
          <w:szCs w:val="16"/>
        </w:rPr>
        <w:t>Makhanda 6140, South Africa; g10s2905@campus.ru.ac.za (T.S); h.hoppe@ru.ac.za (HCH);</w:t>
      </w:r>
    </w:p>
    <w:p w:rsidR="00444E39" w:rsidRPr="00A04434" w:rsidRDefault="00444E39" w:rsidP="00444E39">
      <w:pPr>
        <w:pStyle w:val="MDPI16affiliation"/>
      </w:pPr>
      <w:r w:rsidRPr="00A04434">
        <w:t xml:space="preserve">3 Chemistry Department, College of Natural and Applied Sciences, University of Dar es Salaam, P. O Box 35061, Dar es Salaam, Tanzania; </w:t>
      </w:r>
      <w:hyperlink r:id="rId7" w:history="1">
        <w:r w:rsidRPr="00A04434">
          <w:rPr>
            <w:rStyle w:val="Hyperlink"/>
            <w:color w:val="auto"/>
          </w:rPr>
          <w:t>qamgani@yahoo.co.uk</w:t>
        </w:r>
      </w:hyperlink>
      <w:r w:rsidRPr="00A04434">
        <w:rPr>
          <w:color w:val="auto"/>
        </w:rPr>
        <w:t xml:space="preserve"> </w:t>
      </w:r>
      <w:r w:rsidRPr="00A04434">
        <w:t>(QM)</w:t>
      </w:r>
    </w:p>
    <w:p w:rsidR="00444E39" w:rsidRPr="00A04434" w:rsidRDefault="00444E39" w:rsidP="00444E39">
      <w:pPr>
        <w:pStyle w:val="MDPI16affiliation"/>
      </w:pPr>
      <w:r w:rsidRPr="00A04434">
        <w:t>4 Center for Chemical and Biomedicinal Research (CCBR), Rhodes University</w:t>
      </w:r>
    </w:p>
    <w:p w:rsidR="00444E39" w:rsidRDefault="00444E39" w:rsidP="00444E39">
      <w:pPr>
        <w:pStyle w:val="MDPI16affiliation"/>
        <w:rPr>
          <w:color w:val="auto"/>
        </w:rPr>
      </w:pPr>
      <w:r w:rsidRPr="00A04434">
        <w:t xml:space="preserve"> * Correspondence: </w:t>
      </w:r>
      <w:hyperlink r:id="rId8" w:history="1">
        <w:r w:rsidRPr="00A04434">
          <w:rPr>
            <w:rStyle w:val="Hyperlink"/>
            <w:color w:val="auto"/>
          </w:rPr>
          <w:t>r.krause@ru.ac.za</w:t>
        </w:r>
      </w:hyperlink>
      <w:r w:rsidRPr="00A04434">
        <w:rPr>
          <w:color w:val="auto"/>
        </w:rPr>
        <w:t>; Tel.: +27-46-603-7030</w:t>
      </w:r>
    </w:p>
    <w:p w:rsidR="00AB1F3B" w:rsidRPr="00A04434" w:rsidRDefault="00AB1F3B" w:rsidP="00444E39">
      <w:pPr>
        <w:pStyle w:val="MDPI16affiliation"/>
      </w:pPr>
    </w:p>
    <w:p w:rsidR="003457D7" w:rsidRDefault="003457D7" w:rsidP="00444E39">
      <w:pPr>
        <w:pStyle w:val="MDPI17abstract"/>
        <w:spacing w:line="360" w:lineRule="auto"/>
        <w:ind w:left="0"/>
        <w:rPr>
          <w:color w:val="auto"/>
          <w:sz w:val="20"/>
          <w:szCs w:val="20"/>
        </w:rPr>
      </w:pPr>
      <w:r w:rsidRPr="00AB1F3B">
        <w:rPr>
          <w:b/>
          <w:sz w:val="20"/>
          <w:szCs w:val="20"/>
        </w:rPr>
        <w:t>Abstract</w:t>
      </w:r>
      <w:r w:rsidRPr="00AB1F3B">
        <w:rPr>
          <w:sz w:val="20"/>
          <w:szCs w:val="20"/>
        </w:rPr>
        <w:t xml:space="preserve">: </w:t>
      </w:r>
      <w:r w:rsidRPr="00AB1F3B">
        <w:rPr>
          <w:color w:val="auto"/>
          <w:sz w:val="20"/>
          <w:szCs w:val="20"/>
        </w:rPr>
        <w:t>Hydroxy substituted anthraquinones are among the most important derivatives in o</w:t>
      </w:r>
      <w:r w:rsidRPr="00AB1F3B">
        <w:rPr>
          <w:color w:val="auto"/>
          <w:sz w:val="20"/>
          <w:szCs w:val="20"/>
        </w:rPr>
        <w:t>r</w:t>
      </w:r>
      <w:r w:rsidRPr="00AB1F3B">
        <w:rPr>
          <w:color w:val="auto"/>
          <w:sz w:val="20"/>
          <w:szCs w:val="20"/>
        </w:rPr>
        <w:t>ganic synthesis. The attractive biological properties of these compounds are relevant to many th</w:t>
      </w:r>
      <w:r w:rsidRPr="00AB1F3B">
        <w:rPr>
          <w:color w:val="auto"/>
          <w:sz w:val="20"/>
          <w:szCs w:val="20"/>
        </w:rPr>
        <w:t>e</w:t>
      </w:r>
      <w:r w:rsidRPr="00AB1F3B">
        <w:rPr>
          <w:color w:val="auto"/>
          <w:sz w:val="20"/>
          <w:szCs w:val="20"/>
        </w:rPr>
        <w:t>rapeutic areas that are of use in clinical applications. In this present work,</w:t>
      </w:r>
      <w:r w:rsidR="00444E39" w:rsidRPr="00AB1F3B">
        <w:rPr>
          <w:color w:val="auto"/>
          <w:sz w:val="20"/>
          <w:szCs w:val="20"/>
        </w:rPr>
        <w:t xml:space="preserve"> we have synthesized </w:t>
      </w:r>
      <w:r w:rsidRPr="00AB1F3B">
        <w:rPr>
          <w:color w:val="auto"/>
          <w:sz w:val="20"/>
          <w:szCs w:val="20"/>
        </w:rPr>
        <w:t>1</w:t>
      </w:r>
      <w:proofErr w:type="gramStart"/>
      <w:r w:rsidRPr="00AB1F3B">
        <w:rPr>
          <w:color w:val="auto"/>
          <w:sz w:val="20"/>
          <w:szCs w:val="20"/>
        </w:rPr>
        <w:t>,4</w:t>
      </w:r>
      <w:proofErr w:type="gramEnd"/>
      <w:r w:rsidRPr="00AB1F3B">
        <w:rPr>
          <w:color w:val="auto"/>
          <w:sz w:val="20"/>
          <w:szCs w:val="20"/>
        </w:rPr>
        <w:t xml:space="preserve">-dihydroxyanthraquinone </w:t>
      </w:r>
      <w:r w:rsidR="00444E39" w:rsidRPr="00AB1F3B">
        <w:rPr>
          <w:color w:val="auto"/>
          <w:sz w:val="20"/>
          <w:szCs w:val="20"/>
        </w:rPr>
        <w:t xml:space="preserve">derivatives </w:t>
      </w:r>
      <w:r w:rsidRPr="00AB1F3B">
        <w:rPr>
          <w:color w:val="auto"/>
          <w:sz w:val="20"/>
          <w:szCs w:val="20"/>
        </w:rPr>
        <w:t>using a mo</w:t>
      </w:r>
      <w:r w:rsidRPr="00AB1F3B">
        <w:rPr>
          <w:color w:val="auto"/>
          <w:sz w:val="20"/>
          <w:szCs w:val="20"/>
        </w:rPr>
        <w:t>d</w:t>
      </w:r>
      <w:r w:rsidRPr="00AB1F3B">
        <w:rPr>
          <w:color w:val="auto"/>
          <w:sz w:val="20"/>
          <w:szCs w:val="20"/>
        </w:rPr>
        <w:t xml:space="preserve">ified Marschalk reaction. Moreover, </w:t>
      </w:r>
      <w:r w:rsidR="00444E39" w:rsidRPr="00AB1F3B">
        <w:rPr>
          <w:color w:val="auto"/>
          <w:sz w:val="20"/>
          <w:szCs w:val="20"/>
        </w:rPr>
        <w:t xml:space="preserve">a </w:t>
      </w:r>
      <w:r w:rsidRPr="00AB1F3B">
        <w:rPr>
          <w:color w:val="auto"/>
          <w:sz w:val="20"/>
          <w:szCs w:val="20"/>
        </w:rPr>
        <w:t>1</w:t>
      </w:r>
      <w:proofErr w:type="gramStart"/>
      <w:r w:rsidRPr="00AB1F3B">
        <w:rPr>
          <w:color w:val="auto"/>
          <w:sz w:val="20"/>
          <w:szCs w:val="20"/>
        </w:rPr>
        <w:t>,4,5</w:t>
      </w:r>
      <w:proofErr w:type="gramEnd"/>
      <w:r w:rsidRPr="00AB1F3B">
        <w:rPr>
          <w:color w:val="auto"/>
          <w:sz w:val="20"/>
          <w:szCs w:val="20"/>
        </w:rPr>
        <w:t>-trihydroxyanthraquinone was synthesized from anaca</w:t>
      </w:r>
      <w:r w:rsidRPr="00AB1F3B">
        <w:rPr>
          <w:color w:val="auto"/>
          <w:sz w:val="20"/>
          <w:szCs w:val="20"/>
        </w:rPr>
        <w:t>r</w:t>
      </w:r>
      <w:r w:rsidRPr="00AB1F3B">
        <w:rPr>
          <w:color w:val="auto"/>
          <w:sz w:val="20"/>
          <w:szCs w:val="20"/>
        </w:rPr>
        <w:t>dic acid, an agro-waste from the cashew i</w:t>
      </w:r>
      <w:r w:rsidRPr="00AB1F3B">
        <w:rPr>
          <w:color w:val="auto"/>
          <w:sz w:val="20"/>
          <w:szCs w:val="20"/>
        </w:rPr>
        <w:t>n</w:t>
      </w:r>
      <w:r w:rsidRPr="00AB1F3B">
        <w:rPr>
          <w:color w:val="auto"/>
          <w:sz w:val="20"/>
          <w:szCs w:val="20"/>
        </w:rPr>
        <w:t xml:space="preserve">dustry. The </w:t>
      </w:r>
      <w:r w:rsidRPr="00EA56CC">
        <w:rPr>
          <w:i/>
          <w:color w:val="auto"/>
          <w:sz w:val="20"/>
          <w:szCs w:val="20"/>
        </w:rPr>
        <w:t>in vitro</w:t>
      </w:r>
      <w:r w:rsidRPr="00AB1F3B">
        <w:rPr>
          <w:color w:val="auto"/>
          <w:sz w:val="20"/>
          <w:szCs w:val="20"/>
        </w:rPr>
        <w:t xml:space="preserve"> screening of the compounds against </w:t>
      </w:r>
      <w:r w:rsidRPr="00AB1F3B">
        <w:rPr>
          <w:i/>
          <w:color w:val="auto"/>
          <w:sz w:val="20"/>
          <w:szCs w:val="20"/>
        </w:rPr>
        <w:t>Trypanosoma brucei</w:t>
      </w:r>
      <w:r w:rsidRPr="00AB1F3B">
        <w:rPr>
          <w:color w:val="auto"/>
          <w:sz w:val="20"/>
          <w:szCs w:val="20"/>
        </w:rPr>
        <w:t xml:space="preserve"> parasites revealed noteworthy activity with reasonable selectivity against a human cell lines. A molecular docking study was performed to analyze the modes of interaction of the synthesized compounds to the active site of trypanothione reductase. The docked poses were examined by visual inspections, and test compounds displayed good binding affinity with the r</w:t>
      </w:r>
      <w:r w:rsidRPr="00AB1F3B">
        <w:rPr>
          <w:color w:val="auto"/>
          <w:sz w:val="20"/>
          <w:szCs w:val="20"/>
        </w:rPr>
        <w:t>e</w:t>
      </w:r>
      <w:r w:rsidRPr="00AB1F3B">
        <w:rPr>
          <w:color w:val="auto"/>
          <w:sz w:val="20"/>
          <w:szCs w:val="20"/>
        </w:rPr>
        <w:t xml:space="preserve">ceptor protein. This </w:t>
      </w:r>
      <w:r w:rsidRPr="00AB1F3B">
        <w:rPr>
          <w:iCs/>
          <w:color w:val="auto"/>
          <w:sz w:val="20"/>
          <w:szCs w:val="20"/>
        </w:rPr>
        <w:t>in-vitro/ molecular docking</w:t>
      </w:r>
      <w:r w:rsidRPr="00AB1F3B">
        <w:rPr>
          <w:color w:val="auto"/>
          <w:sz w:val="20"/>
          <w:szCs w:val="20"/>
        </w:rPr>
        <w:t xml:space="preserve"> evaluation suggest that substituted 1</w:t>
      </w:r>
      <w:proofErr w:type="gramStart"/>
      <w:r w:rsidRPr="00AB1F3B">
        <w:rPr>
          <w:color w:val="auto"/>
          <w:sz w:val="20"/>
          <w:szCs w:val="20"/>
        </w:rPr>
        <w:t>,4</w:t>
      </w:r>
      <w:proofErr w:type="gramEnd"/>
      <w:r w:rsidRPr="00AB1F3B">
        <w:rPr>
          <w:color w:val="auto"/>
          <w:sz w:val="20"/>
          <w:szCs w:val="20"/>
        </w:rPr>
        <w:t>-dihydroxyanthraquinone derivative can be promising starting structures in the search of active drugs against trypanosomiasis.</w:t>
      </w:r>
    </w:p>
    <w:p w:rsidR="00EA56CC" w:rsidRPr="00EA56CC" w:rsidRDefault="00EA56CC" w:rsidP="00EA56CC">
      <w:pPr>
        <w:rPr>
          <w:lang w:eastAsia="de-DE" w:bidi="en-US"/>
        </w:rPr>
      </w:pPr>
    </w:p>
    <w:p w:rsidR="00444E39" w:rsidRPr="00444E39" w:rsidRDefault="00444E39" w:rsidP="00444E39">
      <w:pPr>
        <w:rPr>
          <w:lang w:eastAsia="de-DE" w:bidi="en-US"/>
        </w:rPr>
      </w:pPr>
    </w:p>
    <w:p w:rsidR="003457D7" w:rsidRDefault="003457D7" w:rsidP="008A2C16">
      <w:pPr>
        <w:autoSpaceDE w:val="0"/>
        <w:autoSpaceDN w:val="0"/>
        <w:adjustRightInd w:val="0"/>
        <w:spacing w:line="360" w:lineRule="auto"/>
        <w:jc w:val="left"/>
        <w:rPr>
          <w:rFonts w:eastAsiaTheme="minorHAnsi"/>
          <w:b/>
          <w:bCs/>
          <w:noProof w:val="0"/>
          <w:sz w:val="22"/>
          <w:szCs w:val="22"/>
          <w:lang w:val="en-ZA" w:eastAsia="en-US"/>
        </w:rPr>
      </w:pPr>
      <w:r w:rsidRPr="008A2C16">
        <w:rPr>
          <w:rFonts w:eastAsiaTheme="minorHAnsi"/>
          <w:b/>
          <w:bCs/>
          <w:noProof w:val="0"/>
          <w:sz w:val="22"/>
          <w:szCs w:val="22"/>
          <w:lang w:val="en-ZA" w:eastAsia="en-US"/>
        </w:rPr>
        <w:t>Biography</w:t>
      </w:r>
    </w:p>
    <w:p w:rsidR="002A6120" w:rsidRPr="008A2C16" w:rsidRDefault="002A6120" w:rsidP="008A2C16">
      <w:pPr>
        <w:autoSpaceDE w:val="0"/>
        <w:autoSpaceDN w:val="0"/>
        <w:adjustRightInd w:val="0"/>
        <w:spacing w:line="360" w:lineRule="auto"/>
        <w:jc w:val="left"/>
        <w:rPr>
          <w:rFonts w:eastAsiaTheme="minorHAnsi"/>
          <w:b/>
          <w:bCs/>
          <w:noProof w:val="0"/>
          <w:sz w:val="22"/>
          <w:szCs w:val="22"/>
          <w:lang w:val="en-ZA" w:eastAsia="en-US"/>
        </w:rPr>
      </w:pPr>
    </w:p>
    <w:p w:rsidR="002A6120" w:rsidRDefault="008A2C16" w:rsidP="00444E39">
      <w:pPr>
        <w:spacing w:line="360" w:lineRule="auto"/>
        <w:rPr>
          <w:sz w:val="22"/>
          <w:szCs w:val="22"/>
        </w:rPr>
      </w:pPr>
      <w:r w:rsidRPr="008A2C16">
        <w:rPr>
          <w:sz w:val="22"/>
          <w:szCs w:val="22"/>
        </w:rPr>
        <w:t>Ms Lydia Kisula is a resear</w:t>
      </w:r>
      <w:r w:rsidR="003F73B6">
        <w:rPr>
          <w:sz w:val="22"/>
          <w:szCs w:val="22"/>
        </w:rPr>
        <w:t xml:space="preserve">cher at </w:t>
      </w:r>
      <w:r w:rsidRPr="008A2C16">
        <w:rPr>
          <w:sz w:val="22"/>
          <w:szCs w:val="22"/>
        </w:rPr>
        <w:t>Tanzania Industrial Research and development Organization (TIRDO). Kisula’s main research interest is on drug discovery process by combining both synthetic and computational methods such as molecular modelling. In her PhD research studies which was undertaken at Rhodes University (South Africa).  Kisula was working on the synthetic transformation of anacardic acid to a useful industrial chemical. She extended her research to synthesize several 1,4- dihydroxyanthraquinone derivatives as potential anti-trypanosomal</w:t>
      </w:r>
      <w:r w:rsidR="002A6120">
        <w:rPr>
          <w:sz w:val="22"/>
          <w:szCs w:val="22"/>
        </w:rPr>
        <w:t xml:space="preserve"> agents</w:t>
      </w:r>
    </w:p>
    <w:p w:rsidR="002A6120" w:rsidRDefault="002A6120" w:rsidP="00444E39">
      <w:pPr>
        <w:spacing w:line="360" w:lineRule="auto"/>
        <w:rPr>
          <w:sz w:val="22"/>
          <w:szCs w:val="22"/>
        </w:rPr>
      </w:pPr>
    </w:p>
    <w:p w:rsidR="00EA56CC" w:rsidRPr="008A2C16" w:rsidRDefault="00EA56CC" w:rsidP="00444E39">
      <w:pPr>
        <w:spacing w:line="360" w:lineRule="auto"/>
        <w:rPr>
          <w:sz w:val="22"/>
          <w:szCs w:val="22"/>
        </w:rPr>
      </w:pPr>
    </w:p>
    <w:p w:rsidR="003457D7" w:rsidRDefault="003457D7" w:rsidP="008A2C16">
      <w:pPr>
        <w:autoSpaceDE w:val="0"/>
        <w:autoSpaceDN w:val="0"/>
        <w:adjustRightInd w:val="0"/>
        <w:spacing w:line="360" w:lineRule="auto"/>
        <w:jc w:val="left"/>
        <w:rPr>
          <w:rFonts w:eastAsiaTheme="minorHAnsi"/>
          <w:b/>
          <w:bCs/>
          <w:noProof w:val="0"/>
          <w:sz w:val="22"/>
          <w:szCs w:val="22"/>
          <w:lang w:val="en-ZA" w:eastAsia="en-US"/>
        </w:rPr>
      </w:pPr>
      <w:r w:rsidRPr="008A2C16">
        <w:rPr>
          <w:rFonts w:eastAsiaTheme="minorHAnsi"/>
          <w:b/>
          <w:bCs/>
          <w:noProof w:val="0"/>
          <w:sz w:val="22"/>
          <w:szCs w:val="22"/>
          <w:lang w:val="en-ZA" w:eastAsia="en-US"/>
        </w:rPr>
        <w:lastRenderedPageBreak/>
        <w:t>Importance of Research and Development</w:t>
      </w:r>
    </w:p>
    <w:p w:rsidR="002A6120" w:rsidRPr="008A2C16" w:rsidRDefault="002A6120" w:rsidP="008A2C16">
      <w:pPr>
        <w:autoSpaceDE w:val="0"/>
        <w:autoSpaceDN w:val="0"/>
        <w:adjustRightInd w:val="0"/>
        <w:spacing w:line="360" w:lineRule="auto"/>
        <w:jc w:val="left"/>
        <w:rPr>
          <w:rFonts w:eastAsiaTheme="minorHAnsi"/>
          <w:b/>
          <w:bCs/>
          <w:noProof w:val="0"/>
          <w:sz w:val="22"/>
          <w:szCs w:val="22"/>
          <w:lang w:val="en-ZA" w:eastAsia="en-US"/>
        </w:rPr>
      </w:pPr>
    </w:p>
    <w:p w:rsidR="003457D7" w:rsidRPr="008A2C16" w:rsidRDefault="003457D7" w:rsidP="008A2C16">
      <w:pPr>
        <w:pStyle w:val="MDPI31text"/>
        <w:spacing w:line="360" w:lineRule="auto"/>
        <w:ind w:left="0" w:firstLine="0"/>
        <w:rPr>
          <w:sz w:val="22"/>
        </w:rPr>
      </w:pPr>
      <w:r w:rsidRPr="008A2C16">
        <w:rPr>
          <w:sz w:val="22"/>
        </w:rPr>
        <w:t>Trypanosomatids parasites particularly African trypanosomes (</w:t>
      </w:r>
      <w:r w:rsidRPr="008A2C16">
        <w:rPr>
          <w:i/>
          <w:sz w:val="22"/>
        </w:rPr>
        <w:t>Trypanosoma brucei</w:t>
      </w:r>
      <w:r w:rsidRPr="008A2C16">
        <w:rPr>
          <w:sz w:val="22"/>
        </w:rPr>
        <w:t xml:space="preserve"> sp.) cause serious mortality and morbidity in humans, livestock and wildlife and leading to severe economic impacts in the developing world </w:t>
      </w:r>
      <w:r w:rsidRPr="008A2C16">
        <w:rPr>
          <w:sz w:val="22"/>
        </w:rPr>
        <w:fldChar w:fldCharType="begin" w:fldLock="1"/>
      </w:r>
      <w:r w:rsidR="003F73B6">
        <w:rPr>
          <w:sz w:val="22"/>
        </w:rPr>
        <w:instrText>ADDIN CSL_CITATION {"citationItems":[{"id":"ITEM-1","itemData":{"DOI":"10.1016/j.pt.2011.01.004","ISSN":"14714922","PMID":"21345732","abstract":"African trypanosomes produce different specialized stages for within-host replication and between-host transmission and therefore face a resource allocation trade-off between maintaining the current infection (survival) and investment into transmission (reproduction). Evolutionary theory predicts the resolution of this trade-off will significantly affect virulence and infectiousness. The application of life history theory to malaria parasites has provided novel insight into their strategies for survival and reproduction; how this framework can now be applied to trypanosomes is discussed. Specifically, predictions for how parasites trade-off investment in survival and transmission in response to variation in the within-host environment are outlined. An evolutionary approach has the power to explain why patterns of investment vary between strains and during infections, giving important insights into parasite biology. © 2011 Elsevier Ltd.","author":[{"dropping-particle":"","family":"Pollitt","given":"Laura C.","non-dropping-particle":"","parse-names":false,"suffix":""},{"dropping-particle":"","family":"MacGregor","given":"Paula","non-dropping-particle":"","parse-names":false,"suffix":""},{"dropping-particle":"","family":"Matthews","given":"Keith","non-dropping-particle":"","parse-names":false,"suffix":""},{"dropping-particle":"","family":"Reece","given":"Sarah E.","non-dropping-particle":"","parse-names":false,"suffix":""}],"container-title":"Trends in Parasitology","id":"ITEM-1","issue":"5","issued":{"date-parts":[["2011"]]},"page":"197-203","publisher":"Elsevier Ltd","title":"Malaria and trypanosome transmission: Different parasites, same rules?","type":"article-journal","volume":"27"},"uris":["http://www.mendeley.com/documents/?uuid=0bddd1b4-5769-4b5e-9fc8-560e06af6c5b"]}],"mendeley":{"formattedCitation":"[1]","plainTextFormattedCitation":"[1]","previouslyFormattedCitation":"[1]"},"properties":{"noteIndex":0},"schema":"https://github.com/citation-style-language/schema/raw/master/csl-citation.json"}</w:instrText>
      </w:r>
      <w:r w:rsidRPr="008A2C16">
        <w:rPr>
          <w:sz w:val="22"/>
        </w:rPr>
        <w:fldChar w:fldCharType="separate"/>
      </w:r>
      <w:r w:rsidR="003F73B6" w:rsidRPr="003F73B6">
        <w:rPr>
          <w:noProof/>
          <w:sz w:val="22"/>
        </w:rPr>
        <w:t>[1]</w:t>
      </w:r>
      <w:r w:rsidRPr="008A2C16">
        <w:rPr>
          <w:sz w:val="22"/>
        </w:rPr>
        <w:fldChar w:fldCharType="end"/>
      </w:r>
      <w:r w:rsidRPr="008A2C16">
        <w:rPr>
          <w:sz w:val="22"/>
        </w:rPr>
        <w:t>.</w:t>
      </w:r>
      <w:r w:rsidRPr="008A2C16">
        <w:rPr>
          <w:sz w:val="22"/>
        </w:rPr>
        <w:t xml:space="preserve"> </w:t>
      </w:r>
      <w:r w:rsidRPr="008A2C16">
        <w:rPr>
          <w:sz w:val="22"/>
        </w:rPr>
        <w:t>The current clinically approved drugs such as pentamidine, suramin, eflornithine, and melarsopr</w:t>
      </w:r>
      <w:r w:rsidR="00444E39">
        <w:rPr>
          <w:sz w:val="22"/>
        </w:rPr>
        <w:t xml:space="preserve">ol </w:t>
      </w:r>
      <w:r w:rsidRPr="008A2C16">
        <w:rPr>
          <w:sz w:val="22"/>
        </w:rPr>
        <w:t xml:space="preserve">for treating HAT are far from satisfactory </w:t>
      </w:r>
      <w:r w:rsidRPr="008A2C16">
        <w:rPr>
          <w:sz w:val="22"/>
        </w:rPr>
        <w:fldChar w:fldCharType="begin" w:fldLock="1"/>
      </w:r>
      <w:r w:rsidR="003F73B6">
        <w:rPr>
          <w:sz w:val="22"/>
        </w:rPr>
        <w:instrText>ADDIN CSL_CITATION {"citationItems":[{"id":"ITEM-1","itemData":{"DOI":"10.3390/genes11070722","ISSN":"20734425","PMID":"32610603","abstract":"Leishmaniasis (Leishmania species), sleeping sickness (Trypanosoma brucei), and Chagas disease (Trypanosoma cruzi) are devastating and globally spread diseases caused by trypanosomatid parasites. At present, drugs for treating trypanosomatid diseases are far from ideal due to host toxicity, elevated cost, limited access, and increasing rates of drug resistance. Technological advances in parasitology, chemistry, and genomics have unlocked new possibilities for novel drug concepts and compound screening technologies that were previously inaccessible. In this perspective, we discuss current models used in drug-discovery cascades targeting trypanosomatids (from in vitro to in vivo approaches), their use and limitations in a biological context, as well as different examples of recently discovered lead compounds.","author":[{"dropping-particle":"","family":"Bhattacharya","given":"Arijit","non-dropping-particle":"","parse-names":false,"suffix":""},{"dropping-particle":"","family":"Corbeil","given":"Audrey","non-dropping-particle":"","parse-names":false,"suffix":""},{"dropping-particle":"","family":"Monte-Neto","given":"Rubens L.","non-dropping-particle":"Do","parse-names":false,"suffix":""},{"dropping-particle":"","family":"Fernandez-Prada","given":"Christopher","non-dropping-particle":"","parse-names":false,"suffix":""}],"container-title":"Genes","id":"ITEM-1","issue":"7","issued":{"date-parts":[["2020"]]},"page":"1-24","title":"Of drugs and trypanosomatids: New tools and knowledge to reduce bottlenecks in drug discovery","type":"article-journal","volume":"11"},"uris":["http://www.mendeley.com/documents/?uuid=bf80132a-3fe0-491c-9965-dedfc82b1a4a"]}],"mendeley":{"formattedCitation":"[2]","plainTextFormattedCitation":"[2]","previouslyFormattedCitation":"[2]"},"properties":{"noteIndex":0},"schema":"https://github.com/citation-style-language/schema/raw/master/csl-citation.json"}</w:instrText>
      </w:r>
      <w:r w:rsidRPr="008A2C16">
        <w:rPr>
          <w:sz w:val="22"/>
        </w:rPr>
        <w:fldChar w:fldCharType="separate"/>
      </w:r>
      <w:r w:rsidR="003F73B6" w:rsidRPr="003F73B6">
        <w:rPr>
          <w:noProof/>
          <w:sz w:val="22"/>
        </w:rPr>
        <w:t>[2]</w:t>
      </w:r>
      <w:r w:rsidRPr="008A2C16">
        <w:rPr>
          <w:sz w:val="22"/>
        </w:rPr>
        <w:fldChar w:fldCharType="end"/>
      </w:r>
      <w:r w:rsidRPr="008A2C16">
        <w:rPr>
          <w:sz w:val="22"/>
        </w:rPr>
        <w:t xml:space="preserve">. Pentamidine and suramin which </w:t>
      </w:r>
      <w:r w:rsidR="00444E39">
        <w:rPr>
          <w:sz w:val="22"/>
        </w:rPr>
        <w:t xml:space="preserve">as </w:t>
      </w:r>
      <w:r w:rsidRPr="008A2C16">
        <w:rPr>
          <w:sz w:val="22"/>
        </w:rPr>
        <w:t>proposed options for the first stage of HAT often have high toxicity effects with complex route of administrations which limit their medical applic</w:t>
      </w:r>
      <w:r w:rsidRPr="008A2C16">
        <w:rPr>
          <w:sz w:val="22"/>
        </w:rPr>
        <w:t>a</w:t>
      </w:r>
      <w:r w:rsidRPr="008A2C16">
        <w:rPr>
          <w:sz w:val="22"/>
        </w:rPr>
        <w:t xml:space="preserve">tions </w:t>
      </w:r>
      <w:r w:rsidRPr="008A2C16">
        <w:rPr>
          <w:sz w:val="22"/>
        </w:rPr>
        <w:fldChar w:fldCharType="begin" w:fldLock="1"/>
      </w:r>
      <w:r w:rsidR="003F73B6">
        <w:rPr>
          <w:sz w:val="22"/>
        </w:rPr>
        <w:instrText>ADDIN CSL_CITATION {"citationItems":[{"id":"ITEM-1","itemData":{"DOI":"10.1002/cmdc.201800456","ISSN":"18607187","PMID":"30221468","abstract":"An antikinetoplastid pharmacomodulation study at position 3 of the recently described hit molecule 3-bromo-8-nitroquinolin-2(1H)-one was conducted. Twenty-four derivatives were synthesised using the Suzuki–Miyaura cross-coupling reaction and evaluated in vitro on both Leishmania infantum axenic amastigotes and Trypanosoma brucei brucei trypomastigotes. Introduction of a para-carboxyphenyl group at position 3 of the scaffold led to the selective antitrypanosomal hit molecule 3-(4-carboxyphenyl)-8-nitroquinolin-2(1H)-one (21) with a lower reduction potential (−0.56 V) than the initial hit (−0.45 V). Compound 21 displays micromolar antitrypanosomal activity (IC50=1.5 μm) and low cytotoxicity on the human HepG2 cell line (CC50=120 μm), having a higher selectivity index (SI=80) than the reference drug eflornithine. Contrary to results previously obtained in this series, hit compound 21 is inactive toward L. infantum and is not efficiently bioactivated by T. brucei brucei type I nitroreductase, which suggests the existence of an alternative mechanism of action.","author":[{"dropping-particle":"","family":"Pedron","given":"Julien","non-dropping-particle":"","parse-names":false,"suffix":""},{"dropping-particle":"","family":"Boudot","given":"Clotilde","non-dropping-particle":"","parse-names":false,"suffix":""},{"dropping-particle":"","family":"Bourgeade-Delmas","given":"Sandra","non-dropping-particle":"","parse-names":false,"suffix":""},{"dropping-particle":"","family":"Sournia-Saquet","given":"Alix","non-dropping-particle":"","parse-names":false,"suffix":""},{"dropping-particle":"","family":"Paloque","given":"Lucie","non-dropping-particle":"","parse-names":false,"suffix":""},{"dropping-particle":"","family":"Rastegari","given":"Maryam","non-dropping-particle":"","parse-names":false,"suffix":""},{"dropping-particle":"","family":"Abdoulaye","given":"Mansour","non-dropping-particle":"","parse-names":false,"suffix":""},{"dropping-particle":"","family":"El-Kashef","given":"Hussein","non-dropping-particle":"","parse-names":false,"suffix":""},{"dropping-particle":"","family":"Bonduelle","given":"Colin","non-dropping-particle":"","parse-names":false,"suffix":""},{"dropping-particle":"","family":"Pratviel","given":"Geneviève","non-dropping-particle":"","parse-names":false,"suffix":""},{"dropping-particle":"","family":"Wyllie","given":"Susan","non-dropping-particle":"","parse-names":false,"suffix":""},{"dropping-particle":"","family":"Fairlamb","given":"Alan H.","non-dropping-particle":"","parse-names":false,"suffix":""},{"dropping-particle":"","family":"Courtioux","given":"Bertrand","non-dropping-particle":"","parse-names":false,"suffix":""},{"dropping-particle":"","family":"Verhaeghe","given":"Pierre","non-dropping-particle":"","parse-names":false,"suffix":""},{"dropping-particle":"","family":"Valentin","given":"Alexis","non-dropping-particle":"","parse-names":false,"suffix":""}],"container-title":"ChemMedChem","id":"ITEM-1","issue":"20","issued":{"date-parts":[["2018"]]},"page":"2217-2228","title":"Antitrypanosomatid Pharmacomodulation at Position 3 of the 8-Nitroquinolin-2(1H)-one Scaffold Using Palladium-Catalysed Cross-Coupling Reactions","type":"article-journal","volume":"13"},"uris":["http://www.mendeley.com/documents/?uuid=74401d5d-6f00-41a9-b105-fe7bacbd0350"]}],"mendeley":{"formattedCitation":"[3]","plainTextFormattedCitation":"[3]","previouslyFormattedCitation":"[3]"},"properties":{"noteIndex":0},"schema":"https://github.com/citation-style-language/schema/raw/master/csl-citation.json"}</w:instrText>
      </w:r>
      <w:r w:rsidRPr="008A2C16">
        <w:rPr>
          <w:sz w:val="22"/>
        </w:rPr>
        <w:fldChar w:fldCharType="separate"/>
      </w:r>
      <w:r w:rsidR="003F73B6" w:rsidRPr="003F73B6">
        <w:rPr>
          <w:noProof/>
          <w:sz w:val="22"/>
        </w:rPr>
        <w:t>[3]</w:t>
      </w:r>
      <w:r w:rsidRPr="008A2C16">
        <w:rPr>
          <w:sz w:val="22"/>
        </w:rPr>
        <w:fldChar w:fldCharType="end"/>
      </w:r>
      <w:r w:rsidRPr="008A2C16">
        <w:rPr>
          <w:sz w:val="22"/>
        </w:rPr>
        <w:t xml:space="preserve"> </w:t>
      </w:r>
      <w:r w:rsidRPr="008A2C16">
        <w:rPr>
          <w:sz w:val="22"/>
        </w:rPr>
        <w:fldChar w:fldCharType="begin" w:fldLock="1"/>
      </w:r>
      <w:r w:rsidR="003F73B6">
        <w:rPr>
          <w:sz w:val="22"/>
        </w:rPr>
        <w:instrText>ADDIN CSL_CITATION {"citationItems":[{"id":"ITEM-1","itemData":{"DOI":"10.1177/117739280700200007","ISSN":"1177-3928","PMID":"21901070","abstract":"Trypanosomiasis and leishmaniasis are two debilitating disease groups caused by parasites of Trypanosoma and Leishmania spp. and affecting millions of people worldwide. A brief outline of the potential targets for rational drug design against these diseases are presented, with an emphasis placed on the enzyme trypanothione reductase. Trypanothione reductase was identified as unique to parasites and proposed to be an effective target against trypanosomiasis and leishmaniasis. The biochemical basis of selecting this enzyme as a target, with reference to the simile and contrast to human analogous enzyme glutathione reductase, and the structural aspects of its active site are presented. The process of designing selective inhibitors for the enzyme trypanothione reductase has been discussed. An overview of the different chemical classes of inhibitors of trypanothione reductase with their inhibitory activities against the parasites and their prospects as future chemotherapeutic agents are briefly revealed.","author":[{"dropping-particle":"","family":"Khan","given":"M. Omar F.","non-dropping-particle":"","parse-names":false,"suffix":""}],"container-title":"Drug Target Insights","id":"ITEM-1","issue":"1999","issued":{"date-parts":[["2007"]]},"page":"117739280700200","title":"Trypanothione Reductase: A Viable Chemotherapeutic Target for Antitrypanosomal and Antileishmanial Drug Design","type":"article-journal","volume":"2"},"uris":["http://www.mendeley.com/documents/?uuid=33e53bd3-efae-4b29-84ac-e0c0937899cc"]}],"mendeley":{"formattedCitation":"[4]","plainTextFormattedCitation":"[4]","previouslyFormattedCitation":"[4]"},"properties":{"noteIndex":0},"schema":"https://github.com/citation-style-language/schema/raw/master/csl-citation.json"}</w:instrText>
      </w:r>
      <w:r w:rsidRPr="008A2C16">
        <w:rPr>
          <w:sz w:val="22"/>
        </w:rPr>
        <w:fldChar w:fldCharType="separate"/>
      </w:r>
      <w:r w:rsidR="003F73B6" w:rsidRPr="003F73B6">
        <w:rPr>
          <w:noProof/>
          <w:sz w:val="22"/>
        </w:rPr>
        <w:t>[4]</w:t>
      </w:r>
      <w:r w:rsidRPr="008A2C16">
        <w:rPr>
          <w:sz w:val="22"/>
        </w:rPr>
        <w:fldChar w:fldCharType="end"/>
      </w:r>
      <w:r w:rsidRPr="008A2C16">
        <w:rPr>
          <w:sz w:val="22"/>
        </w:rPr>
        <w:t xml:space="preserve">. In addition to this lack of resources to cover the cost of materials needed for the intravenous administration limit the </w:t>
      </w:r>
      <w:r w:rsidRPr="008A2C16">
        <w:rPr>
          <w:color w:val="auto"/>
          <w:sz w:val="22"/>
        </w:rPr>
        <w:t>implementation of this when the target group</w:t>
      </w:r>
      <w:r w:rsidR="00444E39">
        <w:rPr>
          <w:color w:val="auto"/>
          <w:sz w:val="22"/>
        </w:rPr>
        <w:t xml:space="preserve"> rural and poor societies</w:t>
      </w:r>
      <w:r w:rsidR="007C7B8D">
        <w:rPr>
          <w:color w:val="auto"/>
          <w:sz w:val="22"/>
        </w:rPr>
        <w:t xml:space="preserve"> </w:t>
      </w:r>
      <w:r w:rsidR="007C7B8D">
        <w:rPr>
          <w:color w:val="auto"/>
          <w:sz w:val="22"/>
        </w:rPr>
        <w:fldChar w:fldCharType="begin" w:fldLock="1"/>
      </w:r>
      <w:r w:rsidR="007C7B8D">
        <w:rPr>
          <w:color w:val="auto"/>
          <w:sz w:val="22"/>
        </w:rPr>
        <w:instrText>ADDIN CSL_CITATION {"citationItems":[{"id":"ITEM-1","itemData":{"DOI":"10.1038/nrmicro.2017.69","ISSN":"17401534","PMID":"28579611","author":[{"dropping-particle":"","family":"Field","given":"Mark C.","non-dropping-particle":"","parse-names":false,"suffix":""},{"dropping-particle":"","family":"Horn","given":"David","non-dropping-particle":"","parse-names":false,"suffix":""},{"dropping-particle":"","family":"Fairlamb","given":"Alan H.","non-dropping-particle":"","parse-names":false,"suffix":""},{"dropping-particle":"","family":"Ferguson","given":"Michael A.J.","non-dropping-particle":"","parse-names":false,"suffix":""},{"dropping-particle":"","family":"Gray","given":"David W.","non-dropping-particle":"","parse-names":false,"suffix":""},{"dropping-particle":"","family":"Read","given":"Kevin D.","non-dropping-particle":"","parse-names":false,"suffix":""},{"dropping-particle":"","family":"Rycker","given":"Manu","non-dropping-particle":"De","parse-names":false,"suffix":""},{"dropping-particle":"","family":"Torrie","given":"Leah S.","non-dropping-particle":"","parse-names":false,"suffix":""},{"dropping-particle":"","family":"Wyatt","given":"Paul G.","non-dropping-particle":"","parse-names":false,"suffix":""},{"dropping-particle":"","family":"Wyllie","given":"Susan","non-dropping-particle":"","parse-names":false,"suffix":""},{"dropping-particle":"","family":"Gilbert","given":"Ian H.","non-dropping-particle":"","parse-names":false,"suffix":""}],"container-title":"Nature reviews. Microbiology","id":"ITEM-1","issue":"7","issued":{"date-parts":[["2017"]]},"page":"447","title":"Erratum: Anti-trypanosomatid drug discovery: an ongoing challenge and a continuing need (Nature reviews. Microbiology (2017) 15 4 (217-231))","type":"article-journal","volume":"15"},"uris":["http://www.mendeley.com/documents/?uuid=1cbe64e0-9a7b-48af-a434-f081f50ca660"]}],"mendeley":{"formattedCitation":"[5]","plainTextFormattedCitation":"[5]","previouslyFormattedCitation":"[5]"},"properties":{"noteIndex":0},"schema":"https://github.com/citation-style-language/schema/raw/master/csl-citation.json"}</w:instrText>
      </w:r>
      <w:r w:rsidR="007C7B8D">
        <w:rPr>
          <w:color w:val="auto"/>
          <w:sz w:val="22"/>
        </w:rPr>
        <w:fldChar w:fldCharType="separate"/>
      </w:r>
      <w:r w:rsidR="007C7B8D" w:rsidRPr="007C7B8D">
        <w:rPr>
          <w:noProof/>
          <w:color w:val="auto"/>
          <w:sz w:val="22"/>
        </w:rPr>
        <w:t>[5]</w:t>
      </w:r>
      <w:r w:rsidR="007C7B8D">
        <w:rPr>
          <w:color w:val="auto"/>
          <w:sz w:val="22"/>
        </w:rPr>
        <w:fldChar w:fldCharType="end"/>
      </w:r>
      <w:r w:rsidR="00893135">
        <w:rPr>
          <w:color w:val="auto"/>
          <w:sz w:val="22"/>
        </w:rPr>
        <w:t xml:space="preserve"> </w:t>
      </w:r>
      <w:r w:rsidR="00893135">
        <w:rPr>
          <w:color w:val="auto"/>
          <w:sz w:val="22"/>
        </w:rPr>
        <w:fldChar w:fldCharType="begin" w:fldLock="1"/>
      </w:r>
      <w:r w:rsidR="00893135">
        <w:rPr>
          <w:color w:val="auto"/>
          <w:sz w:val="22"/>
        </w:rPr>
        <w:instrText xml:space="preserve">ADDIN CSL_CITATION {"citationItems":[{"id":"ITEM-1","itemData":{"DOI":"10.1128/AAC.00246-11","author":[{"dropping-particle":"","family":"Kaiser","given":"Marcel","non-dropping-particle":"","parse-names":false,"suffix":""},{"dropping-particle":"","family":"Bray","given":"Michael A","non-dropping-particle":"","parse-names":false,"suffix":""},{"dropping-particle":"","family":"Cal","given":"Monica","non-dropping-particle":"","parse-names":false,"suffix":""},{"dropping-particle":"","family":"Trunz","given":"Bernadette Bourdin","non-dropping-particle":"","parse-names":false,"suffix":""},{"dropping-particle":"","family":"Torreele","given":"Els","non-dropping-particle":"","parse-names":false,"suffix":""},{"dropping-particle":"","family":"Brun","given":"Reto","non-dropping-particle":"","parse-names":false,"suffix":""}],"id":"ITEM-1","issue":"12","issued":{"date-parts":[["2011"]]},"page":"5602-5608","title":"Antitrypanosomal Activity of Fexinidazole , a New Oral Nitroimidazole Drug Candidate for Treatment of Sleeping Sickness </w:instrText>
      </w:r>
      <w:r w:rsidR="00893135">
        <w:rPr>
          <w:rFonts w:cs="Palatino Linotype"/>
          <w:color w:val="auto"/>
          <w:sz w:val="22"/>
        </w:rPr>
        <w:instrText>ᰔ</w:instrText>
      </w:r>
      <w:r w:rsidR="00893135">
        <w:rPr>
          <w:color w:val="auto"/>
          <w:sz w:val="22"/>
        </w:rPr>
        <w:instrText>","type":"article-journal","volume":"55"},"uris":["http://www.mendeley.com/documents/?uuid=f2edc1c6-cb76-4cc1-b0bf-1c8258b909cc"]}],"mendeley":{"formattedCitation":"[6]","plainTextFormattedCitation":"[6]"},"properties":{"noteIndex":0},"schema":"https://github.com/citation-style-language/schema/raw/master/csl-citation.json"}</w:instrText>
      </w:r>
      <w:r w:rsidR="00893135">
        <w:rPr>
          <w:color w:val="auto"/>
          <w:sz w:val="22"/>
        </w:rPr>
        <w:fldChar w:fldCharType="separate"/>
      </w:r>
      <w:r w:rsidR="00893135" w:rsidRPr="00893135">
        <w:rPr>
          <w:noProof/>
          <w:color w:val="auto"/>
          <w:sz w:val="22"/>
        </w:rPr>
        <w:t>[6]</w:t>
      </w:r>
      <w:r w:rsidR="00893135">
        <w:rPr>
          <w:color w:val="auto"/>
          <w:sz w:val="22"/>
        </w:rPr>
        <w:fldChar w:fldCharType="end"/>
      </w:r>
      <w:r w:rsidRPr="008A2C16">
        <w:rPr>
          <w:color w:val="auto"/>
          <w:sz w:val="22"/>
        </w:rPr>
        <w:t xml:space="preserve">. </w:t>
      </w:r>
      <w:r w:rsidR="00AB1F3B">
        <w:rPr>
          <w:sz w:val="22"/>
        </w:rPr>
        <w:t xml:space="preserve">Drug-resistant  which is a situation where by parasites </w:t>
      </w:r>
      <w:r w:rsidR="006D6A46">
        <w:rPr>
          <w:sz w:val="22"/>
        </w:rPr>
        <w:t xml:space="preserve">stop responding to existing treatments </w:t>
      </w:r>
      <w:r w:rsidR="003F73B6">
        <w:rPr>
          <w:sz w:val="22"/>
        </w:rPr>
        <w:t xml:space="preserve">has been </w:t>
      </w:r>
      <w:r w:rsidRPr="008A2C16">
        <w:rPr>
          <w:sz w:val="22"/>
        </w:rPr>
        <w:t>common in patients treated with</w:t>
      </w:r>
      <w:r w:rsidR="00AB1F3B">
        <w:rPr>
          <w:sz w:val="22"/>
        </w:rPr>
        <w:t xml:space="preserve"> these drugs</w:t>
      </w:r>
      <w:r w:rsidRPr="008A2C16">
        <w:rPr>
          <w:sz w:val="22"/>
        </w:rPr>
        <w:t xml:space="preserve"> </w:t>
      </w:r>
      <w:r w:rsidRPr="008A2C16">
        <w:rPr>
          <w:sz w:val="22"/>
        </w:rPr>
        <w:fldChar w:fldCharType="begin" w:fldLock="1"/>
      </w:r>
      <w:r w:rsidR="00AF0DEA">
        <w:rPr>
          <w:sz w:val="22"/>
        </w:rPr>
        <w:instrText>ADDIN CSL_CITATION {"citationItems":[{"id":"ITEM-1","itemData":{"DOI":"10.3892/ijmm","ISBN":"1107-3756","ISSN":"1107-3756","PMID":"21042777","abstract":"Altered MDR1 expression and/or function contribute to the pathogenesis of inflammatory bowel disease (IBD). DNA methylation was shown as an important mechanism in gene silencing. We investigated DNA methylation of the MDR1 gene in ulcerative colitis (UC) and its relation to MDR1 C3435T genotypes. Eighty-three UC patients were enrolled. Methylation of MDR1 promoter was determined by methylation specific polymerase (MSP) for rectal inflammatory mucosa from all patients and normal terminal ileum from 17 patients. Promoter methylation of MDR1 gene was also quantified by digital densitographic analysis following MSP. MDR1 methylation was detected in 51 (61.4%) out of 83 patients in rectal inflammatory mucosa. Mean methylation level of MDR1 gene in rectal inflammatory mucosa was significantly higher than in normal terminal ileum (p=0.021). MDR1 methylation occurred more frequently in total colitis, and total+left side colitis, compared to rectal colitis (p=0.001, 0.013, respectively). Higher methylation levels were also associated with chronic continuous type (p=0.034) and earlier onset of disease (p=0.038). The 3435 CC+CT genotype of MDR1 was associated with more than 6-fold increased risk of MDR1 methylation, especially in UC patients with 9 years and shorter duration. Both frequency and level of MDR1 methylation were higher in UC onset at younger or in middle age with the same genotype. MDR1 methylation frequently occurred in inflammatory rectal mucosa from UC patients and was influenced by MDR1 C3435T polymorphism, especially in patients with shorter duration and younger onset.","author":[{"dropping-particle":"","family":"T.","given":"Tahara","non-dropping-particle":"","parse-names":false,"suffix":""},{"dropping-particle":"","family":"T.","given":"Shibata","non-dropping-particle":"","parse-names":false,"suffix":""},{"dropping-particle":"","family":"M.","given":"Nakamura Nagasaka","non-dropping-particle":"","parse-names":false,"suffix":""},{"dropping-particle":"","family":"H.","given":"Yamashita","non-dropping-particle":"","parse-names":false,"suffix":""},{"dropping-particle":"","family":"D.","given":"Yoshioka","non-dropping-particle":"","parse-names":false,"suffix":""},{"dropping-particle":"","family":"M.","given":"Okubo","non-dropping-particle":"","parse-names":false,"suffix":""},{"dropping-particle":"","family":"N.","given":"Maruyama","non-dropping-particle":"","parse-names":false,"suffix":""},{"dropping-particle":"","family":"T.","given":"Kamano","non-dropping-particle":"","parse-names":false,"suffix":""},{"dropping-particle":"","family":"Y.","given":"Kamiya","non-dropping-particle":"","parse-names":false,"suffix":""},{"dropping-particle":"","family":"Y.","given":"Nakagawa","non-dropping-particle":"","parse-names":false,"suffix":""},{"dropping-particle":"","family":"H.","given":"Fujita","non-dropping-particle":"","parse-names":false,"suffix":""},{"dropping-particle":"","family":"M.","given":"Nakamura Nagasaka","non-dropping-particle":"","parse-names":false,"suffix":""},{"dropping-particle":"","family":"M.","given":"Iwata","non-dropping-particle":"","parse-names":false,"suffix":""},{"dropping-particle":"","family":"K.","given":"Takahama","non-dropping-particle":"","parse-names":false,"suffix":""},{"dropping-particle":"","family":"M.","given":"Watanabe","non-dropping-particle":"","parse-names":false,"suffix":""},{"dropping-particle":"","family":"I.","given":"Hirata","non-dropping-particle":"","parse-names":false,"suffix":""},{"dropping-particle":"","family":"Tahara","given":"T","non-dropping-particle":"","parse-names":false,"suffix":""},{"dropping-particle":"","family":"Shibata","given":"T","non-dropping-particle":"","parse-names":false,"suffix":""},{"dropping-particle":"","family":"Nakamura","given":"M","non-dropping-particle":"","parse-names":false,"suffix":""},{"dropping-particle":"","family":"Yamashita","given":"H","non-dropping-particle":"","parse-names":false,"suffix":""},{"dropping-particle":"","family":"Yoshioka","given":"D","non-dropping-particle":"","parse-names":false,"suffix":""},{"dropping-particle":"","family":"Okubo","given":"M","non-dropping-particle":"","parse-names":false,"suffix":""},{"dropping-particle":"","family":"Maruyama","given":"N","non-dropping-particle":"","parse-names":false,"suffix":""},{"dropping-particle":"","family":"Kamano","given":"T","non-dropping-particle":"","parse-names":false,"suffix":""},{"dropping-particle":"","family":"Kamiya","given":"Y","non-dropping-particle":"","parse-names":false,"suffix":""},{"dropping-particle":"","family":"Nakagawa","given":"Y","non-dropping-particle":"","parse-names":false,"suffix":""},{"dropping-particle":"","family":"Fujita","given":"H","non-dropping-particle":"","parse-names":false,"suffix":""},{"dropping-particle":"","family":"Nagasaka","given":"M","non-dropping-particle":"","parse-names":false,"suffix":""},{"dropping-particle":"","family":"Iwata","given":"M","non-dropping-particle":"","parse-names":false,"suffix":""},{"dropping-particle":"","family":"Takahama","given":"K","non-dropping-particle":"","parse-names":false,"suffix":""},{"dropping-particle":"","family":"Watanabe","given":"M","non-dropping-particle":"","parse-names":false,"suffix":""},{"dropping-particle":"","family":"Hirata","given":"I","non-dropping-particle":"","parse-names":false,"suffix":""},{"dropping-particle":"","family":"Arisawa","given":"T","non-dropping-particle":"","parse-names":false,"suffix":""}],"container-title":"International Journal of Molecular Medicine","id":"ITEM-1","issue":"4","issued":{"date-parts":[["2009"]]},"page":"521-527","title":"Effect of MDR1 gene promoter methylation in patients with ulcerative colitis","type":"article-journal","volume":"23"},"uris":["http://www.mendeley.com/documents/?uuid=4b5e07fb-b1d0-494d-aaf2-228d49b04c1e"]}],"mendeley":{"formattedCitation":"[7]","plainTextFormattedCitation":"[7]","previouslyFormattedCitation":"[7]"},"properties":{"noteIndex":0},"schema":"https://github.com/citation-style-language/schema/raw/master/csl-citation.json"}</w:instrText>
      </w:r>
      <w:r w:rsidRPr="008A2C16">
        <w:rPr>
          <w:sz w:val="22"/>
        </w:rPr>
        <w:fldChar w:fldCharType="separate"/>
      </w:r>
      <w:r w:rsidR="007C7B8D" w:rsidRPr="007C7B8D">
        <w:rPr>
          <w:noProof/>
          <w:sz w:val="22"/>
        </w:rPr>
        <w:t>[7]</w:t>
      </w:r>
      <w:r w:rsidRPr="008A2C16">
        <w:rPr>
          <w:sz w:val="22"/>
        </w:rPr>
        <w:fldChar w:fldCharType="end"/>
      </w:r>
      <w:r w:rsidR="00107A12">
        <w:rPr>
          <w:sz w:val="22"/>
        </w:rPr>
        <w:t>.</w:t>
      </w:r>
      <w:r w:rsidRPr="008A2C16">
        <w:rPr>
          <w:sz w:val="22"/>
        </w:rPr>
        <w:t xml:space="preserve"> </w:t>
      </w:r>
      <w:r w:rsidR="005B18F2">
        <w:rPr>
          <w:sz w:val="22"/>
        </w:rPr>
        <w:t xml:space="preserve">An alarming increase in </w:t>
      </w:r>
      <w:r w:rsidRPr="00444E39">
        <w:rPr>
          <w:sz w:val="22"/>
        </w:rPr>
        <w:t>side effec</w:t>
      </w:r>
      <w:r w:rsidR="00107A12">
        <w:rPr>
          <w:sz w:val="22"/>
        </w:rPr>
        <w:t xml:space="preserve">ts and </w:t>
      </w:r>
      <w:r w:rsidR="005B18F2">
        <w:rPr>
          <w:sz w:val="22"/>
        </w:rPr>
        <w:t>in</w:t>
      </w:r>
      <w:r w:rsidR="00107A12">
        <w:rPr>
          <w:sz w:val="22"/>
        </w:rPr>
        <w:t xml:space="preserve"> </w:t>
      </w:r>
      <w:r w:rsidRPr="00444E39">
        <w:rPr>
          <w:sz w:val="22"/>
        </w:rPr>
        <w:t>drug resistance</w:t>
      </w:r>
      <w:r w:rsidR="00107A12">
        <w:rPr>
          <w:sz w:val="22"/>
        </w:rPr>
        <w:t xml:space="preserve"> call for the need for search for new chemotherapies effective against </w:t>
      </w:r>
      <w:r w:rsidRPr="00444E39">
        <w:rPr>
          <w:sz w:val="22"/>
        </w:rPr>
        <w:t>HAT</w:t>
      </w:r>
      <w:r w:rsidR="00107A12">
        <w:rPr>
          <w:sz w:val="22"/>
        </w:rPr>
        <w:t xml:space="preserve"> </w:t>
      </w:r>
      <w:r w:rsidR="00EA56CC">
        <w:rPr>
          <w:sz w:val="22"/>
        </w:rPr>
        <w:t xml:space="preserve">inevitable </w:t>
      </w:r>
      <w:r w:rsidRPr="008A2C16">
        <w:rPr>
          <w:sz w:val="22"/>
        </w:rPr>
        <w:fldChar w:fldCharType="begin" w:fldLock="1"/>
      </w:r>
      <w:r w:rsidR="00AF0DEA">
        <w:rPr>
          <w:sz w:val="22"/>
        </w:rPr>
        <w:instrText>ADDIN CSL_CITATION {"citationItems":[{"id":"ITEM-1","itemData":{"DOI":"10.1186/1471-2164-6-127","ISSN":"14712164","PMID":"16164760","abstract":"Background: The trypanosomatids Leishmania major, Trypanosoma brucei and Trypanosoma cruzi cause some of the most debilitating diseases of humankind: cutaneous leishmaniasis, African sleeping sickness, and Chagas disease. These protozoa possess complex life cycles that involve development in mammalian and insect hosts, and a tightly coordinated cell cycle ensures propagation of the highly polarized cells. However, the ways in which the parasites respond to their environment and coordinate intracellular processes are poorly understood. As a part of an effort to understand parasite signaling functions, we report the results of a genome-wide analysis of protein kinases (PKs) of these three trypanosomatids. Results: Bioinformatic searches of the trypanosomatid genomes for eukaryotic PKs (ePKs) and atypical PKs (aPKs) revealed a total of 176 PKs in T. brucei, 190 in T. cruzi and 199 in L. major, most of which are orthologous across the three species. This is approximately 30% of the number in the human host and double that of the malaria parasite, Plasmodium falciparum. The representation of various groups of ePKs differs significantly as compared to humans: trypanosomatids lack receptor-linked tyrosine and tyrosine kinase-like kinases, although they do possess dual-specificity kinases. A relative expansion of the CMGC, STE and NEK groups has occurred. A large number of unique ePKs show no strong affinity to any known group. The trypanosomatids possess few ePKs with predicted transmembrane domains, suggesting that receptor ePKs are rare. Accessory Pfam domains, which are frequently present in human ePKs, are uncommon in trypanosomatid ePKs. Conclusions: Trypanosomatids possess a large set of PKs, comprising approximately 2% of each genome, suggesting a key role for phosphorylation in parasite biology. Whilst it was possible to place most of the trypanosomatid ePKs into the seven established groups using bioinformatic analyses, it has not been possible to ascribe function based solely on sequence similarity. Hence the connection of stimuli to protein phosphorylation networks remains enigmatic. The presence of numerous PKs with significant sequence similarity to known drug targets, as well as a large number of unusual kinases that might represent novel targets, strongly argue for functional analysis of these molecules. © 2005 Parsons et al., licensee BioMed Central Ltd.","author":[{"dropping-particle":"","family":"Parsons","given":"Marilyn","non-dropping-particle":"","parse-names":false,"suffix":""},{"dropping-particle":"","family":"Worthey","given":"Elizabeth A.","non-dropping-particle":"","parse-names":false,"suffix":""},{"dropping-particle":"","family":"Ward","given":"Pauline N.","non-dropping-particle":"","parse-names":false,"suffix":""},{"dropping-particle":"","family":"Mottram","given":"Jeremy C.","non-dropping-particle":"","parse-names":false,"suffix":""}],"container-title":"BMC Genomics","id":"ITEM-1","issued":{"date-parts":[["2005"]]},"page":"1-19","title":"Comparative analysis of the kinomes of three pathogenic trypanosomatids: Leishmania major, Trypanosoma brucei and Trypanosoma cruzi","type":"article-journal","volume":"6"},"uris":["http://www.mendeley.com/documents/?uuid=9621c5ea-7985-4579-9c52-9303840e6c73"]}],"mendeley":{"formattedCitation":"[8]","plainTextFormattedCitation":"[8]","previouslyFormattedCitation":"[8]"},"properties":{"noteIndex":0},"schema":"https://github.com/citation-style-language/schema/raw/master/csl-citation.json"}</w:instrText>
      </w:r>
      <w:r w:rsidRPr="008A2C16">
        <w:rPr>
          <w:sz w:val="22"/>
        </w:rPr>
        <w:fldChar w:fldCharType="separate"/>
      </w:r>
      <w:r w:rsidR="007C7B8D" w:rsidRPr="007C7B8D">
        <w:rPr>
          <w:noProof/>
          <w:sz w:val="22"/>
        </w:rPr>
        <w:t>[8]</w:t>
      </w:r>
      <w:r w:rsidRPr="008A2C16">
        <w:rPr>
          <w:sz w:val="22"/>
        </w:rPr>
        <w:fldChar w:fldCharType="end"/>
      </w:r>
      <w:r w:rsidRPr="008A2C16">
        <w:rPr>
          <w:sz w:val="22"/>
        </w:rPr>
        <w:t>.</w:t>
      </w:r>
    </w:p>
    <w:p w:rsidR="003457D7" w:rsidRPr="008A2C16" w:rsidRDefault="003457D7" w:rsidP="008A2C16">
      <w:pPr>
        <w:pStyle w:val="MDPI31text"/>
        <w:spacing w:line="360" w:lineRule="auto"/>
        <w:ind w:left="0" w:firstLine="0"/>
        <w:rPr>
          <w:sz w:val="22"/>
        </w:rPr>
      </w:pPr>
    </w:p>
    <w:p w:rsidR="003457D7" w:rsidRDefault="003457D7" w:rsidP="008A2C16">
      <w:pPr>
        <w:pStyle w:val="MDPI31text"/>
        <w:spacing w:line="360" w:lineRule="auto"/>
        <w:ind w:left="0" w:firstLine="0"/>
        <w:rPr>
          <w:rFonts w:eastAsiaTheme="minorHAnsi"/>
          <w:b/>
          <w:bCs/>
          <w:color w:val="0D182D"/>
          <w:sz w:val="22"/>
          <w:lang w:val="en-ZA" w:eastAsia="en-US"/>
        </w:rPr>
      </w:pPr>
      <w:r w:rsidRPr="008A2C16">
        <w:rPr>
          <w:rFonts w:eastAsiaTheme="minorHAnsi"/>
          <w:b/>
          <w:bCs/>
          <w:color w:val="0D182D"/>
          <w:sz w:val="22"/>
          <w:lang w:val="en-ZA" w:eastAsia="en-US"/>
        </w:rPr>
        <w:t>References</w:t>
      </w:r>
    </w:p>
    <w:p w:rsidR="00893135" w:rsidRPr="00893135" w:rsidRDefault="00893135" w:rsidP="00893135">
      <w:pPr>
        <w:widowControl w:val="0"/>
        <w:autoSpaceDE w:val="0"/>
        <w:autoSpaceDN w:val="0"/>
        <w:adjustRightInd w:val="0"/>
        <w:spacing w:line="360" w:lineRule="auto"/>
        <w:ind w:left="640" w:hanging="640"/>
        <w:rPr>
          <w:sz w:val="22"/>
          <w:szCs w:val="24"/>
        </w:rPr>
      </w:pPr>
      <w:r>
        <w:rPr>
          <w:rFonts w:eastAsiaTheme="minorHAnsi"/>
          <w:b/>
          <w:bCs/>
          <w:color w:val="0D182D"/>
          <w:sz w:val="22"/>
          <w:lang w:val="en-ZA" w:eastAsia="en-US"/>
        </w:rPr>
        <w:fldChar w:fldCharType="begin" w:fldLock="1"/>
      </w:r>
      <w:r>
        <w:rPr>
          <w:rFonts w:eastAsiaTheme="minorHAnsi"/>
          <w:b/>
          <w:bCs/>
          <w:color w:val="0D182D"/>
          <w:sz w:val="22"/>
          <w:lang w:val="en-ZA" w:eastAsia="en-US"/>
        </w:rPr>
        <w:instrText xml:space="preserve">ADDIN Mendeley Bibliography CSL_BIBLIOGRAPHY </w:instrText>
      </w:r>
      <w:r>
        <w:rPr>
          <w:rFonts w:eastAsiaTheme="minorHAnsi"/>
          <w:b/>
          <w:bCs/>
          <w:color w:val="0D182D"/>
          <w:sz w:val="22"/>
          <w:lang w:val="en-ZA" w:eastAsia="en-US"/>
        </w:rPr>
        <w:fldChar w:fldCharType="separate"/>
      </w:r>
      <w:r w:rsidRPr="00893135">
        <w:rPr>
          <w:sz w:val="22"/>
          <w:szCs w:val="24"/>
        </w:rPr>
        <w:t>[1]</w:t>
      </w:r>
      <w:r w:rsidRPr="00893135">
        <w:rPr>
          <w:sz w:val="22"/>
          <w:szCs w:val="24"/>
        </w:rPr>
        <w:tab/>
        <w:t xml:space="preserve">L. C. Pollitt, P. MacGregor, K. Matthews, and S. E. Reece, “Malaria and trypanosome transmission: Different parasites, same rules?,” </w:t>
      </w:r>
      <w:r w:rsidRPr="00893135">
        <w:rPr>
          <w:i/>
          <w:iCs/>
          <w:sz w:val="22"/>
          <w:szCs w:val="24"/>
        </w:rPr>
        <w:t>Trends Parasitol.</w:t>
      </w:r>
      <w:r w:rsidRPr="00893135">
        <w:rPr>
          <w:sz w:val="22"/>
          <w:szCs w:val="24"/>
        </w:rPr>
        <w:t>, vol. 27, no. 5, pp. 197–203, 2011, doi: 10.1016/j.pt.2011.01.004.</w:t>
      </w:r>
    </w:p>
    <w:p w:rsidR="00893135" w:rsidRPr="00893135" w:rsidRDefault="00893135" w:rsidP="00893135">
      <w:pPr>
        <w:widowControl w:val="0"/>
        <w:autoSpaceDE w:val="0"/>
        <w:autoSpaceDN w:val="0"/>
        <w:adjustRightInd w:val="0"/>
        <w:spacing w:line="360" w:lineRule="auto"/>
        <w:ind w:left="640" w:hanging="640"/>
        <w:rPr>
          <w:sz w:val="22"/>
          <w:szCs w:val="24"/>
        </w:rPr>
      </w:pPr>
      <w:r w:rsidRPr="00893135">
        <w:rPr>
          <w:sz w:val="22"/>
          <w:szCs w:val="24"/>
        </w:rPr>
        <w:t>[2]</w:t>
      </w:r>
      <w:r w:rsidRPr="00893135">
        <w:rPr>
          <w:sz w:val="22"/>
          <w:szCs w:val="24"/>
        </w:rPr>
        <w:tab/>
        <w:t xml:space="preserve">A. Bhattacharya, A. Corbeil, R. L. Do Monte-Neto, and C. Fernandez-Prada, “Of drugs and trypanosomatids: New tools and knowledge to reduce bottlenecks in drug discovery,” </w:t>
      </w:r>
      <w:r w:rsidRPr="00893135">
        <w:rPr>
          <w:i/>
          <w:iCs/>
          <w:sz w:val="22"/>
          <w:szCs w:val="24"/>
        </w:rPr>
        <w:t>Genes (Basel).</w:t>
      </w:r>
      <w:r w:rsidRPr="00893135">
        <w:rPr>
          <w:sz w:val="22"/>
          <w:szCs w:val="24"/>
        </w:rPr>
        <w:t>, vol. 11, no. 7, pp. 1–24, 2020, doi: 10.3390/genes11070722.</w:t>
      </w:r>
    </w:p>
    <w:p w:rsidR="00893135" w:rsidRPr="00893135" w:rsidRDefault="00893135" w:rsidP="00893135">
      <w:pPr>
        <w:widowControl w:val="0"/>
        <w:autoSpaceDE w:val="0"/>
        <w:autoSpaceDN w:val="0"/>
        <w:adjustRightInd w:val="0"/>
        <w:spacing w:line="360" w:lineRule="auto"/>
        <w:ind w:left="640" w:hanging="640"/>
        <w:rPr>
          <w:sz w:val="22"/>
          <w:szCs w:val="24"/>
        </w:rPr>
      </w:pPr>
      <w:r w:rsidRPr="00893135">
        <w:rPr>
          <w:sz w:val="22"/>
          <w:szCs w:val="24"/>
        </w:rPr>
        <w:t>[3]</w:t>
      </w:r>
      <w:r w:rsidRPr="00893135">
        <w:rPr>
          <w:sz w:val="22"/>
          <w:szCs w:val="24"/>
        </w:rPr>
        <w:tab/>
        <w:t xml:space="preserve">J. Pedron </w:t>
      </w:r>
      <w:r w:rsidRPr="00893135">
        <w:rPr>
          <w:i/>
          <w:iCs/>
          <w:sz w:val="22"/>
          <w:szCs w:val="24"/>
        </w:rPr>
        <w:t>et al.</w:t>
      </w:r>
      <w:r w:rsidRPr="00893135">
        <w:rPr>
          <w:sz w:val="22"/>
          <w:szCs w:val="24"/>
        </w:rPr>
        <w:t xml:space="preserve">, “Antitrypanosomatid Pharmacomodulation at Position 3 of the 8-Nitroquinolin-2(1H)-one Scaffold Using Palladium-Catalysed Cross-Coupling Reactions,” </w:t>
      </w:r>
      <w:r w:rsidRPr="00893135">
        <w:rPr>
          <w:i/>
          <w:iCs/>
          <w:sz w:val="22"/>
          <w:szCs w:val="24"/>
        </w:rPr>
        <w:t>ChemMedChem</w:t>
      </w:r>
      <w:r w:rsidRPr="00893135">
        <w:rPr>
          <w:sz w:val="22"/>
          <w:szCs w:val="24"/>
        </w:rPr>
        <w:t>, vol. 13, no. 20, pp. 2217–2228, 2018, doi: 10.1002/cmdc.201800456.</w:t>
      </w:r>
    </w:p>
    <w:p w:rsidR="00893135" w:rsidRPr="00893135" w:rsidRDefault="00893135" w:rsidP="00893135">
      <w:pPr>
        <w:widowControl w:val="0"/>
        <w:autoSpaceDE w:val="0"/>
        <w:autoSpaceDN w:val="0"/>
        <w:adjustRightInd w:val="0"/>
        <w:spacing w:line="360" w:lineRule="auto"/>
        <w:ind w:left="640" w:hanging="640"/>
        <w:rPr>
          <w:sz w:val="22"/>
          <w:szCs w:val="24"/>
        </w:rPr>
      </w:pPr>
      <w:r w:rsidRPr="00893135">
        <w:rPr>
          <w:sz w:val="22"/>
          <w:szCs w:val="24"/>
        </w:rPr>
        <w:t>[4]</w:t>
      </w:r>
      <w:r w:rsidRPr="00893135">
        <w:rPr>
          <w:sz w:val="22"/>
          <w:szCs w:val="24"/>
        </w:rPr>
        <w:tab/>
        <w:t xml:space="preserve">M. O. F. Khan, “Trypanothione Reductase: A Viable Chemotherapeutic Target for Antitrypanosomal and Antileishmanial Drug Design,” </w:t>
      </w:r>
      <w:r w:rsidRPr="00893135">
        <w:rPr>
          <w:i/>
          <w:iCs/>
          <w:sz w:val="22"/>
          <w:szCs w:val="24"/>
        </w:rPr>
        <w:t>Drug Target Insights</w:t>
      </w:r>
      <w:r w:rsidRPr="00893135">
        <w:rPr>
          <w:sz w:val="22"/>
          <w:szCs w:val="24"/>
        </w:rPr>
        <w:t>, vol. 2, no. 1999, p. 117739280700200, 2007, doi: 10.1177/117739280700200007.</w:t>
      </w:r>
    </w:p>
    <w:p w:rsidR="00893135" w:rsidRPr="00893135" w:rsidRDefault="00893135" w:rsidP="00893135">
      <w:pPr>
        <w:widowControl w:val="0"/>
        <w:autoSpaceDE w:val="0"/>
        <w:autoSpaceDN w:val="0"/>
        <w:adjustRightInd w:val="0"/>
        <w:spacing w:line="360" w:lineRule="auto"/>
        <w:ind w:left="640" w:hanging="640"/>
        <w:rPr>
          <w:sz w:val="22"/>
          <w:szCs w:val="24"/>
        </w:rPr>
      </w:pPr>
      <w:r w:rsidRPr="00893135">
        <w:rPr>
          <w:sz w:val="22"/>
          <w:szCs w:val="24"/>
        </w:rPr>
        <w:t>[5]</w:t>
      </w:r>
      <w:r w:rsidRPr="00893135">
        <w:rPr>
          <w:sz w:val="22"/>
          <w:szCs w:val="24"/>
        </w:rPr>
        <w:tab/>
        <w:t xml:space="preserve">M. C. Field </w:t>
      </w:r>
      <w:r w:rsidRPr="00893135">
        <w:rPr>
          <w:i/>
          <w:iCs/>
          <w:sz w:val="22"/>
          <w:szCs w:val="24"/>
        </w:rPr>
        <w:t>et al.</w:t>
      </w:r>
      <w:r w:rsidRPr="00893135">
        <w:rPr>
          <w:sz w:val="22"/>
          <w:szCs w:val="24"/>
        </w:rPr>
        <w:t xml:space="preserve">, “Erratum: Anti-trypanosomatid drug discovery: an ongoing challenge and a continuing need (Nature reviews. Microbiology (2017) 15 4 (217-231)),” </w:t>
      </w:r>
      <w:r w:rsidRPr="00893135">
        <w:rPr>
          <w:i/>
          <w:iCs/>
          <w:sz w:val="22"/>
          <w:szCs w:val="24"/>
        </w:rPr>
        <w:t xml:space="preserve">Nat. Rev. </w:t>
      </w:r>
      <w:r w:rsidRPr="00893135">
        <w:rPr>
          <w:i/>
          <w:iCs/>
          <w:sz w:val="22"/>
          <w:szCs w:val="24"/>
        </w:rPr>
        <w:lastRenderedPageBreak/>
        <w:t>Microbiol.</w:t>
      </w:r>
      <w:r w:rsidRPr="00893135">
        <w:rPr>
          <w:sz w:val="22"/>
          <w:szCs w:val="24"/>
        </w:rPr>
        <w:t>, vol. 15, no. 7, p. 447, 2017, doi: 10.1038/nrmicro.2017.69.</w:t>
      </w:r>
    </w:p>
    <w:p w:rsidR="00893135" w:rsidRPr="00893135" w:rsidRDefault="00893135" w:rsidP="00893135">
      <w:pPr>
        <w:widowControl w:val="0"/>
        <w:autoSpaceDE w:val="0"/>
        <w:autoSpaceDN w:val="0"/>
        <w:adjustRightInd w:val="0"/>
        <w:spacing w:line="360" w:lineRule="auto"/>
        <w:ind w:left="640" w:hanging="640"/>
        <w:rPr>
          <w:sz w:val="22"/>
          <w:szCs w:val="24"/>
        </w:rPr>
      </w:pPr>
      <w:r w:rsidRPr="00893135">
        <w:rPr>
          <w:sz w:val="22"/>
          <w:szCs w:val="24"/>
        </w:rPr>
        <w:t>[6]</w:t>
      </w:r>
      <w:r w:rsidRPr="00893135">
        <w:rPr>
          <w:sz w:val="22"/>
          <w:szCs w:val="24"/>
        </w:rPr>
        <w:tab/>
        <w:t>M. Kaiser, M. A. Bray, M. Cal, B. B. Trunz, E. Torreele, and R. Brun, “Antitrypanosomal Activity of Fexinidazole , a New Oral Nitroimidazole Drug Candidate for Treatment of Sleeping Sickness ᰔ,” vol. 55, no. 12, pp. 5602–5608, 2011, doi: 10.1128/AAC.00246-11.</w:t>
      </w:r>
    </w:p>
    <w:p w:rsidR="00893135" w:rsidRPr="00893135" w:rsidRDefault="00893135" w:rsidP="00893135">
      <w:pPr>
        <w:widowControl w:val="0"/>
        <w:autoSpaceDE w:val="0"/>
        <w:autoSpaceDN w:val="0"/>
        <w:adjustRightInd w:val="0"/>
        <w:spacing w:line="360" w:lineRule="auto"/>
        <w:ind w:left="640" w:hanging="640"/>
        <w:rPr>
          <w:sz w:val="22"/>
          <w:szCs w:val="24"/>
        </w:rPr>
      </w:pPr>
      <w:r w:rsidRPr="00893135">
        <w:rPr>
          <w:sz w:val="22"/>
          <w:szCs w:val="24"/>
        </w:rPr>
        <w:t>[7]</w:t>
      </w:r>
      <w:r w:rsidRPr="00893135">
        <w:rPr>
          <w:sz w:val="22"/>
          <w:szCs w:val="24"/>
        </w:rPr>
        <w:tab/>
        <w:t xml:space="preserve">T. T. </w:t>
      </w:r>
      <w:r w:rsidRPr="00893135">
        <w:rPr>
          <w:i/>
          <w:iCs/>
          <w:sz w:val="22"/>
          <w:szCs w:val="24"/>
        </w:rPr>
        <w:t>et al.</w:t>
      </w:r>
      <w:r w:rsidRPr="00893135">
        <w:rPr>
          <w:sz w:val="22"/>
          <w:szCs w:val="24"/>
        </w:rPr>
        <w:t xml:space="preserve">, “Effect of MDR1 gene promoter methylation in patients with ulcerative colitis,” </w:t>
      </w:r>
      <w:r w:rsidRPr="00893135">
        <w:rPr>
          <w:i/>
          <w:iCs/>
          <w:sz w:val="22"/>
          <w:szCs w:val="24"/>
        </w:rPr>
        <w:t>Int. J. Mol. Med.</w:t>
      </w:r>
      <w:r w:rsidRPr="00893135">
        <w:rPr>
          <w:sz w:val="22"/>
          <w:szCs w:val="24"/>
        </w:rPr>
        <w:t>, vol. 23, no. 4, pp. 521–527, 2009, doi: 10.3892/ijmm.</w:t>
      </w:r>
    </w:p>
    <w:p w:rsidR="00893135" w:rsidRPr="00893135" w:rsidRDefault="00893135" w:rsidP="00893135">
      <w:pPr>
        <w:widowControl w:val="0"/>
        <w:autoSpaceDE w:val="0"/>
        <w:autoSpaceDN w:val="0"/>
        <w:adjustRightInd w:val="0"/>
        <w:spacing w:line="360" w:lineRule="auto"/>
        <w:ind w:left="640" w:hanging="640"/>
        <w:rPr>
          <w:sz w:val="22"/>
        </w:rPr>
      </w:pPr>
      <w:r w:rsidRPr="00893135">
        <w:rPr>
          <w:sz w:val="22"/>
          <w:szCs w:val="24"/>
        </w:rPr>
        <w:t>[8]</w:t>
      </w:r>
      <w:r w:rsidRPr="00893135">
        <w:rPr>
          <w:sz w:val="22"/>
          <w:szCs w:val="24"/>
        </w:rPr>
        <w:tab/>
        <w:t xml:space="preserve">M. Parsons, E. A. Worthey, P. N. Ward, and J. C. Mottram, “Comparative analysis of the kinomes of three pathogenic trypanosomatids: Leishmania major, Trypanosoma brucei and Trypanosoma cruzi,” </w:t>
      </w:r>
      <w:r w:rsidRPr="00893135">
        <w:rPr>
          <w:i/>
          <w:iCs/>
          <w:sz w:val="22"/>
          <w:szCs w:val="24"/>
        </w:rPr>
        <w:t>BMC Genomics</w:t>
      </w:r>
      <w:r w:rsidRPr="00893135">
        <w:rPr>
          <w:sz w:val="22"/>
          <w:szCs w:val="24"/>
        </w:rPr>
        <w:t>, vol. 6, pp. 1–19, 2005, doi: 10.1186/1471-2164-6-127.</w:t>
      </w:r>
    </w:p>
    <w:p w:rsidR="00893135" w:rsidRDefault="00893135" w:rsidP="008A2C16">
      <w:pPr>
        <w:pStyle w:val="MDPI31text"/>
        <w:spacing w:line="360" w:lineRule="auto"/>
        <w:ind w:left="0" w:firstLine="0"/>
        <w:rPr>
          <w:rFonts w:eastAsiaTheme="minorHAnsi"/>
          <w:b/>
          <w:bCs/>
          <w:color w:val="0D182D"/>
          <w:sz w:val="22"/>
          <w:lang w:val="en-ZA" w:eastAsia="en-US"/>
        </w:rPr>
      </w:pPr>
      <w:r>
        <w:rPr>
          <w:rFonts w:eastAsiaTheme="minorHAnsi"/>
          <w:b/>
          <w:bCs/>
          <w:color w:val="0D182D"/>
          <w:sz w:val="22"/>
          <w:lang w:val="en-ZA" w:eastAsia="en-US"/>
        </w:rPr>
        <w:fldChar w:fldCharType="end"/>
      </w:r>
    </w:p>
    <w:p w:rsidR="003457D7" w:rsidRPr="008A2C16" w:rsidRDefault="003457D7" w:rsidP="008A2C16">
      <w:pPr>
        <w:autoSpaceDE w:val="0"/>
        <w:autoSpaceDN w:val="0"/>
        <w:adjustRightInd w:val="0"/>
        <w:spacing w:line="360" w:lineRule="auto"/>
        <w:jc w:val="left"/>
        <w:rPr>
          <w:sz w:val="22"/>
          <w:szCs w:val="22"/>
        </w:rPr>
      </w:pPr>
    </w:p>
    <w:sectPr w:rsidR="003457D7" w:rsidRPr="008A2C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7D7"/>
    <w:rsid w:val="00107A12"/>
    <w:rsid w:val="002A6120"/>
    <w:rsid w:val="003457D7"/>
    <w:rsid w:val="003F73B6"/>
    <w:rsid w:val="00444E39"/>
    <w:rsid w:val="005B18F2"/>
    <w:rsid w:val="006D6A46"/>
    <w:rsid w:val="00775649"/>
    <w:rsid w:val="007C7B8D"/>
    <w:rsid w:val="00893135"/>
    <w:rsid w:val="008A2C16"/>
    <w:rsid w:val="00AB1F3B"/>
    <w:rsid w:val="00AF0DEA"/>
    <w:rsid w:val="00B94CE8"/>
    <w:rsid w:val="00BC53ED"/>
    <w:rsid w:val="00C35290"/>
    <w:rsid w:val="00EA56CC"/>
    <w:rsid w:val="00EF7B1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6CF4B-E7D6-48B4-B509-B7DD1DFD4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7D7"/>
    <w:pPr>
      <w:spacing w:after="0" w:line="260" w:lineRule="atLeast"/>
      <w:jc w:val="both"/>
    </w:pPr>
    <w:rPr>
      <w:rFonts w:ascii="Palatino Linotype" w:eastAsia="SimSun" w:hAnsi="Palatino Linotype" w:cs="Times New Roman"/>
      <w:noProof/>
      <w:color w:val="000000"/>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3457D7"/>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3457D7"/>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3457D7"/>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3457D7"/>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qFormat/>
    <w:rsid w:val="003457D7"/>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character" w:styleId="Hyperlink">
    <w:name w:val="Hyperlink"/>
    <w:uiPriority w:val="99"/>
    <w:rsid w:val="003457D7"/>
    <w:rPr>
      <w:color w:val="0000FF"/>
      <w:u w:val="single"/>
    </w:rPr>
  </w:style>
  <w:style w:type="paragraph" w:customStyle="1" w:styleId="MDPI61Citation">
    <w:name w:val="MDPI_6.1_Citation"/>
    <w:qFormat/>
    <w:rsid w:val="003457D7"/>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3Notes">
    <w:name w:val="MDPI_6.3_Notes"/>
    <w:qFormat/>
    <w:rsid w:val="003457D7"/>
    <w:pPr>
      <w:adjustRightInd w:val="0"/>
      <w:snapToGrid w:val="0"/>
      <w:spacing w:after="120" w:line="240" w:lineRule="atLeast"/>
      <w:ind w:right="113"/>
    </w:pPr>
    <w:rPr>
      <w:rFonts w:ascii="Palatino Linotype" w:eastAsia="SimSun" w:hAnsi="Palatino Linotype" w:cs="Times New Roman"/>
      <w:snapToGrid w:val="0"/>
      <w:color w:val="000000"/>
      <w:sz w:val="14"/>
      <w:szCs w:val="20"/>
      <w:lang w:val="en-US" w:bidi="en-US"/>
    </w:rPr>
  </w:style>
  <w:style w:type="paragraph" w:styleId="BodyText">
    <w:name w:val="Body Text"/>
    <w:basedOn w:val="Normal"/>
    <w:link w:val="BodyTextChar"/>
    <w:uiPriority w:val="1"/>
    <w:qFormat/>
    <w:rsid w:val="003457D7"/>
    <w:pPr>
      <w:widowControl w:val="0"/>
      <w:spacing w:line="240" w:lineRule="auto"/>
      <w:jc w:val="left"/>
    </w:pPr>
    <w:rPr>
      <w:rFonts w:ascii="Tw Cen MT" w:eastAsia="Tw Cen MT" w:hAnsi="Tw Cen MT" w:cs="Tw Cen MT"/>
      <w:noProof w:val="0"/>
      <w:color w:val="auto"/>
      <w:sz w:val="18"/>
      <w:szCs w:val="18"/>
      <w:lang w:eastAsia="en-US"/>
    </w:rPr>
  </w:style>
  <w:style w:type="character" w:customStyle="1" w:styleId="BodyTextChar">
    <w:name w:val="Body Text Char"/>
    <w:basedOn w:val="DefaultParagraphFont"/>
    <w:link w:val="BodyText"/>
    <w:uiPriority w:val="1"/>
    <w:rsid w:val="003457D7"/>
    <w:rPr>
      <w:rFonts w:ascii="Tw Cen MT" w:eastAsia="Tw Cen MT" w:hAnsi="Tw Cen MT" w:cs="Tw Cen MT"/>
      <w:sz w:val="18"/>
      <w:szCs w:val="18"/>
      <w:lang w:val="en-US"/>
    </w:rPr>
  </w:style>
  <w:style w:type="paragraph" w:customStyle="1" w:styleId="MDPI31text">
    <w:name w:val="MDPI_3.1_text"/>
    <w:qFormat/>
    <w:rsid w:val="003457D7"/>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krause@ru.ac.za" TargetMode="External"/><Relationship Id="rId3" Type="http://schemas.openxmlformats.org/officeDocument/2006/relationships/settings" Target="settings.xml"/><Relationship Id="rId7" Type="http://schemas.openxmlformats.org/officeDocument/2006/relationships/hyperlink" Target="mailto:qamgani@yahoo.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r.krause@ru.ac.za" TargetMode="External"/><Relationship Id="rId5" Type="http://schemas.openxmlformats.org/officeDocument/2006/relationships/hyperlink" Target="mailto:lydiakisula@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C4240C36-CE50-4215-AB0F-466D8FC65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4305</Words>
  <Characters>24545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Mboje</dc:creator>
  <cp:keywords/>
  <dc:description/>
  <cp:lastModifiedBy>Lydia Mboje</cp:lastModifiedBy>
  <cp:revision>7</cp:revision>
  <dcterms:created xsi:type="dcterms:W3CDTF">2022-05-26T16:33:00Z</dcterms:created>
  <dcterms:modified xsi:type="dcterms:W3CDTF">2022-05-26T19:30:00Z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f421de3e-d6d0-3fc6-bfcc-97bd290564cf</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http://www.zotero.org/styles/molecules</vt:lpwstr>
  </property>
  <property fmtid="{D5CDD505-2E9C-101B-9397-08002B2CF9AE}" pid="22" name="Mendeley Recent Style Name 8_1">
    <vt:lpwstr>Molecules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