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BBE" w:rsidRPr="007C1212" w:rsidRDefault="007C1212" w:rsidP="00901690">
      <w:pPr>
        <w:spacing w:line="240" w:lineRule="auto"/>
        <w:jc w:val="both"/>
        <w:rPr>
          <w:color w:val="4F81BD" w:themeColor="accent1"/>
          <w:sz w:val="32"/>
        </w:rPr>
      </w:pPr>
      <w:r w:rsidRPr="007C1212">
        <w:rPr>
          <w:b/>
          <w:bCs/>
          <w:i/>
          <w:iCs/>
          <w:color w:val="4F81BD" w:themeColor="accent1"/>
          <w:sz w:val="32"/>
        </w:rPr>
        <w:t xml:space="preserve">Formulation and evaluation of Microemulsion based gel of </w:t>
      </w:r>
      <w:proofErr w:type="spellStart"/>
      <w:r w:rsidRPr="007C1212">
        <w:rPr>
          <w:b/>
          <w:bCs/>
          <w:i/>
          <w:iCs/>
          <w:color w:val="4F81BD" w:themeColor="accent1"/>
          <w:sz w:val="32"/>
        </w:rPr>
        <w:t>dimethyl</w:t>
      </w:r>
      <w:proofErr w:type="spellEnd"/>
      <w:r w:rsidRPr="007C1212">
        <w:rPr>
          <w:b/>
          <w:bCs/>
          <w:i/>
          <w:iCs/>
          <w:color w:val="4F81BD" w:themeColor="accent1"/>
          <w:sz w:val="32"/>
        </w:rPr>
        <w:t xml:space="preserve"> </w:t>
      </w:r>
      <w:proofErr w:type="spellStart"/>
      <w:r w:rsidRPr="007C1212">
        <w:rPr>
          <w:b/>
          <w:bCs/>
          <w:i/>
          <w:iCs/>
          <w:color w:val="4F81BD" w:themeColor="accent1"/>
          <w:sz w:val="32"/>
        </w:rPr>
        <w:t>fumarate</w:t>
      </w:r>
      <w:proofErr w:type="spellEnd"/>
      <w:r w:rsidRPr="007C1212">
        <w:rPr>
          <w:b/>
          <w:bCs/>
          <w:i/>
          <w:iCs/>
          <w:color w:val="4F81BD" w:themeColor="accent1"/>
          <w:sz w:val="32"/>
        </w:rPr>
        <w:t xml:space="preserve"> for Psoriasis as topical delivery</w:t>
      </w:r>
    </w:p>
    <w:p w:rsidR="007C1212" w:rsidRDefault="007C1212" w:rsidP="007C1212">
      <w:pPr>
        <w:spacing w:line="360" w:lineRule="auto"/>
        <w:jc w:val="both"/>
        <w:sectPr w:rsidR="007C1212" w:rsidSect="00901690">
          <w:pgSz w:w="11906" w:h="16838"/>
          <w:pgMar w:top="180" w:right="1440" w:bottom="180" w:left="1440" w:header="720" w:footer="720" w:gutter="0"/>
          <w:cols w:space="720"/>
          <w:docGrid w:linePitch="360"/>
        </w:sectPr>
      </w:pPr>
    </w:p>
    <w:p w:rsidR="007C1212" w:rsidRDefault="007C1212" w:rsidP="007C1212">
      <w:pPr>
        <w:spacing w:line="240" w:lineRule="auto"/>
        <w:jc w:val="both"/>
      </w:pPr>
      <w:r w:rsidRPr="007C1212">
        <w:lastRenderedPageBreak/>
        <w:t xml:space="preserve">The rational of the current investigation was to develop a </w:t>
      </w:r>
      <w:proofErr w:type="spellStart"/>
      <w:r w:rsidRPr="007C1212">
        <w:t>microemulsion</w:t>
      </w:r>
      <w:proofErr w:type="spellEnd"/>
      <w:r w:rsidRPr="007C1212">
        <w:t xml:space="preserve"> based gel in the treatment of Psoriasis. The study consisted Preformulation studies, Analytical method development studies, Formulation and characterization studies, Drug release studies and stability study. On the basis of results of solubility studies  in different oils, surfactants and co-surfactants, </w:t>
      </w:r>
      <w:proofErr w:type="spellStart"/>
      <w:r w:rsidRPr="007C1212">
        <w:t>tween</w:t>
      </w:r>
      <w:proofErr w:type="spellEnd"/>
      <w:r w:rsidRPr="007C1212">
        <w:t xml:space="preserve"> 20 used as surfactant, IPA as co-surfactant and limonene as oil were chosen for the study. Pseudo ternary phase diagrams in different ratios of oils, S mix and water were developed, and 3:1 is suitable for preparation of MBG. On the basis of transparency, centrifugation, pH, globule size, zeta potential, poly </w:t>
      </w:r>
      <w:proofErr w:type="spellStart"/>
      <w:r w:rsidRPr="007C1212">
        <w:t>dispersity</w:t>
      </w:r>
      <w:proofErr w:type="spellEnd"/>
      <w:r w:rsidRPr="007C1212">
        <w:t xml:space="preserve"> index, conductivity, thermodynamic stability, TEM, Dye solubility test and dilution test, formulation ME 2 </w:t>
      </w:r>
      <w:proofErr w:type="spellStart"/>
      <w:r w:rsidRPr="007C1212">
        <w:t>bacth</w:t>
      </w:r>
      <w:proofErr w:type="spellEnd"/>
      <w:r w:rsidRPr="007C1212">
        <w:t xml:space="preserve"> was selected as an optimized formulation for designing Microemulsion. The pH of the formulations was found to vary between 6.26 and 6.79, a near neutral range which is ideal for topical applications. The Transmission electron microscopy of </w:t>
      </w:r>
      <w:proofErr w:type="spellStart"/>
      <w:r w:rsidRPr="007C1212">
        <w:t>dimethyl</w:t>
      </w:r>
      <w:proofErr w:type="spellEnd"/>
      <w:r w:rsidRPr="007C1212">
        <w:t xml:space="preserve"> </w:t>
      </w:r>
      <w:proofErr w:type="spellStart"/>
      <w:r w:rsidRPr="007C1212">
        <w:t>fumarate</w:t>
      </w:r>
      <w:proofErr w:type="spellEnd"/>
      <w:r w:rsidRPr="007C1212">
        <w:t xml:space="preserve"> loaded </w:t>
      </w:r>
      <w:proofErr w:type="spellStart"/>
      <w:r w:rsidRPr="007C1212">
        <w:t>microemulsion</w:t>
      </w:r>
      <w:proofErr w:type="spellEnd"/>
      <w:r w:rsidRPr="007C1212">
        <w:t xml:space="preserve"> showed a </w:t>
      </w:r>
      <w:proofErr w:type="spellStart"/>
      <w:r w:rsidRPr="007C1212">
        <w:t>nanosized</w:t>
      </w:r>
      <w:proofErr w:type="spellEnd"/>
      <w:r w:rsidRPr="007C1212">
        <w:t xml:space="preserve"> (70.31 nm) and spherical shape. The optimized batch has (-11.1) mV zeta potential, which indicates stable Microemulsion. From the stability</w:t>
      </w:r>
      <w:r>
        <w:t xml:space="preserve"> </w:t>
      </w:r>
      <w:r w:rsidRPr="007C1212">
        <w:t xml:space="preserve">study, we conclude that none of the Microemulsion systems showed signs of phase separation on centrifugation and freeze thaw cycle, so we conclude that the optimized batch was robust enough. The optimised ME </w:t>
      </w:r>
      <w:proofErr w:type="gramStart"/>
      <w:r w:rsidRPr="007C1212">
        <w:t>2  batch</w:t>
      </w:r>
      <w:proofErr w:type="gramEnd"/>
      <w:r w:rsidRPr="007C1212">
        <w:t xml:space="preserve"> of </w:t>
      </w:r>
      <w:proofErr w:type="spellStart"/>
      <w:r w:rsidRPr="007C1212">
        <w:t>dimethyl</w:t>
      </w:r>
      <w:proofErr w:type="spellEnd"/>
      <w:r w:rsidRPr="007C1212">
        <w:t xml:space="preserve"> </w:t>
      </w:r>
      <w:proofErr w:type="spellStart"/>
      <w:r w:rsidRPr="007C1212">
        <w:t>fumarate</w:t>
      </w:r>
      <w:proofErr w:type="spellEnd"/>
      <w:r w:rsidRPr="007C1212">
        <w:t xml:space="preserve"> </w:t>
      </w:r>
      <w:proofErr w:type="spellStart"/>
      <w:r w:rsidRPr="007C1212">
        <w:t>microemulsion</w:t>
      </w:r>
      <w:proofErr w:type="spellEnd"/>
      <w:r w:rsidRPr="007C1212">
        <w:t xml:space="preserve"> was further incorporated in gel using aloe </w:t>
      </w:r>
      <w:proofErr w:type="spellStart"/>
      <w:r w:rsidRPr="007C1212">
        <w:t>vera</w:t>
      </w:r>
      <w:proofErr w:type="spellEnd"/>
      <w:r w:rsidRPr="007C1212">
        <w:t xml:space="preserve"> as moisturizing agent, </w:t>
      </w:r>
      <w:proofErr w:type="spellStart"/>
      <w:r w:rsidRPr="007C1212">
        <w:t>carbopol</w:t>
      </w:r>
      <w:proofErr w:type="spellEnd"/>
      <w:r w:rsidRPr="007C1212">
        <w:t xml:space="preserve"> as gelling agent. The pH of MBG was acceptable for the topical delivery system.  Viscosity of the optimized batch MBG 2 has acceptable consistency</w:t>
      </w:r>
      <w:r>
        <w:t xml:space="preserve">. </w:t>
      </w:r>
      <w:r w:rsidRPr="007C1212">
        <w:t xml:space="preserve">From in vitro drug release study was carried out in phosphate buffer pH 7.4 using dialysis membrane up to 9 hrs. MBG showed 83.35% drug release at end of 9 hrs. Stability study was performed for optimized MBG for 60 days as per ICH guidelines. The </w:t>
      </w:r>
      <w:r w:rsidRPr="007C1212">
        <w:lastRenderedPageBreak/>
        <w:t xml:space="preserve">formulated </w:t>
      </w:r>
      <w:proofErr w:type="spellStart"/>
      <w:r w:rsidRPr="007C1212">
        <w:t>dimethyl</w:t>
      </w:r>
      <w:proofErr w:type="spellEnd"/>
      <w:r w:rsidRPr="007C1212">
        <w:t xml:space="preserve"> </w:t>
      </w:r>
      <w:proofErr w:type="spellStart"/>
      <w:r w:rsidRPr="007C1212">
        <w:t>fumarate</w:t>
      </w:r>
      <w:proofErr w:type="spellEnd"/>
      <w:r w:rsidRPr="007C1212">
        <w:t xml:space="preserve"> loaded MBG in the treatment of psoriasis as topical drug delivery system that has potential to induce prolonged drug release on topical administration and could therefore produce some benefits such as reduction in total dose and magnitude of systemic side effects. The optimised formulation can serve as sustained drug release. Furthermore, </w:t>
      </w:r>
      <w:r w:rsidRPr="007C1212">
        <w:rPr>
          <w:i/>
          <w:iCs/>
        </w:rPr>
        <w:t xml:space="preserve">in vivo </w:t>
      </w:r>
      <w:r w:rsidRPr="007C1212">
        <w:t>studies are necessary to demonstrate the potential effect of Microemulsion based gel delivery of drug.</w:t>
      </w:r>
    </w:p>
    <w:p w:rsidR="007C1212" w:rsidRDefault="007C1212" w:rsidP="007C1212">
      <w:pPr>
        <w:spacing w:line="204" w:lineRule="exact"/>
        <w:rPr>
          <w:rFonts w:ascii="Arial"/>
          <w:b/>
          <w:sz w:val="20"/>
        </w:rPr>
      </w:pPr>
      <w:r>
        <w:rPr>
          <w:rFonts w:ascii="Arial"/>
          <w:b/>
          <w:color w:val="BF5A14"/>
          <w:sz w:val="20"/>
        </w:rPr>
        <w:t>Recent Publications (minimum 5)</w:t>
      </w:r>
    </w:p>
    <w:p w:rsidR="00457A3F" w:rsidRPr="00457A3F" w:rsidRDefault="00457A3F" w:rsidP="00457A3F">
      <w:pPr>
        <w:pStyle w:val="ListParagraph"/>
        <w:numPr>
          <w:ilvl w:val="0"/>
          <w:numId w:val="1"/>
        </w:numPr>
        <w:spacing w:line="240" w:lineRule="auto"/>
        <w:jc w:val="both"/>
        <w:rPr>
          <w:rFonts w:cstheme="minorHAnsi"/>
          <w:lang w:val="en-GB"/>
        </w:rPr>
      </w:pPr>
      <w:r>
        <w:rPr>
          <w:rFonts w:cstheme="minorHAnsi"/>
          <w:bCs/>
        </w:rPr>
        <w:t xml:space="preserve">Harish Padh, </w:t>
      </w:r>
      <w:proofErr w:type="spellStart"/>
      <w:r w:rsidRPr="00457A3F">
        <w:rPr>
          <w:rFonts w:cstheme="minorHAnsi"/>
          <w:bCs/>
        </w:rPr>
        <w:t>Sharaddha</w:t>
      </w:r>
      <w:proofErr w:type="spellEnd"/>
      <w:r w:rsidRPr="00457A3F">
        <w:rPr>
          <w:rFonts w:cstheme="minorHAnsi"/>
          <w:bCs/>
        </w:rPr>
        <w:t xml:space="preserve"> Parmar, </w:t>
      </w:r>
      <w:r w:rsidRPr="00457A3F">
        <w:rPr>
          <w:rFonts w:cstheme="minorHAnsi"/>
        </w:rPr>
        <w:t>Bhavna Patel,</w:t>
      </w:r>
      <w:r>
        <w:rPr>
          <w:rFonts w:cstheme="minorHAnsi"/>
        </w:rPr>
        <w:t xml:space="preserve"> </w:t>
      </w:r>
      <w:r w:rsidRPr="00D33616">
        <w:rPr>
          <w:rFonts w:cstheme="minorHAnsi"/>
          <w:lang w:val="en-GB"/>
        </w:rPr>
        <w:t>Stability indicating HPTLC method for estimation of Mangiferin in bulk and dosage form</w:t>
      </w:r>
      <w:r>
        <w:rPr>
          <w:rFonts w:cstheme="minorHAnsi"/>
          <w:lang w:val="en-GB"/>
        </w:rPr>
        <w:t xml:space="preserve">, </w:t>
      </w:r>
      <w:r w:rsidRPr="00D33616">
        <w:rPr>
          <w:rFonts w:cstheme="minorHAnsi"/>
          <w:lang w:val="en-GB"/>
        </w:rPr>
        <w:t>International Journal of Pharmacy and biological sciences</w:t>
      </w:r>
      <w:r>
        <w:rPr>
          <w:rFonts w:cstheme="minorHAnsi"/>
          <w:lang w:val="en-GB"/>
        </w:rPr>
        <w:t>, 2017, 7:62-63.</w:t>
      </w:r>
    </w:p>
    <w:p w:rsidR="00873805" w:rsidRDefault="00457A3F" w:rsidP="00873805">
      <w:pPr>
        <w:pStyle w:val="ListParagraph"/>
        <w:numPr>
          <w:ilvl w:val="0"/>
          <w:numId w:val="1"/>
        </w:numPr>
        <w:spacing w:line="240" w:lineRule="auto"/>
        <w:jc w:val="both"/>
        <w:rPr>
          <w:rFonts w:cstheme="minorHAnsi"/>
          <w:lang w:val="en-GB"/>
        </w:rPr>
      </w:pPr>
      <w:r>
        <w:rPr>
          <w:rFonts w:cstheme="minorHAnsi"/>
          <w:bCs/>
        </w:rPr>
        <w:t>Harish Padh,  Shra</w:t>
      </w:r>
      <w:r w:rsidRPr="00457A3F">
        <w:rPr>
          <w:rFonts w:cstheme="minorHAnsi"/>
          <w:bCs/>
        </w:rPr>
        <w:t xml:space="preserve">ddha Parmar , </w:t>
      </w:r>
      <w:r w:rsidRPr="00457A3F">
        <w:rPr>
          <w:rFonts w:cstheme="minorHAnsi"/>
        </w:rPr>
        <w:t xml:space="preserve">Bhavna Patel, </w:t>
      </w:r>
      <w:r w:rsidRPr="00457A3F">
        <w:rPr>
          <w:rFonts w:cstheme="minorHAnsi"/>
          <w:lang w:val="en-GB"/>
        </w:rPr>
        <w:t>Development and validation of stability indicating HPTLC method for estimation of Swertiamarin in bulk and dosage form, International Journal of Applied Pharmaceutics, 2017,9:66-68.</w:t>
      </w:r>
    </w:p>
    <w:p w:rsidR="00873805" w:rsidRPr="00873805" w:rsidRDefault="00873805" w:rsidP="00873805">
      <w:pPr>
        <w:pStyle w:val="ListParagraph"/>
        <w:numPr>
          <w:ilvl w:val="0"/>
          <w:numId w:val="1"/>
        </w:numPr>
        <w:spacing w:line="240" w:lineRule="auto"/>
        <w:jc w:val="both"/>
        <w:rPr>
          <w:rFonts w:cstheme="minorHAnsi"/>
          <w:lang w:val="en-GB"/>
        </w:rPr>
      </w:pPr>
      <w:r w:rsidRPr="00873805">
        <w:rPr>
          <w:rFonts w:cstheme="minorHAnsi"/>
          <w:bCs/>
        </w:rPr>
        <w:t xml:space="preserve">Shraddha </w:t>
      </w:r>
      <w:r w:rsidR="00901690" w:rsidRPr="00873805">
        <w:rPr>
          <w:rFonts w:cstheme="minorHAnsi"/>
          <w:bCs/>
        </w:rPr>
        <w:t>Parmar,</w:t>
      </w:r>
      <w:r w:rsidRPr="00873805">
        <w:rPr>
          <w:rFonts w:cstheme="minorHAnsi"/>
          <w:bCs/>
        </w:rPr>
        <w:t xml:space="preserve"> </w:t>
      </w:r>
      <w:r w:rsidRPr="00873805">
        <w:rPr>
          <w:rFonts w:cstheme="minorHAnsi"/>
        </w:rPr>
        <w:t>Bhavna Patel,</w:t>
      </w:r>
      <w:r>
        <w:rPr>
          <w:rFonts w:cstheme="minorHAnsi"/>
        </w:rPr>
        <w:t xml:space="preserve"> </w:t>
      </w:r>
      <w:r w:rsidRPr="00D33616">
        <w:rPr>
          <w:rFonts w:cstheme="minorHAnsi"/>
          <w:bCs/>
        </w:rPr>
        <w:t xml:space="preserve">Development and Validation of UV Spectrophotometric Method for </w:t>
      </w:r>
      <w:proofErr w:type="gramStart"/>
      <w:r w:rsidRPr="00D33616">
        <w:rPr>
          <w:rFonts w:cstheme="minorHAnsi"/>
          <w:bCs/>
        </w:rPr>
        <w:t>The</w:t>
      </w:r>
      <w:proofErr w:type="gramEnd"/>
      <w:r w:rsidRPr="00D33616">
        <w:rPr>
          <w:rFonts w:cstheme="minorHAnsi"/>
          <w:bCs/>
        </w:rPr>
        <w:t xml:space="preserve"> Estimation of </w:t>
      </w:r>
      <w:proofErr w:type="spellStart"/>
      <w:r w:rsidRPr="00D33616">
        <w:rPr>
          <w:rFonts w:cstheme="minorHAnsi"/>
          <w:bCs/>
        </w:rPr>
        <w:t>Canagliflozin</w:t>
      </w:r>
      <w:proofErr w:type="spellEnd"/>
      <w:r w:rsidRPr="00D33616">
        <w:rPr>
          <w:rFonts w:cstheme="minorHAnsi"/>
          <w:bCs/>
        </w:rPr>
        <w:t xml:space="preserve"> and Metformin</w:t>
      </w:r>
      <w:r>
        <w:rPr>
          <w:rFonts w:cstheme="minorHAnsi"/>
          <w:bCs/>
        </w:rPr>
        <w:t>, 2020, 10(1):65-72.</w:t>
      </w:r>
    </w:p>
    <w:p w:rsidR="00901690" w:rsidRDefault="00873805" w:rsidP="00901690">
      <w:pPr>
        <w:pStyle w:val="ListParagraph"/>
        <w:numPr>
          <w:ilvl w:val="0"/>
          <w:numId w:val="1"/>
        </w:numPr>
        <w:spacing w:line="240" w:lineRule="auto"/>
        <w:jc w:val="both"/>
        <w:rPr>
          <w:rFonts w:cstheme="minorHAnsi"/>
          <w:lang w:val="en-GB"/>
        </w:rPr>
      </w:pPr>
      <w:r>
        <w:rPr>
          <w:rFonts w:cstheme="minorHAnsi"/>
          <w:lang w:val="en-GB"/>
        </w:rPr>
        <w:t xml:space="preserve">Shraddha Parmar, Bhavna Patel, </w:t>
      </w:r>
      <w:proofErr w:type="spellStart"/>
      <w:r>
        <w:rPr>
          <w:rFonts w:cstheme="minorHAnsi"/>
          <w:lang w:val="en-GB"/>
        </w:rPr>
        <w:t>Akshara</w:t>
      </w:r>
      <w:proofErr w:type="spellEnd"/>
      <w:r>
        <w:rPr>
          <w:rFonts w:cstheme="minorHAnsi"/>
          <w:lang w:val="en-GB"/>
        </w:rPr>
        <w:t xml:space="preserve"> Patel, Analytical quality by design approach for development and validation of UV-Spectrophotometric method for estimation of </w:t>
      </w:r>
      <w:proofErr w:type="spellStart"/>
      <w:r>
        <w:rPr>
          <w:rFonts w:cstheme="minorHAnsi"/>
          <w:lang w:val="en-GB"/>
        </w:rPr>
        <w:t>Canagliflozin</w:t>
      </w:r>
      <w:proofErr w:type="spellEnd"/>
      <w:r>
        <w:rPr>
          <w:rFonts w:cstheme="minorHAnsi"/>
          <w:lang w:val="en-GB"/>
        </w:rPr>
        <w:t xml:space="preserve"> in bulk and formulation, 2021, 12:6498-6509</w:t>
      </w:r>
    </w:p>
    <w:p w:rsidR="00873805" w:rsidRPr="00901690" w:rsidRDefault="00901690" w:rsidP="00901690">
      <w:pPr>
        <w:pStyle w:val="ListParagraph"/>
        <w:numPr>
          <w:ilvl w:val="0"/>
          <w:numId w:val="1"/>
        </w:numPr>
        <w:spacing w:line="240" w:lineRule="auto"/>
        <w:jc w:val="both"/>
        <w:rPr>
          <w:rFonts w:cstheme="minorHAnsi"/>
          <w:lang w:val="en-GB"/>
        </w:rPr>
      </w:pPr>
      <w:r>
        <w:t xml:space="preserve">Shraddha Parmar, </w:t>
      </w:r>
      <w:proofErr w:type="spellStart"/>
      <w:r>
        <w:t>Sneha</w:t>
      </w:r>
      <w:proofErr w:type="spellEnd"/>
      <w:r>
        <w:t xml:space="preserve"> </w:t>
      </w:r>
      <w:proofErr w:type="spellStart"/>
      <w:r>
        <w:t>Makwana</w:t>
      </w:r>
      <w:proofErr w:type="spellEnd"/>
      <w:r>
        <w:t xml:space="preserve">, Viral Patel, </w:t>
      </w:r>
      <w:r w:rsidRPr="009640C3">
        <w:t>Development and characterization of in-situ gel for ophthalmic formulation containing ciprofloxacin hydrochloride</w:t>
      </w:r>
      <w:r>
        <w:t xml:space="preserve">, </w:t>
      </w:r>
      <w:r w:rsidRPr="00901690">
        <w:rPr>
          <w:color w:val="000000" w:themeColor="text1"/>
        </w:rPr>
        <w:t>Results in Pharma Sciences</w:t>
      </w:r>
      <w:r>
        <w:rPr>
          <w:color w:val="000000" w:themeColor="text1"/>
        </w:rPr>
        <w:t>, 2016.</w:t>
      </w:r>
    </w:p>
    <w:p w:rsidR="00901690" w:rsidRDefault="00901690" w:rsidP="007C1212">
      <w:pPr>
        <w:spacing w:line="240" w:lineRule="auto"/>
        <w:jc w:val="both"/>
        <w:sectPr w:rsidR="00901690" w:rsidSect="00901690">
          <w:type w:val="continuous"/>
          <w:pgSz w:w="11906" w:h="16838"/>
          <w:pgMar w:top="1440" w:right="1440" w:bottom="1440" w:left="1440" w:header="720" w:footer="720" w:gutter="0"/>
          <w:cols w:num="2" w:space="720"/>
          <w:docGrid w:linePitch="360"/>
        </w:sectPr>
      </w:pPr>
    </w:p>
    <w:p w:rsidR="00457A3F" w:rsidRDefault="00457A3F" w:rsidP="007C1212">
      <w:pPr>
        <w:spacing w:line="240" w:lineRule="auto"/>
        <w:jc w:val="both"/>
      </w:pPr>
    </w:p>
    <w:p w:rsidR="00901690" w:rsidRDefault="007C1212" w:rsidP="00901690">
      <w:pPr>
        <w:jc w:val="both"/>
      </w:pPr>
      <w:r>
        <w:rPr>
          <w:b/>
        </w:rPr>
        <w:t xml:space="preserve">Dr Shraddha Parmar </w:t>
      </w:r>
      <w:r>
        <w:t xml:space="preserve">has completed her PhD at the age of 31 years from Sardar Patel University, the State University of Gujarat, India. She is working as Assistant Professor at Department of Pharmaceutical Sciences, Sardar Patel University, </w:t>
      </w:r>
      <w:proofErr w:type="gramStart"/>
      <w:r>
        <w:t>State</w:t>
      </w:r>
      <w:proofErr w:type="gramEnd"/>
      <w:r>
        <w:t xml:space="preserve"> University of Gujarat, India from past 9 years. She has published more than 35 papers in reputed international journals and presented two papers in international conferences. She has guided 20 Masters Students for their dissertation work.</w:t>
      </w:r>
    </w:p>
    <w:p w:rsidR="007C1212" w:rsidRDefault="00901690" w:rsidP="00901690">
      <w:r>
        <w:rPr>
          <w:b/>
          <w:lang w:val="en-NZ"/>
        </w:rPr>
        <w:t>Presenting author details</w:t>
      </w:r>
      <w:proofErr w:type="gramStart"/>
      <w:r>
        <w:rPr>
          <w:b/>
          <w:lang w:val="en-NZ"/>
        </w:rPr>
        <w:t>:</w:t>
      </w:r>
      <w:proofErr w:type="gramEnd"/>
      <w:r w:rsidR="007C1212" w:rsidRPr="008A690F">
        <w:rPr>
          <w:b/>
          <w:lang w:val="en-NZ"/>
        </w:rPr>
        <w:br/>
      </w:r>
      <w:r w:rsidR="007C1212" w:rsidRPr="008A690F">
        <w:rPr>
          <w:lang w:val="en-NZ"/>
        </w:rPr>
        <w:t xml:space="preserve">Full name: </w:t>
      </w:r>
      <w:r w:rsidR="007C1212">
        <w:rPr>
          <w:b/>
          <w:lang w:val="en-NZ"/>
        </w:rPr>
        <w:t>Dr.</w:t>
      </w:r>
      <w:r w:rsidR="007C1212">
        <w:t xml:space="preserve"> </w:t>
      </w:r>
      <w:proofErr w:type="spellStart"/>
      <w:r w:rsidR="007C1212">
        <w:rPr>
          <w:b/>
        </w:rPr>
        <w:t>Shraddhaben</w:t>
      </w:r>
      <w:proofErr w:type="spellEnd"/>
      <w:r w:rsidR="007C1212">
        <w:rPr>
          <w:b/>
        </w:rPr>
        <w:t xml:space="preserve"> Jashbhai Parmar</w:t>
      </w:r>
      <w:r>
        <w:rPr>
          <w:b/>
        </w:rPr>
        <w:t xml:space="preserve">       </w:t>
      </w:r>
      <w:r w:rsidR="007C1212" w:rsidRPr="008A690F">
        <w:rPr>
          <w:lang w:val="en-NZ"/>
        </w:rPr>
        <w:t xml:space="preserve">Category: </w:t>
      </w:r>
      <w:r w:rsidR="007C1212">
        <w:rPr>
          <w:lang w:val="en-NZ"/>
        </w:rPr>
        <w:t xml:space="preserve"> Oral Presentation</w:t>
      </w:r>
    </w:p>
    <w:sectPr w:rsidR="007C1212" w:rsidSect="007C1212">
      <w:type w:val="continuous"/>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C82C41"/>
    <w:multiLevelType w:val="hybridMultilevel"/>
    <w:tmpl w:val="00703F1E"/>
    <w:lvl w:ilvl="0" w:tplc="4009000F">
      <w:start w:val="1"/>
      <w:numFmt w:val="decimal"/>
      <w:lvlText w:val="%1."/>
      <w:lvlJc w:val="left"/>
      <w:pPr>
        <w:ind w:left="765" w:hanging="360"/>
      </w:p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1212"/>
    <w:rsid w:val="00314C84"/>
    <w:rsid w:val="00457A3F"/>
    <w:rsid w:val="00676A30"/>
    <w:rsid w:val="007C1212"/>
    <w:rsid w:val="007D1617"/>
    <w:rsid w:val="00873805"/>
    <w:rsid w:val="00901690"/>
    <w:rsid w:val="00A31167"/>
    <w:rsid w:val="00E001C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A3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A3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SHRADDHA</dc:creator>
  <cp:lastModifiedBy>SHRADDHA</cp:lastModifiedBy>
  <cp:revision>2</cp:revision>
  <dcterms:created xsi:type="dcterms:W3CDTF">2021-12-02T11:21:00Z</dcterms:created>
  <dcterms:modified xsi:type="dcterms:W3CDTF">2021-12-02T11:21:00Z</dcterms:modified>
</cp:coreProperties>
</file>