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79697" w14:textId="0CBACFE2" w:rsidR="00281561" w:rsidRDefault="00281561" w:rsidP="00281561">
      <w:pPr>
        <w:pStyle w:val="Heading1"/>
        <w:spacing w:before="170"/>
        <w:ind w:left="0"/>
      </w:pPr>
      <w:r>
        <w:rPr>
          <w:color w:val="337AB7"/>
        </w:rPr>
        <w:t>Neurotransmitters in Pediatric ADHD</w:t>
      </w:r>
    </w:p>
    <w:p w14:paraId="45B8D0FC" w14:textId="4BA87183" w:rsidR="00281561" w:rsidRDefault="00281561" w:rsidP="00281561">
      <w:pPr>
        <w:pStyle w:val="BodyText"/>
        <w:spacing w:before="73" w:line="198" w:lineRule="exact"/>
        <w:ind w:left="100" w:right="5987"/>
        <w:rPr>
          <w:rFonts w:ascii="Arial"/>
        </w:rPr>
      </w:pPr>
      <w:r>
        <w:rPr>
          <w:rFonts w:ascii="Arial"/>
        </w:rPr>
        <w:t>Tasmia Hai</w:t>
      </w:r>
      <w:r>
        <w:rPr>
          <w:rFonts w:ascii="Arial"/>
        </w:rPr>
        <w:t xml:space="preserve">, </w:t>
      </w:r>
      <w:r>
        <w:rPr>
          <w:rFonts w:ascii="Arial"/>
        </w:rPr>
        <w:t>University of Alberta</w:t>
      </w:r>
      <w:r>
        <w:rPr>
          <w:rFonts w:ascii="Arial"/>
        </w:rPr>
        <w:t xml:space="preserve">, </w:t>
      </w:r>
      <w:r>
        <w:rPr>
          <w:rFonts w:ascii="Arial"/>
        </w:rPr>
        <w:t>AB, Canada</w:t>
      </w:r>
    </w:p>
    <w:p w14:paraId="5E361AE1" w14:textId="77777777" w:rsidR="00281561" w:rsidRDefault="00281561" w:rsidP="00281561">
      <w:pPr>
        <w:rPr>
          <w:rFonts w:ascii="Arial"/>
          <w:sz w:val="21"/>
        </w:rPr>
        <w:sectPr w:rsidR="00281561" w:rsidSect="00281561">
          <w:headerReference w:type="default" r:id="rId4"/>
          <w:footerReference w:type="default" r:id="rId5"/>
          <w:pgSz w:w="11910" w:h="16840"/>
          <w:pgMar w:top="1740" w:right="600" w:bottom="840" w:left="620" w:header="541" w:footer="642" w:gutter="0"/>
          <w:cols w:space="720"/>
        </w:sectPr>
      </w:pPr>
    </w:p>
    <w:p w14:paraId="5CB20094" w14:textId="77777777" w:rsidR="00281561" w:rsidRDefault="00281561" w:rsidP="00281561">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0F9625E6" w14:textId="77777777" w:rsidR="00412D77" w:rsidRDefault="00412D77" w:rsidP="00412D77">
      <w:pPr>
        <w:pStyle w:val="NormalWeb"/>
        <w:spacing w:before="0" w:beforeAutospacing="0" w:after="0" w:afterAutospacing="0"/>
        <w:rPr>
          <w:color w:val="1C1E29"/>
        </w:rPr>
      </w:pPr>
      <w:r>
        <w:rPr>
          <w:rStyle w:val="Strong"/>
          <w:color w:val="1C1E29"/>
        </w:rPr>
        <w:t>Background:</w:t>
      </w:r>
      <w:r>
        <w:rPr>
          <w:color w:val="1C1E29"/>
        </w:rPr>
        <w:t xml:space="preserve"> Attention-deficit/hyperactivity disorder (ADHD) is a highly prevalent neurodevelopmental disorder in children, approximately affecting 5-7% of school-aged children. Previous studies have reported glutamatergic dysfunction in the </w:t>
      </w:r>
      <w:proofErr w:type="spellStart"/>
      <w:r>
        <w:rPr>
          <w:color w:val="1C1E29"/>
        </w:rPr>
        <w:t>fronto</w:t>
      </w:r>
      <w:proofErr w:type="spellEnd"/>
      <w:r>
        <w:rPr>
          <w:color w:val="1C1E29"/>
        </w:rPr>
        <w:t>-striatal pathway (FSP). However, no study to date has investigated both glutamate and gamma-Aminobutyric acid (GABA) changes in the FSP in the pediatric ADHD population. </w:t>
      </w:r>
    </w:p>
    <w:p w14:paraId="0E38B2E3" w14:textId="77777777" w:rsidR="00412D77" w:rsidRDefault="00412D77" w:rsidP="00412D77">
      <w:pPr>
        <w:pStyle w:val="NormalWeb"/>
        <w:spacing w:before="0" w:beforeAutospacing="0" w:after="0" w:afterAutospacing="0"/>
        <w:rPr>
          <w:color w:val="1C1E29"/>
        </w:rPr>
      </w:pPr>
    </w:p>
    <w:p w14:paraId="30336923" w14:textId="77777777" w:rsidR="00412D77" w:rsidRDefault="00412D77" w:rsidP="00412D77">
      <w:pPr>
        <w:pStyle w:val="NormalWeb"/>
        <w:spacing w:before="0" w:beforeAutospacing="0" w:after="0" w:afterAutospacing="0"/>
        <w:rPr>
          <w:color w:val="1C1E29"/>
        </w:rPr>
      </w:pPr>
      <w:r>
        <w:rPr>
          <w:rStyle w:val="Strong"/>
          <w:color w:val="1C1E29"/>
        </w:rPr>
        <w:t>Methods:</w:t>
      </w:r>
      <w:r>
        <w:rPr>
          <w:color w:val="1C1E29"/>
        </w:rPr>
        <w:t> Twenty-six children with ADHD (</w:t>
      </w:r>
      <w:r>
        <w:rPr>
          <w:rStyle w:val="Emphasis"/>
          <w:color w:val="1C1E29"/>
        </w:rPr>
        <w:t>M </w:t>
      </w:r>
      <w:r>
        <w:rPr>
          <w:color w:val="1C1E29"/>
        </w:rPr>
        <w:t>= 11.6 years, males = 13) and 25 typically developing participants (TDC; </w:t>
      </w:r>
      <w:r>
        <w:rPr>
          <w:rStyle w:val="Emphasis"/>
          <w:color w:val="1C1E29"/>
        </w:rPr>
        <w:t>M</w:t>
      </w:r>
      <w:r>
        <w:rPr>
          <w:color w:val="1C1E29"/>
        </w:rPr>
        <w:t> = 11.4 years; males = 13) took part. MEGA-PRESS 1H-MRS protocol for GABA (TR = 1.8s, TE = 68ms, 256 averages) and PRESS for glutamate were used to study the changes in the bilateral Anterior Cingulate Cortex (BACC). The study also investigated glutamate changes in the right prefrontal cortex (R-PFC) and left striatum (LS) for replication purpose. </w:t>
      </w:r>
    </w:p>
    <w:p w14:paraId="3F551FCF" w14:textId="77777777" w:rsidR="00412D77" w:rsidRDefault="00412D77" w:rsidP="00412D77">
      <w:pPr>
        <w:pStyle w:val="NormalWeb"/>
        <w:spacing w:before="0" w:beforeAutospacing="0" w:after="0" w:afterAutospacing="0"/>
        <w:rPr>
          <w:color w:val="1C1E29"/>
        </w:rPr>
      </w:pPr>
    </w:p>
    <w:p w14:paraId="3FB2159A" w14:textId="77777777" w:rsidR="00412D77" w:rsidRDefault="00412D77" w:rsidP="00412D77">
      <w:pPr>
        <w:pStyle w:val="NormalWeb"/>
        <w:spacing w:before="0" w:beforeAutospacing="0" w:after="0" w:afterAutospacing="0"/>
        <w:rPr>
          <w:color w:val="1C1E29"/>
        </w:rPr>
      </w:pPr>
      <w:r>
        <w:rPr>
          <w:rStyle w:val="Strong"/>
          <w:color w:val="1C1E29"/>
        </w:rPr>
        <w:t>Results:</w:t>
      </w:r>
      <w:r>
        <w:rPr>
          <w:color w:val="1C1E29"/>
        </w:rPr>
        <w:t> Mann-Whitney U tests found no statistically significant difference in GABA or Glutamate concentration in the BACC. However, significant lower concentrations of Glutamate (Glu; </w:t>
      </w:r>
      <w:r>
        <w:rPr>
          <w:rStyle w:val="Emphasis"/>
          <w:color w:val="1C1E29"/>
        </w:rPr>
        <w:t>p</w:t>
      </w:r>
      <w:r>
        <w:rPr>
          <w:color w:val="1C1E29"/>
        </w:rPr>
        <w:t> = 0.009, Cohen’s d = 0.6), and N-Acetyl Aspartate (NAA; </w:t>
      </w:r>
      <w:r>
        <w:rPr>
          <w:rStyle w:val="Emphasis"/>
          <w:color w:val="1C1E29"/>
        </w:rPr>
        <w:t>p</w:t>
      </w:r>
      <w:r>
        <w:rPr>
          <w:color w:val="1C1E29"/>
        </w:rPr>
        <w:t> = 0.029, Cohen’s d = 0.5) were observed in the LS voxel in ADHD participants compared to TDC. No significant differences were observed in the R-PFC voxel. </w:t>
      </w:r>
    </w:p>
    <w:p w14:paraId="2DF380C6" w14:textId="77777777" w:rsidR="00412D77" w:rsidRDefault="00412D77" w:rsidP="00412D77">
      <w:pPr>
        <w:pStyle w:val="NormalWeb"/>
        <w:spacing w:before="0" w:beforeAutospacing="0" w:after="0" w:afterAutospacing="0"/>
        <w:rPr>
          <w:color w:val="1C1E29"/>
        </w:rPr>
      </w:pPr>
    </w:p>
    <w:p w14:paraId="719FFEDF" w14:textId="77777777" w:rsidR="00412D77" w:rsidRDefault="00412D77" w:rsidP="00412D77">
      <w:pPr>
        <w:pStyle w:val="NormalWeb"/>
        <w:spacing w:before="0" w:beforeAutospacing="0" w:after="0" w:afterAutospacing="0"/>
        <w:rPr>
          <w:color w:val="1C1E29"/>
        </w:rPr>
      </w:pPr>
      <w:r>
        <w:rPr>
          <w:rStyle w:val="Strong"/>
          <w:color w:val="1C1E29"/>
        </w:rPr>
        <w:t>Conclusions: </w:t>
      </w:r>
      <w:r>
        <w:rPr>
          <w:color w:val="1C1E29"/>
        </w:rPr>
        <w:t>To our knowledge, this is the first study to investigate both GABA and Glutamate changes in the BACC voxel in pediatric ADHD. While the results are in contrast to the hypotheses, the null findings observed suggest the need to better characterize ADHD pediatric population. This would allow the opportunity to provide targeted treatments and potential biomarkers for diagnosis.</w:t>
      </w:r>
    </w:p>
    <w:p w14:paraId="17826562" w14:textId="18FCC9D0" w:rsidR="00281561" w:rsidRDefault="00281561" w:rsidP="00281561">
      <w:pPr>
        <w:spacing w:line="204" w:lineRule="exact"/>
        <w:rPr>
          <w:rFonts w:ascii="Arial"/>
          <w:b/>
          <w:sz w:val="20"/>
        </w:rPr>
      </w:pPr>
      <w:r>
        <w:rPr>
          <w:rFonts w:ascii="Arial"/>
          <w:b/>
          <w:color w:val="BF5A14"/>
          <w:sz w:val="20"/>
        </w:rPr>
        <w:br/>
        <w:t xml:space="preserve">Recent Publications </w:t>
      </w:r>
    </w:p>
    <w:p w14:paraId="484EFAEA" w14:textId="77777777" w:rsidR="00412D77" w:rsidRDefault="00412D77" w:rsidP="00412D77">
      <w:pPr>
        <w:ind w:left="567" w:hanging="567"/>
        <w:jc w:val="both"/>
        <w:rPr>
          <w:rFonts w:ascii="Times" w:hAnsi="Times" w:cs="Calibri"/>
        </w:rPr>
      </w:pPr>
      <w:r w:rsidRPr="00975D2E">
        <w:rPr>
          <w:rFonts w:ascii="Times" w:hAnsi="Times" w:cs="Calibri"/>
          <w:b/>
          <w:bCs/>
        </w:rPr>
        <w:t>Hai, T</w:t>
      </w:r>
      <w:r>
        <w:rPr>
          <w:rFonts w:ascii="Times" w:hAnsi="Times" w:cs="Calibri"/>
          <w:b/>
          <w:bCs/>
        </w:rPr>
        <w:t>.</w:t>
      </w:r>
      <w:r w:rsidRPr="00975D2E">
        <w:rPr>
          <w:rFonts w:ascii="Times" w:hAnsi="Times" w:cs="Calibri"/>
        </w:rPr>
        <w:t xml:space="preserve">, </w:t>
      </w:r>
      <w:proofErr w:type="spellStart"/>
      <w:r w:rsidRPr="00975D2E">
        <w:rPr>
          <w:rFonts w:ascii="Times" w:hAnsi="Times" w:cs="Calibri"/>
        </w:rPr>
        <w:t>Kubas</w:t>
      </w:r>
      <w:proofErr w:type="spellEnd"/>
      <w:r w:rsidRPr="00975D2E">
        <w:rPr>
          <w:rFonts w:ascii="Times" w:hAnsi="Times" w:cs="Calibri"/>
        </w:rPr>
        <w:t xml:space="preserve">, H., Lemay, J.F., </w:t>
      </w:r>
      <w:proofErr w:type="spellStart"/>
      <w:r w:rsidRPr="00975D2E">
        <w:rPr>
          <w:rFonts w:ascii="Times" w:hAnsi="Times" w:cs="Calibri"/>
        </w:rPr>
        <w:t>Swansburg</w:t>
      </w:r>
      <w:proofErr w:type="spellEnd"/>
      <w:r w:rsidRPr="00975D2E">
        <w:rPr>
          <w:rFonts w:ascii="Times" w:hAnsi="Times" w:cs="Calibri"/>
        </w:rPr>
        <w:t>, R.</w:t>
      </w:r>
      <w:r>
        <w:rPr>
          <w:rFonts w:ascii="Times" w:hAnsi="Times" w:cs="Calibri"/>
        </w:rPr>
        <w:t>,</w:t>
      </w:r>
      <w:r w:rsidRPr="00975D2E">
        <w:rPr>
          <w:rFonts w:ascii="Times" w:hAnsi="Times" w:cs="Calibri"/>
        </w:rPr>
        <w:t xml:space="preserve"> </w:t>
      </w:r>
      <w:proofErr w:type="spellStart"/>
      <w:r>
        <w:rPr>
          <w:rFonts w:ascii="Times" w:hAnsi="Times" w:cs="Calibri"/>
        </w:rPr>
        <w:t>Climie</w:t>
      </w:r>
      <w:proofErr w:type="spellEnd"/>
      <w:r>
        <w:rPr>
          <w:rFonts w:ascii="Times" w:hAnsi="Times" w:cs="Calibri"/>
        </w:rPr>
        <w:t xml:space="preserve">. E. A. </w:t>
      </w:r>
      <w:r w:rsidRPr="00975D2E">
        <w:rPr>
          <w:rFonts w:ascii="Times" w:hAnsi="Times" w:cs="Calibri"/>
        </w:rPr>
        <w:t>&amp; MacMaster, F. P.</w:t>
      </w:r>
      <w:r>
        <w:rPr>
          <w:rFonts w:ascii="Times" w:hAnsi="Times" w:cs="Calibri"/>
        </w:rPr>
        <w:t xml:space="preserve"> (2019) Neurochemical correlates of Executive Functions in children with ADHD. </w:t>
      </w:r>
      <w:r w:rsidRPr="00676056">
        <w:rPr>
          <w:rFonts w:ascii="Times" w:hAnsi="Times" w:cs="Calibri"/>
          <w:i/>
          <w:iCs/>
        </w:rPr>
        <w:t>Journal of the Canadian Academy of Child and Adolescent Psychiatry</w:t>
      </w:r>
      <w:r>
        <w:rPr>
          <w:rFonts w:ascii="Times" w:hAnsi="Times" w:cs="Calibri"/>
        </w:rPr>
        <w:t>, (</w:t>
      </w:r>
      <w:r w:rsidRPr="00AC4B13">
        <w:rPr>
          <w:rFonts w:ascii="Times" w:hAnsi="Times" w:cs="Calibri"/>
          <w:i/>
          <w:iCs/>
        </w:rPr>
        <w:t>I</w:t>
      </w:r>
      <w:r>
        <w:rPr>
          <w:rFonts w:ascii="Times" w:hAnsi="Times" w:cs="Calibri"/>
          <w:i/>
          <w:iCs/>
        </w:rPr>
        <w:t>n p</w:t>
      </w:r>
      <w:r w:rsidRPr="00AC4B13">
        <w:rPr>
          <w:rFonts w:ascii="Times" w:hAnsi="Times" w:cs="Calibri"/>
          <w:i/>
          <w:iCs/>
        </w:rPr>
        <w:t>ress</w:t>
      </w:r>
      <w:r>
        <w:rPr>
          <w:rFonts w:ascii="Times" w:hAnsi="Times" w:cs="Calibri"/>
        </w:rPr>
        <w:t>).</w:t>
      </w:r>
    </w:p>
    <w:p w14:paraId="4C0A7E0E" w14:textId="77777777" w:rsidR="00412D77" w:rsidRPr="00975D2E" w:rsidRDefault="00281561" w:rsidP="00412D77">
      <w:pPr>
        <w:ind w:left="567" w:hanging="567"/>
        <w:rPr>
          <w:rFonts w:ascii="Times" w:hAnsi="Times" w:cs="Calibri"/>
        </w:rPr>
      </w:pPr>
      <w:r>
        <w:rPr>
          <w:rFonts w:ascii="Calibri" w:hAnsi="Calibri"/>
        </w:rPr>
        <w:t xml:space="preserve">   </w:t>
      </w:r>
      <w:r w:rsidR="00412D77" w:rsidRPr="00975D2E">
        <w:rPr>
          <w:rFonts w:ascii="Times" w:hAnsi="Times" w:cs="Calibri"/>
          <w:bCs/>
        </w:rPr>
        <w:t xml:space="preserve">Cohen-Mansfield, J., </w:t>
      </w:r>
      <w:r w:rsidR="00412D77" w:rsidRPr="00975D2E">
        <w:rPr>
          <w:rFonts w:ascii="Times" w:hAnsi="Times" w:cs="Calibri"/>
          <w:b/>
          <w:bCs/>
        </w:rPr>
        <w:t>Hai, T</w:t>
      </w:r>
      <w:r w:rsidR="00412D77" w:rsidRPr="00975D2E">
        <w:rPr>
          <w:rFonts w:ascii="Times" w:hAnsi="Times" w:cs="Calibri"/>
          <w:bCs/>
        </w:rPr>
        <w:t xml:space="preserve">. &amp; </w:t>
      </w:r>
      <w:proofErr w:type="spellStart"/>
      <w:r w:rsidR="00412D77" w:rsidRPr="00975D2E">
        <w:rPr>
          <w:rFonts w:ascii="Times" w:hAnsi="Times" w:cs="Calibri"/>
          <w:bCs/>
        </w:rPr>
        <w:t>Comishen</w:t>
      </w:r>
      <w:proofErr w:type="spellEnd"/>
      <w:r w:rsidR="00412D77" w:rsidRPr="00975D2E">
        <w:rPr>
          <w:rFonts w:ascii="Times" w:hAnsi="Times" w:cs="Calibri"/>
          <w:bCs/>
        </w:rPr>
        <w:t xml:space="preserve">, M. (2017) </w:t>
      </w:r>
      <w:r w:rsidR="00412D77" w:rsidRPr="00975D2E">
        <w:rPr>
          <w:rFonts w:ascii="Times" w:hAnsi="Times" w:cs="Calibri"/>
          <w:bCs/>
          <w:color w:val="000000"/>
        </w:rPr>
        <w:t xml:space="preserve">Engagement in persons with dementia: The concept and its measurement. </w:t>
      </w:r>
      <w:r w:rsidR="00412D77" w:rsidRPr="00975D2E">
        <w:rPr>
          <w:rFonts w:ascii="Times" w:hAnsi="Times" w:cs="Calibri"/>
          <w:bCs/>
          <w:i/>
          <w:color w:val="000000"/>
        </w:rPr>
        <w:t>Psychiatry Research</w:t>
      </w:r>
      <w:r w:rsidR="00412D77" w:rsidRPr="00975D2E">
        <w:rPr>
          <w:rFonts w:ascii="Times" w:hAnsi="Times" w:cs="Calibri"/>
          <w:bCs/>
          <w:color w:val="000000"/>
        </w:rPr>
        <w:t xml:space="preserve">. </w:t>
      </w:r>
      <w:r w:rsidR="00412D77" w:rsidRPr="00975D2E">
        <w:rPr>
          <w:rFonts w:ascii="Times" w:hAnsi="Times" w:cs="Calibri"/>
          <w:i/>
          <w:iCs/>
          <w:color w:val="222222"/>
        </w:rPr>
        <w:t>251</w:t>
      </w:r>
      <w:r w:rsidR="00412D77" w:rsidRPr="00975D2E">
        <w:rPr>
          <w:rFonts w:ascii="Times" w:hAnsi="Times" w:cs="Calibri"/>
          <w:color w:val="222222"/>
        </w:rPr>
        <w:t>, 237-243.</w:t>
      </w:r>
    </w:p>
    <w:p w14:paraId="4992ABAA" w14:textId="77777777" w:rsidR="00412D77" w:rsidRPr="00975D2E" w:rsidRDefault="00412D77" w:rsidP="00412D77">
      <w:pPr>
        <w:ind w:left="567" w:hanging="567"/>
        <w:jc w:val="both"/>
        <w:rPr>
          <w:rFonts w:ascii="Times" w:hAnsi="Times" w:cs="Calibri"/>
        </w:rPr>
      </w:pPr>
      <w:r w:rsidRPr="00975D2E">
        <w:rPr>
          <w:rFonts w:ascii="Times" w:hAnsi="Times" w:cs="Calibri"/>
          <w:bCs/>
        </w:rPr>
        <w:t xml:space="preserve">Cohen-Mansfield, J., Ray, C., </w:t>
      </w:r>
      <w:r w:rsidRPr="00975D2E">
        <w:rPr>
          <w:rFonts w:ascii="Times" w:hAnsi="Times" w:cs="Calibri"/>
          <w:b/>
          <w:bCs/>
        </w:rPr>
        <w:t>Hai, T.</w:t>
      </w:r>
      <w:r w:rsidRPr="00975D2E">
        <w:rPr>
          <w:rFonts w:ascii="Times" w:hAnsi="Times" w:cs="Calibri"/>
          <w:bCs/>
        </w:rPr>
        <w:t xml:space="preserve"> et al. (2017) </w:t>
      </w:r>
      <w:r w:rsidRPr="00975D2E">
        <w:rPr>
          <w:rFonts w:ascii="Times" w:hAnsi="Times" w:cs="Calibri"/>
          <w:color w:val="222222"/>
        </w:rPr>
        <w:t xml:space="preserve">The ultimate outlier: Transitional care for persons with dementia and BPSD. </w:t>
      </w:r>
      <w:r w:rsidRPr="00975D2E">
        <w:rPr>
          <w:rFonts w:ascii="Times" w:hAnsi="Times" w:cs="Calibri"/>
          <w:i/>
          <w:color w:val="222222"/>
        </w:rPr>
        <w:t>Current Alzheimer’s Research</w:t>
      </w:r>
      <w:r w:rsidRPr="00975D2E">
        <w:rPr>
          <w:rFonts w:ascii="Times" w:hAnsi="Times" w:cs="Calibri"/>
          <w:color w:val="222222"/>
        </w:rPr>
        <w:t xml:space="preserve">. Retrieved from </w:t>
      </w:r>
      <w:hyperlink r:id="rId6" w:history="1">
        <w:r w:rsidRPr="00975D2E">
          <w:rPr>
            <w:rStyle w:val="Hyperlink"/>
            <w:rFonts w:ascii="Times" w:hAnsi="Times" w:cs="Calibri"/>
          </w:rPr>
          <w:t>https://www.ncbi.nlm.nih.gov/pubmed/28521676</w:t>
        </w:r>
      </w:hyperlink>
      <w:r w:rsidRPr="00975D2E">
        <w:rPr>
          <w:rFonts w:ascii="Times" w:hAnsi="Times" w:cs="Calibri"/>
          <w:color w:val="222222"/>
        </w:rPr>
        <w:t xml:space="preserve"> </w:t>
      </w:r>
    </w:p>
    <w:p w14:paraId="0960F1FA" w14:textId="2FB6CC54" w:rsidR="00412D77" w:rsidRPr="00412D77" w:rsidRDefault="00412D77" w:rsidP="00412D77">
      <w:pPr>
        <w:ind w:left="567" w:hanging="567"/>
        <w:jc w:val="both"/>
        <w:rPr>
          <w:rFonts w:ascii="Times" w:hAnsi="Times" w:cs="Calibri"/>
        </w:rPr>
      </w:pPr>
      <w:r w:rsidRPr="00975D2E">
        <w:rPr>
          <w:rFonts w:ascii="Times" w:hAnsi="Times" w:cs="Calibri"/>
          <w:bCs/>
        </w:rPr>
        <w:t xml:space="preserve">Cohen-Mansfield, J., </w:t>
      </w:r>
      <w:proofErr w:type="spellStart"/>
      <w:r w:rsidRPr="00975D2E">
        <w:rPr>
          <w:rFonts w:ascii="Times" w:hAnsi="Times" w:cs="Calibri"/>
          <w:bCs/>
        </w:rPr>
        <w:t>Hirshfeld</w:t>
      </w:r>
      <w:proofErr w:type="spellEnd"/>
      <w:r w:rsidRPr="00975D2E">
        <w:rPr>
          <w:rFonts w:ascii="Times" w:hAnsi="Times" w:cs="Calibri"/>
          <w:bCs/>
        </w:rPr>
        <w:t xml:space="preserve">, K., </w:t>
      </w:r>
      <w:proofErr w:type="spellStart"/>
      <w:r w:rsidRPr="00975D2E">
        <w:rPr>
          <w:rFonts w:ascii="Times" w:hAnsi="Times" w:cs="Calibri"/>
          <w:bCs/>
        </w:rPr>
        <w:t>Gavendo</w:t>
      </w:r>
      <w:proofErr w:type="spellEnd"/>
      <w:r w:rsidRPr="00975D2E">
        <w:rPr>
          <w:rFonts w:ascii="Times" w:hAnsi="Times" w:cs="Calibri"/>
          <w:bCs/>
        </w:rPr>
        <w:t xml:space="preserve">, R., Corey, E. &amp; </w:t>
      </w:r>
      <w:r w:rsidRPr="00975D2E">
        <w:rPr>
          <w:rFonts w:ascii="Times" w:hAnsi="Times" w:cs="Calibri"/>
          <w:b/>
          <w:bCs/>
        </w:rPr>
        <w:t>Hai, T.</w:t>
      </w:r>
      <w:r w:rsidRPr="00975D2E">
        <w:rPr>
          <w:rFonts w:ascii="Times" w:hAnsi="Times" w:cs="Calibri"/>
          <w:bCs/>
        </w:rPr>
        <w:t xml:space="preserve"> (2016). </w:t>
      </w:r>
      <w:r w:rsidRPr="00975D2E">
        <w:rPr>
          <w:rFonts w:ascii="Times" w:hAnsi="Times" w:cs="Calibri"/>
          <w:color w:val="131313"/>
        </w:rPr>
        <w:t>Activity-in-a-Box for engaging persons with dementia in groups: Implications for therapeutic recreation practice</w:t>
      </w:r>
      <w:r w:rsidRPr="00975D2E">
        <w:rPr>
          <w:rFonts w:ascii="Times" w:hAnsi="Times" w:cs="Calibri"/>
          <w:color w:val="000000"/>
        </w:rPr>
        <w:t xml:space="preserve">. </w:t>
      </w:r>
      <w:r w:rsidRPr="00975D2E">
        <w:rPr>
          <w:rFonts w:ascii="Times" w:hAnsi="Times" w:cs="Calibri"/>
          <w:i/>
          <w:iCs/>
          <w:color w:val="222222"/>
        </w:rPr>
        <w:t>American Journal of Recreation Therapy</w:t>
      </w:r>
      <w:r w:rsidRPr="00975D2E">
        <w:rPr>
          <w:rFonts w:ascii="Times" w:hAnsi="Times" w:cs="Calibri"/>
          <w:color w:val="222222"/>
        </w:rPr>
        <w:t>, </w:t>
      </w:r>
      <w:r w:rsidRPr="00975D2E">
        <w:rPr>
          <w:rFonts w:ascii="Times" w:hAnsi="Times" w:cs="Calibri"/>
          <w:i/>
          <w:iCs/>
          <w:color w:val="222222"/>
        </w:rPr>
        <w:t>15</w:t>
      </w:r>
      <w:r w:rsidRPr="00975D2E">
        <w:rPr>
          <w:rFonts w:ascii="Times" w:hAnsi="Times" w:cs="Calibri"/>
          <w:color w:val="222222"/>
        </w:rPr>
        <w:t>(3), 8-18.</w:t>
      </w:r>
    </w:p>
    <w:p w14:paraId="672FCC20" w14:textId="77777777" w:rsidR="00412D77" w:rsidRPr="00B85767" w:rsidRDefault="00412D77" w:rsidP="00412D77">
      <w:pPr>
        <w:ind w:left="567" w:hanging="567"/>
        <w:rPr>
          <w:rFonts w:ascii="Times" w:hAnsi="Times" w:cs="Calibri"/>
        </w:rPr>
      </w:pPr>
      <w:proofErr w:type="spellStart"/>
      <w:r w:rsidRPr="00975D2E">
        <w:rPr>
          <w:rFonts w:ascii="Times" w:hAnsi="Times" w:cs="Calibri"/>
        </w:rPr>
        <w:t>Petrican</w:t>
      </w:r>
      <w:proofErr w:type="spellEnd"/>
      <w:r w:rsidRPr="00975D2E">
        <w:rPr>
          <w:rFonts w:ascii="Times" w:hAnsi="Times" w:cs="Calibri"/>
        </w:rPr>
        <w:t xml:space="preserve">, R., English, T., Gross, J. J., Grady, C., </w:t>
      </w:r>
      <w:r w:rsidRPr="00975D2E">
        <w:rPr>
          <w:rFonts w:ascii="Times" w:hAnsi="Times" w:cs="Calibri"/>
          <w:b/>
        </w:rPr>
        <w:t>Hai, T</w:t>
      </w:r>
      <w:r w:rsidRPr="00975D2E">
        <w:rPr>
          <w:rFonts w:ascii="Times" w:hAnsi="Times" w:cs="Calibri"/>
        </w:rPr>
        <w:t xml:space="preserve">., &amp; </w:t>
      </w:r>
      <w:proofErr w:type="spellStart"/>
      <w:r w:rsidRPr="00975D2E">
        <w:rPr>
          <w:rFonts w:ascii="Times" w:hAnsi="Times" w:cs="Calibri"/>
        </w:rPr>
        <w:t>Moscovitch</w:t>
      </w:r>
      <w:proofErr w:type="spellEnd"/>
      <w:r w:rsidRPr="00975D2E">
        <w:rPr>
          <w:rFonts w:ascii="Times" w:hAnsi="Times" w:cs="Calibri"/>
        </w:rPr>
        <w:t xml:space="preserve">, M. (2013). Friend or foe? Age moderates time-course specific responsiveness to trustworthiness cues. </w:t>
      </w:r>
      <w:r w:rsidRPr="00975D2E">
        <w:rPr>
          <w:rFonts w:ascii="Times" w:hAnsi="Times" w:cs="Calibri"/>
          <w:i/>
        </w:rPr>
        <w:t>The Journals of Gerontology Series B: Psychological Sciences and Social Sciences</w:t>
      </w:r>
      <w:r w:rsidRPr="00975D2E">
        <w:rPr>
          <w:rFonts w:ascii="Times" w:hAnsi="Times" w:cs="Calibri"/>
        </w:rPr>
        <w:t>, 68(2), 215-223</w:t>
      </w:r>
    </w:p>
    <w:p w14:paraId="36B4B729" w14:textId="706FBADF" w:rsidR="00412D77" w:rsidRDefault="00412D77" w:rsidP="00281561">
      <w:pPr>
        <w:spacing w:line="200" w:lineRule="exact"/>
        <w:jc w:val="both"/>
        <w:rPr>
          <w:rFonts w:ascii="Calibri" w:hAnsi="Calibri"/>
        </w:rPr>
        <w:sectPr w:rsidR="00412D77">
          <w:type w:val="continuous"/>
          <w:pgSz w:w="11910" w:h="16840"/>
          <w:pgMar w:top="1740" w:right="600" w:bottom="840" w:left="620" w:header="720" w:footer="720" w:gutter="0"/>
          <w:cols w:num="2" w:space="720" w:equalWidth="0">
            <w:col w:w="5214" w:space="138"/>
            <w:col w:w="5338"/>
          </w:cols>
        </w:sectPr>
      </w:pPr>
    </w:p>
    <w:p w14:paraId="4DE35FA8" w14:textId="77777777" w:rsidR="00281561" w:rsidRDefault="00281561" w:rsidP="00281561">
      <w:pPr>
        <w:pStyle w:val="BodyText"/>
        <w:rPr>
          <w:rFonts w:ascii="Calibri"/>
          <w:sz w:val="20"/>
        </w:rPr>
      </w:pPr>
    </w:p>
    <w:p w14:paraId="26D99FFA" w14:textId="77777777" w:rsidR="00281561" w:rsidRDefault="00281561" w:rsidP="00281561">
      <w:pPr>
        <w:pStyle w:val="BodyText"/>
        <w:spacing w:line="40" w:lineRule="exact"/>
        <w:ind w:left="2202"/>
        <w:rPr>
          <w:rFonts w:ascii="Calibri"/>
          <w:sz w:val="4"/>
        </w:rPr>
      </w:pPr>
      <w:r>
        <w:rPr>
          <w:noProof/>
        </w:rPr>
        <mc:AlternateContent>
          <mc:Choice Requires="wpg">
            <w:drawing>
              <wp:inline distT="0" distB="0" distL="0" distR="0" wp14:anchorId="5A16325B" wp14:editId="2096A15B">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9F337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05DAFB89" w14:textId="77777777" w:rsidR="00281561" w:rsidRDefault="00281561" w:rsidP="00281561">
      <w:pPr>
        <w:spacing w:before="92"/>
        <w:ind w:right="4234"/>
        <w:rPr>
          <w:rFonts w:ascii="Arial"/>
        </w:rPr>
      </w:pPr>
      <w:r>
        <w:rPr>
          <w:noProof/>
        </w:rPr>
        <w:t xml:space="preserve">              </w:t>
      </w:r>
      <w:r w:rsidRPr="000439C8">
        <w:rPr>
          <w:noProof/>
          <w:lang w:bidi="te-IN"/>
        </w:rPr>
        <w:drawing>
          <wp:inline distT="0" distB="0" distL="0" distR="0" wp14:anchorId="4DB8E0CC" wp14:editId="4894C98D">
            <wp:extent cx="624205" cy="624205"/>
            <wp:effectExtent l="0" t="0" r="0" b="0"/>
            <wp:docPr id="2" name="Picture 5" descr="Description: dumm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4205" cy="624205"/>
                    </a:xfrm>
                    <a:prstGeom prst="rect">
                      <a:avLst/>
                    </a:prstGeom>
                    <a:noFill/>
                    <a:ln>
                      <a:noFill/>
                    </a:ln>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3CF075B6" w14:textId="7E58E51E" w:rsidR="00281561" w:rsidRDefault="00412D77" w:rsidP="00281561">
      <w:pPr>
        <w:spacing w:before="41" w:line="154" w:lineRule="exact"/>
        <w:ind w:left="213" w:right="231"/>
        <w:jc w:val="both"/>
        <w:rPr>
          <w:rFonts w:ascii="Arial"/>
          <w:sz w:val="14"/>
        </w:rPr>
      </w:pPr>
      <w:r>
        <w:rPr>
          <w:rFonts w:ascii="Arial"/>
          <w:sz w:val="14"/>
        </w:rPr>
        <w:t>Tasmia Hai is a 2</w:t>
      </w:r>
      <w:r w:rsidRPr="00412D77">
        <w:rPr>
          <w:rFonts w:ascii="Arial"/>
          <w:sz w:val="14"/>
          <w:vertAlign w:val="superscript"/>
        </w:rPr>
        <w:t>nd</w:t>
      </w:r>
      <w:r>
        <w:rPr>
          <w:rFonts w:ascii="Arial"/>
          <w:sz w:val="14"/>
        </w:rPr>
        <w:t xml:space="preserve"> year PhD student at the University of Alberta in School and Clinical Child Psychology program</w:t>
      </w:r>
      <w:r w:rsidR="00281561">
        <w:rPr>
          <w:rFonts w:ascii="Arial"/>
          <w:sz w:val="14"/>
        </w:rPr>
        <w:t>.</w:t>
      </w:r>
      <w:r>
        <w:rPr>
          <w:rFonts w:ascii="Arial"/>
          <w:sz w:val="14"/>
        </w:rPr>
        <w:t xml:space="preserve"> Her research interest is understanding neurobiological mechanisms of neurodevelopmental disorders like ADHD. </w:t>
      </w:r>
      <w:r w:rsidR="00281561">
        <w:rPr>
          <w:rFonts w:ascii="Arial"/>
          <w:sz w:val="14"/>
        </w:rPr>
        <w:t xml:space="preserve"> </w:t>
      </w:r>
    </w:p>
    <w:p w14:paraId="6FE090C5" w14:textId="1247C671" w:rsidR="00281561" w:rsidRDefault="00281561" w:rsidP="00281561">
      <w:pPr>
        <w:spacing w:before="62"/>
        <w:ind w:left="4217" w:right="4235"/>
        <w:jc w:val="center"/>
        <w:rPr>
          <w:rFonts w:ascii="Arial"/>
          <w:sz w:val="14"/>
        </w:rPr>
      </w:pPr>
      <w:r>
        <w:rPr>
          <w:rFonts w:ascii="Arial"/>
          <w:sz w:val="14"/>
        </w:rPr>
        <w:t xml:space="preserve">Email: </w:t>
      </w:r>
      <w:r w:rsidR="00412D77" w:rsidRPr="00412D77">
        <w:rPr>
          <w:rFonts w:ascii="Arial"/>
          <w:sz w:val="14"/>
        </w:rPr>
        <w:t>tmhai@ualberta</w:t>
      </w:r>
      <w:r w:rsidR="00412D77">
        <w:rPr>
          <w:rFonts w:ascii="Arial"/>
          <w:sz w:val="14"/>
        </w:rPr>
        <w:t>.ca</w:t>
      </w:r>
    </w:p>
    <w:p w14:paraId="151EC49D" w14:textId="77777777" w:rsidR="00281561" w:rsidRDefault="00281561" w:rsidP="00281561">
      <w:pPr>
        <w:pStyle w:val="BodyText"/>
        <w:spacing w:before="2"/>
        <w:rPr>
          <w:rFonts w:ascii="Arial"/>
          <w:sz w:val="19"/>
        </w:rPr>
      </w:pPr>
      <w:r>
        <w:rPr>
          <w:noProof/>
        </w:rPr>
        <mc:AlternateContent>
          <mc:Choice Requires="wps">
            <w:drawing>
              <wp:anchor distT="4294967295" distB="4294967295" distL="0" distR="0" simplePos="0" relativeHeight="251659264" behindDoc="0" locked="0" layoutInCell="1" allowOverlap="1" wp14:anchorId="0F04FF17" wp14:editId="4DBAD92A">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73721" id="Line 3" o:spid="_x0000_s1026" style="position:absolute;z-index:251659264;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" strokecolor="#004080" strokeweight=".5pt">
                <o:lock v:ext="edit" shapetype="f"/>
                <w10:wrap type="topAndBottom" anchorx="page"/>
              </v:line>
            </w:pict>
          </mc:Fallback>
        </mc:AlternateContent>
      </w:r>
    </w:p>
    <w:p w14:paraId="58697601" w14:textId="77777777" w:rsidR="00281561" w:rsidRDefault="00281561" w:rsidP="00281561">
      <w:pPr>
        <w:pStyle w:val="BodyText"/>
        <w:rPr>
          <w:rFonts w:ascii="Arial"/>
          <w:sz w:val="20"/>
        </w:rPr>
      </w:pPr>
    </w:p>
    <w:p w14:paraId="60E0DC54" w14:textId="77777777" w:rsidR="00281561" w:rsidRDefault="00281561" w:rsidP="00281561">
      <w:pPr>
        <w:pStyle w:val="BodyText"/>
        <w:rPr>
          <w:rFonts w:ascii="Arial"/>
          <w:sz w:val="20"/>
        </w:rPr>
      </w:pPr>
    </w:p>
    <w:p w14:paraId="2D7165CC" w14:textId="77777777" w:rsidR="00281561" w:rsidRDefault="00281561" w:rsidP="00281561">
      <w:pPr>
        <w:pStyle w:val="BodyText"/>
        <w:spacing w:before="7"/>
        <w:rPr>
          <w:rFonts w:ascii="Arial"/>
          <w:sz w:val="29"/>
        </w:rPr>
      </w:pPr>
    </w:p>
    <w:p w14:paraId="2A925D8C" w14:textId="77777777" w:rsidR="00281561" w:rsidRDefault="00281561" w:rsidP="00281561">
      <w:pPr>
        <w:rPr>
          <w:rFonts w:ascii="Minion Pro"/>
          <w:sz w:val="24"/>
        </w:rPr>
        <w:sectPr w:rsidR="00281561">
          <w:type w:val="continuous"/>
          <w:pgSz w:w="11910" w:h="16840"/>
          <w:pgMar w:top="1740" w:right="600" w:bottom="840" w:left="620" w:header="720" w:footer="720" w:gutter="0"/>
          <w:cols w:space="720"/>
        </w:sectPr>
      </w:pPr>
      <w:bookmarkStart w:id="0" w:name="_GoBack"/>
      <w:bookmarkEnd w:id="0"/>
    </w:p>
    <w:p w14:paraId="4C1B9B00" w14:textId="77777777" w:rsidR="00281561" w:rsidRDefault="00281561" w:rsidP="00281561">
      <w:pPr>
        <w:pStyle w:val="BodyText"/>
        <w:spacing w:before="3"/>
        <w:rPr>
          <w:rFonts w:ascii="Minion Pro"/>
          <w:sz w:val="26"/>
        </w:rPr>
      </w:pPr>
    </w:p>
    <w:p w14:paraId="58513647" w14:textId="77777777" w:rsidR="00107F5A" w:rsidRDefault="00437B2A"/>
    <w:sectPr w:rsidR="00107F5A"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altName w:val="Titlingmes New Roman PS"/>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pitch w:val="variable"/>
    <w:sig w:usb0="60000287" w:usb1="00000001"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1000F" w14:textId="77777777" w:rsidR="00AE3E37" w:rsidRDefault="00437B2A">
    <w:pPr>
      <w:pStyle w:val="BodyText"/>
      <w:spacing w:line="14" w:lineRule="auto"/>
      <w:rPr>
        <w:sz w:val="20"/>
      </w:rPr>
    </w:pPr>
    <w:r>
      <w:rPr>
        <w:noProof/>
      </w:rPr>
      <w:pict w14:anchorId="5A3002FD">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" filled="f" stroked="f">
          <o:lock v:ext="edit" aspectratio="t" verticies="t" text="t" shapetype="t"/>
          <v:textbox inset="0,0,0,0">
            <w:txbxContent>
              <w:p w14:paraId="689256B7" w14:textId="77777777" w:rsidR="00AE3E37" w:rsidRPr="00227290" w:rsidRDefault="00437B2A">
                <w:pPr>
                  <w:spacing w:line="184" w:lineRule="exact"/>
                  <w:ind w:left="20" w:right="-12"/>
                  <w:rPr>
                    <w:rFonts w:ascii="Arial"/>
                    <w:color w:val="FFFFFF"/>
                    <w:sz w:val="16"/>
                  </w:rPr>
                </w:pPr>
                <w:r w:rsidRPr="00227290">
                  <w:rPr>
                    <w:rFonts w:ascii="Arial"/>
                    <w:color w:val="FFFFFF"/>
                    <w:sz w:val="16"/>
                  </w:rPr>
                  <w:t>J Pain Relief</w:t>
                </w:r>
              </w:p>
              <w:p w14:paraId="5115A31D" w14:textId="77777777" w:rsidR="00AE3E37" w:rsidRPr="00227290" w:rsidRDefault="00437B2A">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w:r>
    <w:r>
      <w:rPr>
        <w:noProof/>
      </w:rPr>
      <w:pict w14:anchorId="2D42FBA8">
        <v:shape id="Text Box 2" o:spid="_x0000_s2050"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" filled="f" stroked="f">
          <o:lock v:ext="edit" aspectratio="t" verticies="t" text="t" shapetype="t"/>
          <v:textbox inset="0,0,0,0">
            <w:txbxContent>
              <w:p w14:paraId="40A3FC52" w14:textId="77777777" w:rsidR="00AE3E37" w:rsidRPr="00227290" w:rsidRDefault="00437B2A">
                <w:pPr>
                  <w:spacing w:line="269" w:lineRule="exact"/>
                  <w:jc w:val="center"/>
                  <w:rPr>
                    <w:rFonts w:ascii="Impact"/>
                    <w:color w:val="FFFFFF"/>
                    <w:sz w:val="24"/>
                  </w:rPr>
                </w:pPr>
                <w:r w:rsidRPr="00227290">
                  <w:rPr>
                    <w:rFonts w:ascii="Impact"/>
                    <w:color w:val="FFFFFF"/>
                    <w:sz w:val="24"/>
                  </w:rPr>
                  <w:t>Fibromyalgia 2016</w:t>
                </w:r>
              </w:p>
              <w:p w14:paraId="6E13A489" w14:textId="77777777" w:rsidR="00AE3E37" w:rsidRPr="00227290" w:rsidRDefault="00437B2A">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Pr>
        <w:noProof/>
      </w:rPr>
      <w:pict w14:anchorId="68B95D77">
        <v:shape id="Text Box 1" o:spid="_x0000_s2049"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" filled="f" stroked="f">
          <o:lock v:ext="edit" aspectratio="t" verticies="t" text="t" shapetype="t"/>
          <v:textbox inset="0,0,0,0">
            <w:txbxContent>
              <w:p w14:paraId="395D179E" w14:textId="77777777" w:rsidR="00AE3E37" w:rsidRPr="00227290" w:rsidRDefault="00437B2A">
                <w:pPr>
                  <w:spacing w:line="184" w:lineRule="exact"/>
                  <w:ind w:right="18"/>
                  <w:jc w:val="right"/>
                  <w:rPr>
                    <w:rFonts w:ascii="Arial"/>
                    <w:color w:val="FFFFFF"/>
                    <w:sz w:val="16"/>
                  </w:rPr>
                </w:pPr>
                <w:r w:rsidRPr="00227290">
                  <w:rPr>
                    <w:rFonts w:ascii="Arial"/>
                    <w:color w:val="FFFFFF"/>
                    <w:sz w:val="16"/>
                  </w:rPr>
                  <w:t>Volume 5, Issue 3(Suppl)</w:t>
                </w:r>
              </w:p>
              <w:p w14:paraId="435FD37B" w14:textId="77777777" w:rsidR="00AE3E37" w:rsidRPr="00227290" w:rsidRDefault="00437B2A">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v:textbox>
          <w10:wrap anchorx="page" anchory="page"/>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A339B" w14:textId="77777777" w:rsidR="00AE3E37" w:rsidRDefault="00437B2A">
    <w:pPr>
      <w:pStyle w:val="BodyText"/>
      <w:spacing w:line="14" w:lineRule="auto"/>
      <w:rPr>
        <w:sz w:val="20"/>
      </w:rPr>
    </w:pPr>
    <w:r>
      <w:rPr>
        <w:noProof/>
      </w:rPr>
      <w:pict w14:anchorId="6EE20BF5">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" filled="f" stroked="f">
          <o:lock v:ext="edit" aspectratio="t" verticies="t" text="t" shapetype="t"/>
          <v:textbox inset="0,0,0,0">
            <w:txbxContent>
              <w:p w14:paraId="142A08DC" w14:textId="77777777" w:rsidR="00AE3E37" w:rsidRPr="00227290" w:rsidRDefault="00437B2A">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w:t>
                  </w:r>
                  <w:r w:rsidRPr="00227290">
                    <w:rPr>
                      <w:rFonts w:ascii="Arial"/>
                      <w:color w:val="FFFFFF"/>
                      <w:sz w:val="14"/>
                    </w:rPr>
                    <w:t>doi.org/10.4172/2167-0846.C1.006</w:t>
                  </w:r>
                </w:hyperlink>
              </w:p>
            </w:txbxContent>
          </v:textbox>
          <w10:wrap anchorx="page" anchory="page"/>
        </v:shape>
      </w:pict>
    </w:r>
    <w:r>
      <w:rPr>
        <w:noProof/>
      </w:rPr>
      <w:pict w14:anchorId="406ED131">
        <v:shape id="Text Box 4" o:spid="_x0000_s2052"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" filled="f" stroked="f">
          <o:lock v:ext="edit" aspectratio="t" verticies="t" text="t" shapetype="t"/>
          <v:textbox inset="0,0,0,0">
            <w:txbxContent>
              <w:p w14:paraId="1A44DBF7" w14:textId="77777777" w:rsidR="00AE3E37" w:rsidRPr="00227290" w:rsidRDefault="00437B2A">
                <w:pPr>
                  <w:pStyle w:val="BodyText"/>
                  <w:spacing w:line="187" w:lineRule="exact"/>
                  <w:ind w:left="20" w:right="-10"/>
                  <w:rPr>
                    <w:rFonts w:ascii="Myriad Pro"/>
                    <w:color w:val="FFFFFF"/>
                  </w:rPr>
                </w:pPr>
                <w:r w:rsidRPr="00227290">
                  <w:rPr>
                    <w:rFonts w:ascii="Myriad Pro"/>
                    <w:color w:val="FFFFFF"/>
                  </w:rPr>
                  <w:t>International Conference on</w:t>
                </w:r>
              </w:p>
              <w:p w14:paraId="5EB75E08" w14:textId="77777777" w:rsidR="00AE3E37" w:rsidRPr="00227290" w:rsidRDefault="00437B2A">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grammar="clean"/>
  <w:defaultTabStop w:val="720"/>
  <w:characterSpacingControl w:val="doNotCompress"/>
  <w:hdrShapeDefaults>
    <o:shapedefaults v:ext="edit" spidmax="2054"/>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561"/>
    <w:rsid w:val="00281561"/>
    <w:rsid w:val="0031439C"/>
    <w:rsid w:val="00412D77"/>
    <w:rsid w:val="00427809"/>
    <w:rsid w:val="00437B2A"/>
    <w:rsid w:val="0066553A"/>
    <w:rsid w:val="006B4FFD"/>
    <w:rsid w:val="00876002"/>
    <w:rsid w:val="00B96A62"/>
    <w:rsid w:val="00CE10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863AA6E"/>
  <w15:chartTrackingRefBased/>
  <w15:docId w15:val="{219AE61C-6B68-594E-BEE9-EC86C8EC3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81561"/>
    <w:pPr>
      <w:widowControl w:val="0"/>
    </w:pPr>
    <w:rPr>
      <w:rFonts w:ascii="Tw Cen MT" w:eastAsia="Tw Cen MT" w:hAnsi="Tw Cen MT" w:cs="Tw Cen MT"/>
      <w:sz w:val="22"/>
      <w:szCs w:val="22"/>
      <w:lang w:val="en-US"/>
    </w:rPr>
  </w:style>
  <w:style w:type="paragraph" w:styleId="Heading1">
    <w:name w:val="heading 1"/>
    <w:basedOn w:val="Normal"/>
    <w:link w:val="Heading1Char"/>
    <w:uiPriority w:val="1"/>
    <w:qFormat/>
    <w:rsid w:val="0028156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28156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8156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281561"/>
    <w:rPr>
      <w:rFonts w:ascii="Arial" w:eastAsia="Arial" w:hAnsi="Arial" w:cs="Arial"/>
      <w:b/>
      <w:bCs/>
      <w:sz w:val="20"/>
      <w:szCs w:val="20"/>
      <w:lang w:val="en-US"/>
    </w:rPr>
  </w:style>
  <w:style w:type="paragraph" w:styleId="BodyText">
    <w:name w:val="Body Text"/>
    <w:basedOn w:val="Normal"/>
    <w:link w:val="BodyTextChar"/>
    <w:uiPriority w:val="1"/>
    <w:qFormat/>
    <w:rsid w:val="00281561"/>
    <w:rPr>
      <w:sz w:val="18"/>
      <w:szCs w:val="18"/>
    </w:rPr>
  </w:style>
  <w:style w:type="character" w:customStyle="1" w:styleId="BodyTextChar">
    <w:name w:val="Body Text Char"/>
    <w:basedOn w:val="DefaultParagraphFont"/>
    <w:link w:val="BodyText"/>
    <w:uiPriority w:val="1"/>
    <w:rsid w:val="00281561"/>
    <w:rPr>
      <w:rFonts w:ascii="Tw Cen MT" w:eastAsia="Tw Cen MT" w:hAnsi="Tw Cen MT" w:cs="Tw Cen MT"/>
      <w:sz w:val="18"/>
      <w:szCs w:val="18"/>
      <w:lang w:val="en-US"/>
    </w:rPr>
  </w:style>
  <w:style w:type="character" w:styleId="Hyperlink">
    <w:name w:val="Hyperlink"/>
    <w:uiPriority w:val="99"/>
    <w:unhideWhenUsed/>
    <w:rsid w:val="00281561"/>
    <w:rPr>
      <w:color w:val="0000FF"/>
      <w:u w:val="single"/>
    </w:rPr>
  </w:style>
  <w:style w:type="paragraph" w:styleId="NormalWeb">
    <w:name w:val="Normal (Web)"/>
    <w:basedOn w:val="Normal"/>
    <w:uiPriority w:val="99"/>
    <w:semiHidden/>
    <w:unhideWhenUsed/>
    <w:rsid w:val="00412D77"/>
    <w:pPr>
      <w:widowControl/>
      <w:spacing w:before="100" w:beforeAutospacing="1" w:after="100" w:afterAutospacing="1"/>
    </w:pPr>
    <w:rPr>
      <w:rFonts w:ascii="Times New Roman" w:eastAsia="Times New Roman" w:hAnsi="Times New Roman" w:cs="Times New Roman"/>
      <w:sz w:val="24"/>
      <w:szCs w:val="24"/>
      <w:lang w:val="en-CA"/>
    </w:rPr>
  </w:style>
  <w:style w:type="character" w:styleId="Strong">
    <w:name w:val="Strong"/>
    <w:basedOn w:val="DefaultParagraphFont"/>
    <w:uiPriority w:val="22"/>
    <w:qFormat/>
    <w:rsid w:val="00412D77"/>
    <w:rPr>
      <w:b/>
      <w:bCs/>
    </w:rPr>
  </w:style>
  <w:style w:type="character" w:styleId="Emphasis">
    <w:name w:val="Emphasis"/>
    <w:basedOn w:val="DefaultParagraphFont"/>
    <w:uiPriority w:val="20"/>
    <w:qFormat/>
    <w:rsid w:val="00412D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28521676" TargetMode="Externa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Tasmia Hai</dc:creator>
  <cp:keywords/>
  <dc:description/>
  <cp:lastModifiedBy>Tasmia Hai</cp:lastModifiedBy>
  <cp:revision>1</cp:revision>
  <dcterms:created xsi:type="dcterms:W3CDTF">2020-01-06T18:39:00Z</dcterms:created>
  <dcterms:modified xsi:type="dcterms:W3CDTF">2020-01-06T19:07:00Z</dcterms:modified>
</cp:coreProperties>
</file>