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7C3D9" w14:textId="4AEEA668" w:rsidR="00C325D3" w:rsidRPr="00C325D3" w:rsidRDefault="00C325D3" w:rsidP="00C325D3">
      <w:pPr>
        <w:pStyle w:val="Heading4"/>
        <w:spacing w:line="480" w:lineRule="auto"/>
        <w:jc w:val="both"/>
      </w:pPr>
      <w:r>
        <w:t xml:space="preserve">Association of Vitamin D, Vitamin D </w:t>
      </w:r>
      <w:r w:rsidRPr="00B77B5F">
        <w:t xml:space="preserve">receptor </w:t>
      </w:r>
      <w:r>
        <w:t>gene polymorphism and</w:t>
      </w:r>
      <w:r w:rsidRPr="00B77B5F">
        <w:t xml:space="preserve"> </w:t>
      </w:r>
      <w:r>
        <w:t>Poly cystic ovary syndrome risk.</w:t>
      </w:r>
    </w:p>
    <w:p w14:paraId="3E496B00" w14:textId="4A990593" w:rsidR="00C325D3" w:rsidRPr="004C52E3" w:rsidRDefault="00C325D3" w:rsidP="00C325D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2E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219AAAAE" w14:textId="77777777" w:rsidR="00C325D3" w:rsidRPr="004C52E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</w:t>
      </w:r>
      <w:r w:rsidRPr="004C52E3">
        <w:rPr>
          <w:rFonts w:ascii="Times New Roman" w:hAnsi="Times New Roman" w:cs="Times New Roman"/>
          <w:b/>
          <w:sz w:val="24"/>
          <w:szCs w:val="24"/>
        </w:rPr>
        <w:t>:</w:t>
      </w:r>
      <w:r w:rsidRPr="004C5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Vitamin D, a secosteroid plays important regulatory roles</w:t>
      </w:r>
      <w:r w:rsidRPr="004C52E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metabolic pathways affected by poly cystic ovary syndrome</w:t>
      </w:r>
      <w:r w:rsidRPr="004C52E3">
        <w:rPr>
          <w:rFonts w:ascii="Times New Roman" w:hAnsi="Times New Roman" w:cs="Times New Roman"/>
          <w:sz w:val="24"/>
          <w:szCs w:val="24"/>
        </w:rPr>
        <w:t xml:space="preserve">, including insulin </w:t>
      </w:r>
      <w:r>
        <w:rPr>
          <w:rFonts w:ascii="Times New Roman" w:hAnsi="Times New Roman" w:cs="Times New Roman"/>
          <w:sz w:val="24"/>
          <w:szCs w:val="24"/>
        </w:rPr>
        <w:t xml:space="preserve">synthesis and secretion </w:t>
      </w:r>
      <w:r w:rsidRPr="004C52E3">
        <w:rPr>
          <w:rFonts w:ascii="Times New Roman" w:hAnsi="Times New Roman" w:cs="Times New Roman"/>
          <w:sz w:val="24"/>
          <w:szCs w:val="24"/>
        </w:rPr>
        <w:t>pathway,</w:t>
      </w:r>
      <w:r>
        <w:rPr>
          <w:rFonts w:ascii="Times New Roman" w:hAnsi="Times New Roman" w:cs="Times New Roman"/>
          <w:sz w:val="24"/>
          <w:szCs w:val="24"/>
        </w:rPr>
        <w:t xml:space="preserve"> calcium homeostasis </w:t>
      </w:r>
      <w:r w:rsidRPr="004C52E3">
        <w:rPr>
          <w:rFonts w:ascii="Times New Roman" w:hAnsi="Times New Roman" w:cs="Times New Roman"/>
          <w:sz w:val="24"/>
          <w:szCs w:val="24"/>
        </w:rPr>
        <w:t xml:space="preserve">and sex hormone </w:t>
      </w:r>
      <w:r>
        <w:rPr>
          <w:rFonts w:ascii="Times New Roman" w:hAnsi="Times New Roman" w:cs="Times New Roman"/>
          <w:sz w:val="24"/>
          <w:szCs w:val="24"/>
        </w:rPr>
        <w:t>bio</w:t>
      </w:r>
      <w:r w:rsidRPr="004C52E3">
        <w:rPr>
          <w:rFonts w:ascii="Times New Roman" w:hAnsi="Times New Roman" w:cs="Times New Roman"/>
          <w:sz w:val="24"/>
          <w:szCs w:val="24"/>
        </w:rPr>
        <w:t xml:space="preserve">synthesis. The </w:t>
      </w:r>
      <w:r>
        <w:rPr>
          <w:rFonts w:ascii="Times New Roman" w:hAnsi="Times New Roman" w:cs="Times New Roman"/>
          <w:sz w:val="24"/>
          <w:szCs w:val="24"/>
        </w:rPr>
        <w:t xml:space="preserve">aim </w:t>
      </w:r>
      <w:r w:rsidRPr="004C52E3">
        <w:rPr>
          <w:rFonts w:ascii="Times New Roman" w:hAnsi="Times New Roman" w:cs="Times New Roman"/>
          <w:sz w:val="24"/>
          <w:szCs w:val="24"/>
        </w:rPr>
        <w:t xml:space="preserve">of this </w:t>
      </w:r>
      <w:r>
        <w:rPr>
          <w:rFonts w:ascii="Times New Roman" w:hAnsi="Times New Roman" w:cs="Times New Roman"/>
          <w:sz w:val="24"/>
          <w:szCs w:val="24"/>
        </w:rPr>
        <w:t>study was to investigate</w:t>
      </w:r>
      <w:r w:rsidRPr="004C52E3">
        <w:rPr>
          <w:rFonts w:ascii="Times New Roman" w:hAnsi="Times New Roman" w:cs="Times New Roman"/>
          <w:sz w:val="24"/>
          <w:szCs w:val="24"/>
        </w:rPr>
        <w:t xml:space="preserve"> the correlation between vitamin D levels and Taq1 VDR SNP </w:t>
      </w:r>
      <w:r>
        <w:rPr>
          <w:rFonts w:ascii="Times New Roman" w:hAnsi="Times New Roman" w:cs="Times New Roman"/>
          <w:sz w:val="24"/>
          <w:szCs w:val="24"/>
        </w:rPr>
        <w:t xml:space="preserve">with increased risk of developing </w:t>
      </w:r>
      <w:r w:rsidRPr="004C52E3">
        <w:rPr>
          <w:rFonts w:ascii="Times New Roman" w:hAnsi="Times New Roman" w:cs="Times New Roman"/>
          <w:sz w:val="24"/>
          <w:szCs w:val="24"/>
        </w:rPr>
        <w:t>PCOS.</w:t>
      </w:r>
    </w:p>
    <w:p w14:paraId="45929A38" w14:textId="77777777" w:rsidR="00C325D3" w:rsidRPr="004C52E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design</w:t>
      </w:r>
      <w:r w:rsidRPr="004C52E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This case control study included a total of 300 subjects</w:t>
      </w:r>
      <w:r w:rsidRPr="004C52E3">
        <w:rPr>
          <w:rFonts w:ascii="Times New Roman" w:hAnsi="Times New Roman" w:cs="Times New Roman"/>
          <w:sz w:val="24"/>
          <w:szCs w:val="24"/>
        </w:rPr>
        <w:t xml:space="preserve">. Genotyping of VDR Taq-I (rs731236 T/C) SNP between groups were determined by PCR-RFLP. Serum </w:t>
      </w:r>
      <w:r>
        <w:rPr>
          <w:rFonts w:ascii="Times New Roman" w:hAnsi="Times New Roman" w:cs="Times New Roman"/>
          <w:sz w:val="24"/>
          <w:szCs w:val="24"/>
        </w:rPr>
        <w:t>VD levels were measured by chemiluminescence immunoassay</w:t>
      </w:r>
      <w:r w:rsidRPr="004C52E3">
        <w:rPr>
          <w:rFonts w:ascii="Times New Roman" w:hAnsi="Times New Roman" w:cs="Times New Roman"/>
          <w:sz w:val="24"/>
          <w:szCs w:val="24"/>
        </w:rPr>
        <w:t>.</w:t>
      </w:r>
    </w:p>
    <w:p w14:paraId="24333B59" w14:textId="77777777" w:rsidR="00C325D3" w:rsidRPr="004C52E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E3">
        <w:rPr>
          <w:rFonts w:ascii="Times New Roman" w:hAnsi="Times New Roman" w:cs="Times New Roman"/>
          <w:b/>
          <w:sz w:val="24"/>
          <w:szCs w:val="24"/>
        </w:rPr>
        <w:t>Result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C52E3">
        <w:rPr>
          <w:rFonts w:ascii="Times New Roman" w:hAnsi="Times New Roman" w:cs="Times New Roman"/>
          <w:b/>
          <w:sz w:val="24"/>
          <w:szCs w:val="24"/>
        </w:rPr>
        <w:t>:</w:t>
      </w:r>
      <w:r w:rsidRPr="004C52E3">
        <w:rPr>
          <w:rFonts w:ascii="Times New Roman" w:hAnsi="Times New Roman" w:cs="Times New Roman"/>
          <w:sz w:val="24"/>
          <w:szCs w:val="24"/>
        </w:rPr>
        <w:t xml:space="preserve"> Mean serum </w:t>
      </w:r>
      <w:r>
        <w:rPr>
          <w:rFonts w:ascii="Times New Roman" w:hAnsi="Times New Roman" w:cs="Times New Roman"/>
          <w:sz w:val="24"/>
          <w:szCs w:val="24"/>
        </w:rPr>
        <w:t>VD levels</w:t>
      </w:r>
      <w:r w:rsidRPr="003D1A6B">
        <w:rPr>
          <w:rFonts w:ascii="Times New Roman" w:hAnsi="Times New Roman" w:cs="Times New Roman"/>
          <w:sz w:val="24"/>
          <w:szCs w:val="24"/>
        </w:rPr>
        <w:t xml:space="preserve"> </w:t>
      </w:r>
      <w:r w:rsidRPr="004C52E3">
        <w:rPr>
          <w:rFonts w:ascii="Times New Roman" w:hAnsi="Times New Roman" w:cs="Times New Roman"/>
          <w:sz w:val="24"/>
          <w:szCs w:val="24"/>
        </w:rPr>
        <w:t>were significantly lower in PCOS patients</w:t>
      </w:r>
      <w:r>
        <w:rPr>
          <w:rFonts w:ascii="Times New Roman" w:hAnsi="Times New Roman" w:cs="Times New Roman"/>
          <w:sz w:val="24"/>
          <w:szCs w:val="24"/>
        </w:rPr>
        <w:t xml:space="preserve"> (19.08 ± 7) as compared to controls (23.27 ± 6.03, p = 0.048). Taq1 </w:t>
      </w:r>
      <w:r w:rsidRPr="004C52E3">
        <w:rPr>
          <w:rFonts w:ascii="Times New Roman" w:hAnsi="Times New Roman" w:cs="Times New Roman"/>
          <w:sz w:val="24"/>
          <w:szCs w:val="24"/>
        </w:rPr>
        <w:t xml:space="preserve">CC genotype </w:t>
      </w:r>
      <w:r>
        <w:rPr>
          <w:rFonts w:ascii="Times New Roman" w:hAnsi="Times New Roman" w:cs="Times New Roman"/>
          <w:sz w:val="24"/>
          <w:szCs w:val="24"/>
        </w:rPr>
        <w:t>was frequent in PCOS (10.6%) and controls (0</w:t>
      </w:r>
      <w:r w:rsidRPr="004C52E3">
        <w:rPr>
          <w:rFonts w:ascii="Times New Roman" w:hAnsi="Times New Roman" w:cs="Times New Roman"/>
          <w:sz w:val="24"/>
          <w:szCs w:val="24"/>
        </w:rPr>
        <w:t xml:space="preserve">%) (OR: 0.9995; 95% CI: 0.528 to 1.8921; p = 0.9987). The </w:t>
      </w:r>
      <w:r>
        <w:rPr>
          <w:rFonts w:ascii="Times New Roman" w:hAnsi="Times New Roman" w:cs="Times New Roman"/>
          <w:sz w:val="24"/>
          <w:szCs w:val="24"/>
        </w:rPr>
        <w:t xml:space="preserve">mutated </w:t>
      </w:r>
      <w:r w:rsidRPr="004C52E3">
        <w:rPr>
          <w:rFonts w:ascii="Times New Roman" w:hAnsi="Times New Roman" w:cs="Times New Roman"/>
          <w:sz w:val="24"/>
          <w:szCs w:val="24"/>
        </w:rPr>
        <w:t xml:space="preserve">genotype was also significantly associated with </w:t>
      </w:r>
      <w:r>
        <w:rPr>
          <w:rFonts w:ascii="Times New Roman" w:hAnsi="Times New Roman" w:cs="Times New Roman"/>
          <w:sz w:val="24"/>
          <w:szCs w:val="24"/>
        </w:rPr>
        <w:t>BMI (p = 0.000</w:t>
      </w:r>
      <w:r w:rsidRPr="004C52E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LH/FSH (0.03), HOMA-IR (p=0.05) and VDD (p=0.05). The genotypic (p=&lt;0.05) and allelic (p=0.0001)</w:t>
      </w:r>
      <w:r w:rsidRPr="004643B6">
        <w:rPr>
          <w:rFonts w:ascii="Times New Roman" w:hAnsi="Times New Roman" w:cs="Times New Roman"/>
          <w:sz w:val="24"/>
          <w:szCs w:val="24"/>
        </w:rPr>
        <w:t xml:space="preserve"> frequency distributions showed significant difference between th</w:t>
      </w:r>
      <w:r>
        <w:rPr>
          <w:rFonts w:ascii="Times New Roman" w:hAnsi="Times New Roman" w:cs="Times New Roman"/>
          <w:sz w:val="24"/>
          <w:szCs w:val="24"/>
        </w:rPr>
        <w:t>e PCOS cases and control women.</w:t>
      </w:r>
    </w:p>
    <w:p w14:paraId="5C78997A" w14:textId="77777777" w:rsidR="00C325D3" w:rsidRPr="004C52E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E3">
        <w:rPr>
          <w:rFonts w:ascii="Times New Roman" w:hAnsi="Times New Roman" w:cs="Times New Roman"/>
          <w:b/>
          <w:sz w:val="24"/>
          <w:szCs w:val="24"/>
        </w:rPr>
        <w:t>Conclusion:</w:t>
      </w:r>
      <w:r w:rsidRPr="004C5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Significant correlation was found between l</w:t>
      </w:r>
      <w:r w:rsidRPr="004C52E3">
        <w:rPr>
          <w:rFonts w:ascii="Times New Roman" w:hAnsi="Times New Roman" w:cs="Times New Roman"/>
          <w:sz w:val="24"/>
          <w:szCs w:val="24"/>
        </w:rPr>
        <w:t>ow serum vitamin D levels and vitamin D receptor genetic polymorphisms</w:t>
      </w:r>
      <w:r>
        <w:rPr>
          <w:rFonts w:ascii="Times New Roman" w:hAnsi="Times New Roman" w:cs="Times New Roman"/>
          <w:sz w:val="24"/>
          <w:szCs w:val="24"/>
        </w:rPr>
        <w:t xml:space="preserve"> (rs731236T/C), </w:t>
      </w:r>
      <w:r w:rsidRPr="004643B6">
        <w:rPr>
          <w:rFonts w:ascii="Times New Roman" w:hAnsi="Times New Roman" w:cs="Times New Roman"/>
          <w:sz w:val="24"/>
          <w:szCs w:val="24"/>
        </w:rPr>
        <w:t xml:space="preserve">indicating </w:t>
      </w:r>
      <w:r>
        <w:rPr>
          <w:rFonts w:ascii="Times New Roman" w:hAnsi="Times New Roman" w:cs="Times New Roman"/>
          <w:sz w:val="24"/>
          <w:szCs w:val="24"/>
        </w:rPr>
        <w:t>the increased susceptibility towards PCOS with CC genotype</w:t>
      </w:r>
      <w:r w:rsidRPr="004C52E3">
        <w:rPr>
          <w:rFonts w:ascii="Times New Roman" w:hAnsi="Times New Roman" w:cs="Times New Roman"/>
          <w:sz w:val="24"/>
          <w:szCs w:val="24"/>
        </w:rPr>
        <w:t>.</w:t>
      </w:r>
    </w:p>
    <w:p w14:paraId="19A4B67D" w14:textId="77777777" w:rsidR="00C325D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E3">
        <w:rPr>
          <w:rFonts w:ascii="Times New Roman" w:hAnsi="Times New Roman" w:cs="Times New Roman"/>
          <w:b/>
          <w:sz w:val="24"/>
          <w:szCs w:val="24"/>
        </w:rPr>
        <w:t>Key words:</w:t>
      </w:r>
      <w:r w:rsidRPr="004C52E3">
        <w:rPr>
          <w:rFonts w:ascii="Times New Roman" w:hAnsi="Times New Roman" w:cs="Times New Roman"/>
          <w:sz w:val="24"/>
          <w:szCs w:val="24"/>
        </w:rPr>
        <w:t xml:space="preserve"> vitamin D receptor, polymorphisms, vitamin D, polycystic ovary syndrome, hyperandrogenism.</w:t>
      </w:r>
    </w:p>
    <w:p w14:paraId="5EF992BB" w14:textId="77777777" w:rsidR="00C325D3" w:rsidRDefault="00C325D3" w:rsidP="00C325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8175E" w14:textId="77777777" w:rsidR="00E57B1C" w:rsidRDefault="00C325D3"/>
    <w:sectPr w:rsidR="00E57B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58"/>
    <w:rsid w:val="004713A7"/>
    <w:rsid w:val="00B42D58"/>
    <w:rsid w:val="00C325D3"/>
    <w:rsid w:val="00DB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E80D"/>
  <w15:chartTrackingRefBased/>
  <w15:docId w15:val="{B68FE16B-B5C1-45E8-8F02-C058D082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5D3"/>
    <w:pPr>
      <w:spacing w:after="200" w:line="276" w:lineRule="auto"/>
    </w:pPr>
    <w:rPr>
      <w:rFonts w:eastAsiaTheme="minorEastAsia"/>
      <w:lang w:val="en-US"/>
    </w:rPr>
  </w:style>
  <w:style w:type="paragraph" w:styleId="Heading4">
    <w:name w:val="heading 4"/>
    <w:basedOn w:val="Normal"/>
    <w:link w:val="Heading4Char"/>
    <w:uiPriority w:val="9"/>
    <w:qFormat/>
    <w:rsid w:val="00C325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325D3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2020-06-18T17:19:00Z</dcterms:created>
  <dcterms:modified xsi:type="dcterms:W3CDTF">2020-06-18T17:20:00Z</dcterms:modified>
</cp:coreProperties>
</file>