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AC059" w14:textId="12BB08D2" w:rsidR="005C3BF2" w:rsidRPr="008C51C9" w:rsidRDefault="00134291" w:rsidP="005C3BF2">
      <w:pPr>
        <w:spacing w:after="0" w:line="240" w:lineRule="auto"/>
        <w:rPr>
          <w:rFonts w:ascii="Times New Roman" w:hAnsi="Times New Roman" w:cs="Times New Roman"/>
          <w:sz w:val="24"/>
          <w:szCs w:val="24"/>
        </w:rPr>
      </w:pPr>
      <w:r>
        <w:rPr>
          <w:rFonts w:ascii="Times New Roman" w:eastAsia="Arial Unicode MS" w:hAnsi="Times New Roman" w:cs="Times New Roman"/>
          <w:b/>
          <w:bCs/>
          <w:color w:val="000000"/>
          <w:sz w:val="24"/>
          <w:szCs w:val="24"/>
          <w:u w:color="000000"/>
          <w:bdr w:val="nil"/>
        </w:rPr>
        <w:t xml:space="preserve">Efficacy </w:t>
      </w:r>
      <w:r w:rsidR="004F1784" w:rsidRPr="008C51C9">
        <w:rPr>
          <w:rFonts w:ascii="Times New Roman" w:eastAsia="Arial Unicode MS" w:hAnsi="Times New Roman" w:cs="Times New Roman"/>
          <w:b/>
          <w:bCs/>
          <w:color w:val="000000"/>
          <w:sz w:val="24"/>
          <w:szCs w:val="24"/>
          <w:u w:color="000000"/>
          <w:bdr w:val="nil"/>
        </w:rPr>
        <w:t xml:space="preserve">of </w:t>
      </w:r>
      <w:r w:rsidR="00813454" w:rsidRPr="008C51C9">
        <w:rPr>
          <w:rFonts w:ascii="Times New Roman" w:eastAsia="Arial Unicode MS" w:hAnsi="Times New Roman" w:cs="Times New Roman"/>
          <w:b/>
          <w:bCs/>
          <w:color w:val="000000"/>
          <w:sz w:val="24"/>
          <w:szCs w:val="24"/>
          <w:u w:color="000000"/>
          <w:bdr w:val="nil"/>
        </w:rPr>
        <w:t xml:space="preserve">topical application of </w:t>
      </w:r>
      <w:r w:rsidR="004F1784" w:rsidRPr="008C51C9">
        <w:rPr>
          <w:rFonts w:ascii="Times New Roman" w:eastAsia="Arial Unicode MS" w:hAnsi="Times New Roman" w:cs="Times New Roman"/>
          <w:b/>
          <w:bCs/>
          <w:color w:val="000000"/>
          <w:sz w:val="24"/>
          <w:szCs w:val="24"/>
          <w:u w:color="000000"/>
          <w:bdr w:val="nil"/>
        </w:rPr>
        <w:t>plant extract based natural oils in management</w:t>
      </w:r>
      <w:r w:rsidR="00813454" w:rsidRPr="008C51C9">
        <w:rPr>
          <w:rFonts w:ascii="Times New Roman" w:eastAsia="Arial Unicode MS" w:hAnsi="Times New Roman" w:cs="Times New Roman"/>
          <w:b/>
          <w:bCs/>
          <w:color w:val="000000"/>
          <w:sz w:val="24"/>
          <w:szCs w:val="24"/>
          <w:u w:color="000000"/>
          <w:bdr w:val="nil"/>
        </w:rPr>
        <w:t xml:space="preserve"> </w:t>
      </w:r>
      <w:r w:rsidR="004F1784" w:rsidRPr="008C51C9">
        <w:rPr>
          <w:rFonts w:ascii="Times New Roman" w:eastAsia="Arial Unicode MS" w:hAnsi="Times New Roman" w:cs="Times New Roman"/>
          <w:b/>
          <w:bCs/>
          <w:color w:val="000000"/>
          <w:sz w:val="24"/>
          <w:szCs w:val="24"/>
          <w:u w:color="000000"/>
          <w:bdr w:val="nil"/>
        </w:rPr>
        <w:t xml:space="preserve">of </w:t>
      </w:r>
      <w:r w:rsidR="00813454" w:rsidRPr="008C51C9">
        <w:rPr>
          <w:rFonts w:ascii="Times New Roman" w:eastAsia="Arial Unicode MS" w:hAnsi="Times New Roman" w:cs="Times New Roman"/>
          <w:b/>
          <w:bCs/>
          <w:color w:val="000000"/>
          <w:sz w:val="24"/>
          <w:szCs w:val="24"/>
          <w:u w:color="000000"/>
          <w:bdr w:val="nil"/>
        </w:rPr>
        <w:t>p</w:t>
      </w:r>
      <w:r w:rsidR="004F1784" w:rsidRPr="008C51C9">
        <w:rPr>
          <w:rFonts w:ascii="Times New Roman" w:eastAsia="Arial Unicode MS" w:hAnsi="Times New Roman" w:cs="Times New Roman"/>
          <w:b/>
          <w:bCs/>
          <w:color w:val="000000"/>
          <w:sz w:val="24"/>
          <w:szCs w:val="24"/>
          <w:u w:color="000000"/>
          <w:bdr w:val="nil"/>
        </w:rPr>
        <w:t>oly</w:t>
      </w:r>
      <w:r w:rsidR="00813454" w:rsidRPr="008C51C9">
        <w:rPr>
          <w:rFonts w:ascii="Times New Roman" w:eastAsia="Arial Unicode MS" w:hAnsi="Times New Roman" w:cs="Times New Roman"/>
          <w:b/>
          <w:bCs/>
          <w:color w:val="000000"/>
          <w:sz w:val="24"/>
          <w:szCs w:val="24"/>
          <w:u w:color="000000"/>
          <w:bdr w:val="nil"/>
        </w:rPr>
        <w:t>c</w:t>
      </w:r>
      <w:r w:rsidR="004F1784" w:rsidRPr="008C51C9">
        <w:rPr>
          <w:rFonts w:ascii="Times New Roman" w:eastAsia="Arial Unicode MS" w:hAnsi="Times New Roman" w:cs="Times New Roman"/>
          <w:b/>
          <w:bCs/>
          <w:color w:val="000000"/>
          <w:sz w:val="24"/>
          <w:szCs w:val="24"/>
          <w:u w:color="000000"/>
          <w:bdr w:val="nil"/>
        </w:rPr>
        <w:t xml:space="preserve">ystic </w:t>
      </w:r>
      <w:r w:rsidR="00813454" w:rsidRPr="008C51C9">
        <w:rPr>
          <w:rFonts w:ascii="Times New Roman" w:eastAsia="Arial Unicode MS" w:hAnsi="Times New Roman" w:cs="Times New Roman"/>
          <w:b/>
          <w:bCs/>
          <w:color w:val="000000"/>
          <w:sz w:val="24"/>
          <w:szCs w:val="24"/>
          <w:u w:color="000000"/>
          <w:bdr w:val="nil"/>
        </w:rPr>
        <w:t>o</w:t>
      </w:r>
      <w:r w:rsidR="004F1784" w:rsidRPr="008C51C9">
        <w:rPr>
          <w:rFonts w:ascii="Times New Roman" w:eastAsia="Arial Unicode MS" w:hAnsi="Times New Roman" w:cs="Times New Roman"/>
          <w:b/>
          <w:bCs/>
          <w:color w:val="000000"/>
          <w:sz w:val="24"/>
          <w:szCs w:val="24"/>
          <w:u w:color="000000"/>
          <w:bdr w:val="nil"/>
        </w:rPr>
        <w:t xml:space="preserve">varian </w:t>
      </w:r>
      <w:r w:rsidR="00813454" w:rsidRPr="008C51C9">
        <w:rPr>
          <w:rFonts w:ascii="Times New Roman" w:eastAsia="Arial Unicode MS" w:hAnsi="Times New Roman" w:cs="Times New Roman"/>
          <w:b/>
          <w:bCs/>
          <w:color w:val="000000"/>
          <w:sz w:val="24"/>
          <w:szCs w:val="24"/>
          <w:u w:color="000000"/>
          <w:bdr w:val="nil"/>
        </w:rPr>
        <w:t>s</w:t>
      </w:r>
      <w:r w:rsidR="004F1784" w:rsidRPr="008C51C9">
        <w:rPr>
          <w:rFonts w:ascii="Times New Roman" w:eastAsia="Arial Unicode MS" w:hAnsi="Times New Roman" w:cs="Times New Roman"/>
          <w:b/>
          <w:bCs/>
          <w:color w:val="000000"/>
          <w:sz w:val="24"/>
          <w:szCs w:val="24"/>
          <w:u w:color="000000"/>
          <w:bdr w:val="nil"/>
        </w:rPr>
        <w:t>yndrome</w:t>
      </w:r>
      <w:r w:rsidR="00813454" w:rsidRPr="008C51C9">
        <w:rPr>
          <w:rFonts w:ascii="Times New Roman" w:eastAsia="Arial Unicode MS" w:hAnsi="Times New Roman" w:cs="Times New Roman"/>
          <w:b/>
          <w:bCs/>
          <w:color w:val="000000"/>
          <w:sz w:val="24"/>
          <w:szCs w:val="24"/>
          <w:u w:color="000000"/>
          <w:bdr w:val="nil"/>
        </w:rPr>
        <w:t>: a two-arm parallel group randomi</w:t>
      </w:r>
      <w:r w:rsidR="0065449D" w:rsidRPr="008C51C9">
        <w:rPr>
          <w:rFonts w:ascii="Times New Roman" w:eastAsia="Arial Unicode MS" w:hAnsi="Times New Roman" w:cs="Times New Roman"/>
          <w:b/>
          <w:bCs/>
          <w:color w:val="000000"/>
          <w:sz w:val="24"/>
          <w:szCs w:val="24"/>
          <w:u w:color="000000"/>
          <w:bdr w:val="nil"/>
        </w:rPr>
        <w:t>s</w:t>
      </w:r>
      <w:r w:rsidR="00813454" w:rsidRPr="008C51C9">
        <w:rPr>
          <w:rFonts w:ascii="Times New Roman" w:eastAsia="Arial Unicode MS" w:hAnsi="Times New Roman" w:cs="Times New Roman"/>
          <w:b/>
          <w:bCs/>
          <w:color w:val="000000"/>
          <w:sz w:val="24"/>
          <w:szCs w:val="24"/>
          <w:u w:color="000000"/>
          <w:bdr w:val="nil"/>
        </w:rPr>
        <w:t>ed double</w:t>
      </w:r>
      <w:r w:rsidR="00C46707" w:rsidRPr="008C51C9">
        <w:rPr>
          <w:rFonts w:ascii="Times New Roman" w:eastAsia="Arial Unicode MS" w:hAnsi="Times New Roman" w:cs="Times New Roman"/>
          <w:b/>
          <w:bCs/>
          <w:color w:val="000000"/>
          <w:sz w:val="24"/>
          <w:szCs w:val="24"/>
          <w:u w:color="000000"/>
          <w:bdr w:val="nil"/>
        </w:rPr>
        <w:t>-</w:t>
      </w:r>
      <w:r w:rsidR="00813454" w:rsidRPr="008C51C9">
        <w:rPr>
          <w:rFonts w:ascii="Times New Roman" w:eastAsia="Arial Unicode MS" w:hAnsi="Times New Roman" w:cs="Times New Roman"/>
          <w:b/>
          <w:bCs/>
          <w:color w:val="000000"/>
          <w:sz w:val="24"/>
          <w:szCs w:val="24"/>
          <w:u w:color="000000"/>
          <w:bdr w:val="nil"/>
        </w:rPr>
        <w:t>blind placebo</w:t>
      </w:r>
      <w:r w:rsidR="00C46707" w:rsidRPr="008C51C9">
        <w:rPr>
          <w:rFonts w:ascii="Times New Roman" w:eastAsia="Arial Unicode MS" w:hAnsi="Times New Roman" w:cs="Times New Roman"/>
          <w:b/>
          <w:bCs/>
          <w:color w:val="000000"/>
          <w:sz w:val="24"/>
          <w:szCs w:val="24"/>
          <w:u w:color="000000"/>
          <w:bdr w:val="nil"/>
        </w:rPr>
        <w:t>-</w:t>
      </w:r>
      <w:r w:rsidR="00813454" w:rsidRPr="008C51C9">
        <w:rPr>
          <w:rFonts w:ascii="Times New Roman" w:eastAsia="Arial Unicode MS" w:hAnsi="Times New Roman" w:cs="Times New Roman"/>
          <w:b/>
          <w:bCs/>
          <w:color w:val="000000"/>
          <w:sz w:val="24"/>
          <w:szCs w:val="24"/>
          <w:u w:color="000000"/>
          <w:bdr w:val="nil"/>
        </w:rPr>
        <w:t>controlled clinical study</w:t>
      </w:r>
    </w:p>
    <w:p w14:paraId="34D220A7" w14:textId="77777777" w:rsidR="00DE26DD" w:rsidRDefault="00DE26DD" w:rsidP="005C3BF2">
      <w:pPr>
        <w:spacing w:after="0" w:line="240" w:lineRule="auto"/>
        <w:rPr>
          <w:rFonts w:ascii="Times New Roman" w:hAnsi="Times New Roman" w:cs="Times New Roman"/>
          <w:sz w:val="28"/>
          <w:szCs w:val="28"/>
        </w:rPr>
      </w:pPr>
    </w:p>
    <w:p w14:paraId="7C3B6621" w14:textId="26217850" w:rsidR="00FD2913" w:rsidRPr="008F2B02" w:rsidRDefault="008F2B02" w:rsidP="005C3BF2">
      <w:pPr>
        <w:spacing w:after="0" w:line="240" w:lineRule="auto"/>
        <w:rPr>
          <w:rFonts w:ascii="Times New Roman" w:hAnsi="Times New Roman" w:cs="Times New Roman"/>
          <w:sz w:val="24"/>
          <w:szCs w:val="24"/>
        </w:rPr>
      </w:pPr>
      <w:r w:rsidRPr="008F2B02">
        <w:rPr>
          <w:rFonts w:ascii="Times New Roman" w:hAnsi="Times New Roman" w:cs="Times New Roman"/>
          <w:sz w:val="24"/>
          <w:szCs w:val="24"/>
        </w:rPr>
        <w:t>Amul S Bahl, God’s Own Store LLP</w:t>
      </w:r>
    </w:p>
    <w:p w14:paraId="6D116D1A" w14:textId="276BDF04" w:rsidR="008F2B02" w:rsidRDefault="008F2B02" w:rsidP="005C3BF2">
      <w:pPr>
        <w:spacing w:after="0" w:line="240" w:lineRule="auto"/>
        <w:rPr>
          <w:rFonts w:ascii="Times New Roman" w:hAnsi="Times New Roman" w:cs="Times New Roman"/>
          <w:sz w:val="28"/>
          <w:szCs w:val="28"/>
        </w:rPr>
      </w:pPr>
    </w:p>
    <w:p w14:paraId="705760DC" w14:textId="77777777" w:rsidR="008F2B02" w:rsidRDefault="008F2B02" w:rsidP="005C3BF2">
      <w:pPr>
        <w:spacing w:after="0" w:line="240" w:lineRule="auto"/>
        <w:rPr>
          <w:rFonts w:ascii="Times New Roman" w:hAnsi="Times New Roman" w:cs="Times New Roman"/>
          <w:sz w:val="28"/>
          <w:szCs w:val="28"/>
        </w:rPr>
      </w:pPr>
    </w:p>
    <w:p w14:paraId="0DC9FA6D" w14:textId="77777777" w:rsidR="00C747F9" w:rsidRPr="00134291" w:rsidRDefault="00C747F9" w:rsidP="005C3BF2">
      <w:pPr>
        <w:spacing w:after="0" w:line="240" w:lineRule="auto"/>
        <w:rPr>
          <w:rFonts w:ascii="Times New Roman" w:hAnsi="Times New Roman" w:cs="Times New Roman"/>
          <w:b/>
          <w:bCs/>
          <w:sz w:val="28"/>
          <w:szCs w:val="28"/>
        </w:rPr>
      </w:pPr>
      <w:r w:rsidRPr="00134291">
        <w:rPr>
          <w:rFonts w:ascii="Times New Roman" w:hAnsi="Times New Roman" w:cs="Times New Roman"/>
          <w:b/>
          <w:bCs/>
          <w:sz w:val="28"/>
          <w:szCs w:val="28"/>
        </w:rPr>
        <w:t>Abstract</w:t>
      </w:r>
    </w:p>
    <w:p w14:paraId="1898D395" w14:textId="77777777" w:rsidR="00FD2913" w:rsidRDefault="00FD2913" w:rsidP="005C3BF2">
      <w:pPr>
        <w:spacing w:after="0" w:line="240" w:lineRule="auto"/>
        <w:rPr>
          <w:rFonts w:ascii="Times New Roman" w:hAnsi="Times New Roman" w:cs="Times New Roman"/>
          <w:sz w:val="24"/>
          <w:szCs w:val="24"/>
        </w:rPr>
      </w:pPr>
    </w:p>
    <w:p w14:paraId="39F9C682" w14:textId="77777777" w:rsidR="00C747F9" w:rsidRDefault="00C747F9"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Background: </w:t>
      </w:r>
      <w:r w:rsidR="00BA5E68">
        <w:rPr>
          <w:rFonts w:ascii="Times New Roman" w:hAnsi="Times New Roman" w:cs="Times New Roman"/>
          <w:sz w:val="24"/>
          <w:szCs w:val="24"/>
        </w:rPr>
        <w:t>L</w:t>
      </w:r>
      <w:r w:rsidRPr="008C51C9">
        <w:rPr>
          <w:rFonts w:ascii="Times New Roman" w:hAnsi="Times New Roman" w:cs="Times New Roman"/>
          <w:sz w:val="24"/>
          <w:szCs w:val="24"/>
        </w:rPr>
        <w:t xml:space="preserve">iterature indicates current treatments of PCOS </w:t>
      </w:r>
      <w:r>
        <w:rPr>
          <w:rFonts w:ascii="Times New Roman" w:hAnsi="Times New Roman" w:cs="Times New Roman"/>
          <w:sz w:val="24"/>
          <w:szCs w:val="24"/>
        </w:rPr>
        <w:t xml:space="preserve">are </w:t>
      </w:r>
      <w:r w:rsidRPr="008C51C9">
        <w:rPr>
          <w:rFonts w:ascii="Times New Roman" w:hAnsi="Times New Roman" w:cs="Times New Roman"/>
          <w:sz w:val="24"/>
          <w:szCs w:val="24"/>
        </w:rPr>
        <w:t xml:space="preserve">designed to manage individual symptoms and not the syndrome itself. Pharmacological treatments may have side effects in long-term. </w:t>
      </w:r>
      <w:r>
        <w:rPr>
          <w:rFonts w:ascii="Times New Roman" w:hAnsi="Times New Roman" w:cs="Times New Roman"/>
          <w:sz w:val="24"/>
          <w:szCs w:val="24"/>
        </w:rPr>
        <w:t>Whereas, the</w:t>
      </w:r>
      <w:r w:rsidRPr="008C51C9">
        <w:rPr>
          <w:rFonts w:ascii="Times New Roman" w:hAnsi="Times New Roman" w:cs="Times New Roman"/>
          <w:sz w:val="24"/>
          <w:szCs w:val="24"/>
        </w:rPr>
        <w:t xml:space="preserve"> studies to measure effectiveness of complementary </w:t>
      </w:r>
      <w:r>
        <w:rPr>
          <w:rFonts w:ascii="Times New Roman" w:hAnsi="Times New Roman" w:cs="Times New Roman"/>
          <w:sz w:val="24"/>
          <w:szCs w:val="24"/>
        </w:rPr>
        <w:t>and alternative</w:t>
      </w:r>
      <w:r w:rsidRPr="008C51C9">
        <w:rPr>
          <w:rFonts w:ascii="Times New Roman" w:hAnsi="Times New Roman" w:cs="Times New Roman"/>
          <w:sz w:val="24"/>
          <w:szCs w:val="24"/>
        </w:rPr>
        <w:t xml:space="preserve"> medicine</w:t>
      </w:r>
      <w:r>
        <w:rPr>
          <w:rFonts w:ascii="Times New Roman" w:hAnsi="Times New Roman" w:cs="Times New Roman"/>
          <w:sz w:val="24"/>
          <w:szCs w:val="24"/>
        </w:rPr>
        <w:t xml:space="preserve"> (CAM)</w:t>
      </w:r>
      <w:r w:rsidRPr="008C51C9">
        <w:rPr>
          <w:rFonts w:ascii="Times New Roman" w:hAnsi="Times New Roman" w:cs="Times New Roman"/>
          <w:sz w:val="24"/>
          <w:szCs w:val="24"/>
        </w:rPr>
        <w:t xml:space="preserve"> are done on rat models. Thus, there are also no human clinical trials to establish </w:t>
      </w:r>
      <w:r>
        <w:rPr>
          <w:rFonts w:ascii="Times New Roman" w:hAnsi="Times New Roman" w:cs="Times New Roman"/>
          <w:sz w:val="24"/>
          <w:szCs w:val="24"/>
        </w:rPr>
        <w:t>CAM</w:t>
      </w:r>
      <w:r w:rsidRPr="008C51C9">
        <w:rPr>
          <w:rFonts w:ascii="Times New Roman" w:hAnsi="Times New Roman" w:cs="Times New Roman"/>
          <w:sz w:val="24"/>
          <w:szCs w:val="24"/>
        </w:rPr>
        <w:t xml:space="preserve"> efficacy to manage PCOS.</w:t>
      </w:r>
    </w:p>
    <w:p w14:paraId="3E4138BA" w14:textId="77777777" w:rsidR="00C747F9" w:rsidRDefault="00C747F9" w:rsidP="005C3BF2">
      <w:pPr>
        <w:spacing w:after="0" w:line="240" w:lineRule="auto"/>
        <w:rPr>
          <w:rFonts w:ascii="Times New Roman" w:hAnsi="Times New Roman" w:cs="Times New Roman"/>
          <w:sz w:val="24"/>
          <w:szCs w:val="24"/>
        </w:rPr>
      </w:pPr>
    </w:p>
    <w:p w14:paraId="672A06B1" w14:textId="77777777" w:rsidR="00C747F9" w:rsidRDefault="00C747F9" w:rsidP="005C3BF2">
      <w:pPr>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Objective: </w:t>
      </w:r>
      <w:r w:rsidR="00DB0E26">
        <w:rPr>
          <w:rFonts w:ascii="Times New Roman" w:hAnsi="Times New Roman" w:cs="Times New Roman"/>
          <w:sz w:val="24"/>
          <w:szCs w:val="24"/>
        </w:rPr>
        <w:t xml:space="preserve">This study objective is to scientifically establish the clinical efficacy </w:t>
      </w:r>
      <w:r w:rsidR="00DB0E26">
        <w:rPr>
          <w:rFonts w:ascii="Times New Roman" w:hAnsi="Times New Roman" w:cs="Times New Roman"/>
          <w:bCs/>
          <w:sz w:val="24"/>
          <w:szCs w:val="24"/>
        </w:rPr>
        <w:t xml:space="preserve">of topical application of 100% plant extract based natural oil-blend on PCOS </w:t>
      </w:r>
      <w:r w:rsidR="007C1659">
        <w:rPr>
          <w:rFonts w:ascii="Times New Roman" w:hAnsi="Times New Roman" w:cs="Times New Roman"/>
          <w:bCs/>
          <w:sz w:val="24"/>
          <w:szCs w:val="24"/>
        </w:rPr>
        <w:t xml:space="preserve">management </w:t>
      </w:r>
      <w:r w:rsidR="00DB0E26">
        <w:rPr>
          <w:rFonts w:ascii="Times New Roman" w:hAnsi="Times New Roman" w:cs="Times New Roman"/>
          <w:bCs/>
          <w:sz w:val="24"/>
          <w:szCs w:val="24"/>
        </w:rPr>
        <w:t xml:space="preserve">by addressing the subjective (viz., irregular menstruation, menstrual cycle duration, bleeding quantity, pain during menses) and objective (viz., hirsutism, ovarian volume, number of follicular cysts, number of mature follicles) PCOS symptoms. </w:t>
      </w:r>
    </w:p>
    <w:p w14:paraId="524FAD4F" w14:textId="77777777" w:rsidR="00DB0E26" w:rsidRDefault="00DB0E26" w:rsidP="005C3BF2">
      <w:pPr>
        <w:spacing w:after="0" w:line="240" w:lineRule="auto"/>
        <w:rPr>
          <w:rFonts w:ascii="Times New Roman" w:hAnsi="Times New Roman" w:cs="Times New Roman"/>
          <w:bCs/>
          <w:sz w:val="24"/>
          <w:szCs w:val="24"/>
        </w:rPr>
      </w:pPr>
    </w:p>
    <w:p w14:paraId="55B896F3" w14:textId="77777777"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Method: </w:t>
      </w:r>
      <w:r w:rsidR="007C1659">
        <w:rPr>
          <w:rFonts w:ascii="Times New Roman" w:hAnsi="Times New Roman" w:cs="Times New Roman"/>
          <w:bCs/>
          <w:sz w:val="24"/>
          <w:szCs w:val="24"/>
        </w:rPr>
        <w:t xml:space="preserve">In </w:t>
      </w:r>
      <w:r>
        <w:rPr>
          <w:rFonts w:ascii="Times New Roman" w:hAnsi="Times New Roman" w:cs="Times New Roman"/>
          <w:sz w:val="24"/>
          <w:szCs w:val="24"/>
        </w:rPr>
        <w:t xml:space="preserve">a two-arm parallel group, prospective, randomized, double-blind, placebo-controlled study with adult female participants diagnosed with PCOS </w:t>
      </w:r>
      <w:r w:rsidR="00BD5132">
        <w:rPr>
          <w:rFonts w:ascii="Times New Roman" w:hAnsi="Times New Roman" w:cs="Times New Roman"/>
          <w:sz w:val="24"/>
          <w:szCs w:val="24"/>
        </w:rPr>
        <w:t xml:space="preserve">and </w:t>
      </w:r>
      <w:r>
        <w:rPr>
          <w:rFonts w:ascii="Times New Roman" w:hAnsi="Times New Roman" w:cs="Times New Roman"/>
          <w:sz w:val="24"/>
          <w:szCs w:val="24"/>
        </w:rPr>
        <w:t xml:space="preserve">fulfilling </w:t>
      </w:r>
      <w:r w:rsidR="00381843">
        <w:rPr>
          <w:rFonts w:ascii="Times New Roman" w:hAnsi="Times New Roman" w:cs="Times New Roman"/>
          <w:sz w:val="24"/>
          <w:szCs w:val="24"/>
        </w:rPr>
        <w:t>inclusion criteria</w:t>
      </w:r>
      <w:r w:rsidR="007C1659">
        <w:rPr>
          <w:rFonts w:ascii="Times New Roman" w:hAnsi="Times New Roman" w:cs="Times New Roman"/>
          <w:sz w:val="24"/>
          <w:szCs w:val="24"/>
        </w:rPr>
        <w:t>;</w:t>
      </w:r>
      <w:r w:rsidRPr="00DB0E26">
        <w:rPr>
          <w:rFonts w:ascii="Times New Roman" w:hAnsi="Times New Roman" w:cs="Times New Roman"/>
          <w:sz w:val="24"/>
          <w:szCs w:val="24"/>
        </w:rPr>
        <w:t xml:space="preserve"> </w:t>
      </w:r>
      <w:r>
        <w:rPr>
          <w:rFonts w:ascii="Times New Roman" w:hAnsi="Times New Roman" w:cs="Times New Roman"/>
          <w:bCs/>
          <w:sz w:val="24"/>
          <w:szCs w:val="24"/>
        </w:rPr>
        <w:t xml:space="preserve">100 </w:t>
      </w:r>
      <w:r>
        <w:rPr>
          <w:rFonts w:ascii="Times New Roman" w:hAnsi="Times New Roman" w:cs="Times New Roman"/>
          <w:sz w:val="24"/>
          <w:szCs w:val="24"/>
        </w:rPr>
        <w:t xml:space="preserve">participants were allocated </w:t>
      </w:r>
      <w:r w:rsidR="00BD5132">
        <w:rPr>
          <w:rFonts w:ascii="Times New Roman" w:hAnsi="Times New Roman" w:cs="Times New Roman"/>
          <w:sz w:val="24"/>
          <w:szCs w:val="24"/>
        </w:rPr>
        <w:t xml:space="preserve">between </w:t>
      </w:r>
      <w:r w:rsidR="00BD5132" w:rsidRPr="008C51C9">
        <w:rPr>
          <w:rFonts w:ascii="Times New Roman" w:hAnsi="Times New Roman" w:cs="Times New Roman"/>
          <w:sz w:val="24"/>
          <w:szCs w:val="24"/>
        </w:rPr>
        <w:t xml:space="preserve">two study arms (test </w:t>
      </w:r>
      <w:r w:rsidR="008B5544">
        <w:rPr>
          <w:rFonts w:ascii="Times New Roman" w:hAnsi="Times New Roman" w:cs="Times New Roman"/>
          <w:sz w:val="24"/>
          <w:szCs w:val="24"/>
        </w:rPr>
        <w:t>and</w:t>
      </w:r>
      <w:r w:rsidR="00BD5132" w:rsidRPr="008C51C9">
        <w:rPr>
          <w:rFonts w:ascii="Times New Roman" w:hAnsi="Times New Roman" w:cs="Times New Roman"/>
          <w:sz w:val="24"/>
          <w:szCs w:val="24"/>
        </w:rPr>
        <w:t xml:space="preserve"> placebo) </w:t>
      </w:r>
      <w:r>
        <w:rPr>
          <w:rFonts w:ascii="Times New Roman" w:hAnsi="Times New Roman" w:cs="Times New Roman"/>
          <w:sz w:val="24"/>
          <w:szCs w:val="24"/>
        </w:rPr>
        <w:t xml:space="preserve">in the ratio of 1:1 using a randomisation list. </w:t>
      </w:r>
    </w:p>
    <w:p w14:paraId="2583CDA8" w14:textId="77777777" w:rsidR="00381843" w:rsidRDefault="00381843" w:rsidP="005C3BF2">
      <w:pPr>
        <w:spacing w:after="0" w:line="240" w:lineRule="auto"/>
        <w:rPr>
          <w:rFonts w:ascii="Times New Roman" w:hAnsi="Times New Roman" w:cs="Times New Roman"/>
          <w:sz w:val="24"/>
          <w:szCs w:val="24"/>
        </w:rPr>
      </w:pPr>
    </w:p>
    <w:p w14:paraId="4C7576A7" w14:textId="3DB05D8B"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Findings:</w:t>
      </w:r>
      <w:r w:rsidR="00381843">
        <w:rPr>
          <w:rFonts w:ascii="Times New Roman" w:hAnsi="Times New Roman" w:cs="Times New Roman"/>
          <w:sz w:val="24"/>
          <w:szCs w:val="24"/>
        </w:rPr>
        <w:t xml:space="preserve"> After treatment</w:t>
      </w:r>
      <w:r w:rsidR="00BA5E68">
        <w:rPr>
          <w:rFonts w:ascii="Times New Roman" w:hAnsi="Times New Roman" w:cs="Times New Roman"/>
          <w:sz w:val="24"/>
          <w:szCs w:val="24"/>
        </w:rPr>
        <w:t>,</w:t>
      </w:r>
      <w:r w:rsidR="00BA5E68" w:rsidRPr="00BA5E68">
        <w:rPr>
          <w:rFonts w:ascii="Times New Roman" w:hAnsi="Times New Roman" w:cs="Times New Roman"/>
          <w:sz w:val="24"/>
          <w:szCs w:val="24"/>
        </w:rPr>
        <w:t xml:space="preserve"> </w:t>
      </w:r>
      <w:r w:rsidR="00BA5E68">
        <w:rPr>
          <w:rFonts w:ascii="Times New Roman" w:hAnsi="Times New Roman" w:cs="Times New Roman"/>
          <w:sz w:val="24"/>
          <w:szCs w:val="24"/>
        </w:rPr>
        <w:t>compared to placebo</w:t>
      </w:r>
      <w:r w:rsidR="00381843">
        <w:rPr>
          <w:rFonts w:ascii="Times New Roman" w:hAnsi="Times New Roman" w:cs="Times New Roman"/>
          <w:sz w:val="24"/>
          <w:szCs w:val="24"/>
        </w:rPr>
        <w:t xml:space="preserve">, test group showed significant decrease (p&lt;0.01) in the average composite score for subjective symptoms. Test oil resulted in significant decrease in hirsutism, in ovarian volume in both right and left ovaries, and in number of follicular cysts on both the ovaries. </w:t>
      </w:r>
      <w:r w:rsidR="00BA5E68">
        <w:rPr>
          <w:rFonts w:ascii="Times New Roman" w:hAnsi="Times New Roman" w:cs="Times New Roman"/>
          <w:sz w:val="24"/>
          <w:szCs w:val="24"/>
        </w:rPr>
        <w:t>Mature follicles</w:t>
      </w:r>
      <w:r w:rsidR="00381843">
        <w:rPr>
          <w:rFonts w:ascii="Times New Roman" w:hAnsi="Times New Roman" w:cs="Times New Roman"/>
          <w:sz w:val="24"/>
          <w:szCs w:val="24"/>
        </w:rPr>
        <w:t xml:space="preserve"> in test group increased </w:t>
      </w:r>
      <w:r w:rsidR="00BA5E68">
        <w:rPr>
          <w:rFonts w:ascii="Times New Roman" w:hAnsi="Times New Roman" w:cs="Times New Roman"/>
          <w:sz w:val="24"/>
          <w:szCs w:val="24"/>
        </w:rPr>
        <w:t xml:space="preserve">resulting in 17 incidences of conception out of 46 after 6 months </w:t>
      </w:r>
      <w:r w:rsidR="00DB49FC">
        <w:rPr>
          <w:rFonts w:ascii="Times New Roman" w:hAnsi="Times New Roman" w:cs="Times New Roman"/>
          <w:sz w:val="24"/>
          <w:szCs w:val="24"/>
        </w:rPr>
        <w:t xml:space="preserve">post-study </w:t>
      </w:r>
      <w:r w:rsidR="00BA5E68">
        <w:rPr>
          <w:rFonts w:ascii="Times New Roman" w:hAnsi="Times New Roman" w:cs="Times New Roman"/>
          <w:sz w:val="24"/>
          <w:szCs w:val="24"/>
        </w:rPr>
        <w:t>follow-up.</w:t>
      </w:r>
      <w:r w:rsidR="00BD5132">
        <w:rPr>
          <w:rFonts w:ascii="Times New Roman" w:hAnsi="Times New Roman" w:cs="Times New Roman"/>
          <w:sz w:val="24"/>
          <w:szCs w:val="24"/>
        </w:rPr>
        <w:t xml:space="preserve"> No adverse events were reported.</w:t>
      </w:r>
    </w:p>
    <w:p w14:paraId="5155CF97" w14:textId="77777777" w:rsidR="00DB0E26" w:rsidRDefault="00DB0E26" w:rsidP="005C3BF2">
      <w:pPr>
        <w:spacing w:after="0" w:line="240" w:lineRule="auto"/>
        <w:rPr>
          <w:rFonts w:ascii="Times New Roman" w:hAnsi="Times New Roman" w:cs="Times New Roman"/>
          <w:sz w:val="24"/>
          <w:szCs w:val="24"/>
        </w:rPr>
      </w:pPr>
    </w:p>
    <w:p w14:paraId="6409B569" w14:textId="77777777" w:rsidR="00DB0E26" w:rsidRDefault="00DB0E26"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Conclusion: The test oil</w:t>
      </w:r>
      <w:r w:rsidR="007C1659">
        <w:rPr>
          <w:rFonts w:ascii="Times New Roman" w:hAnsi="Times New Roman" w:cs="Times New Roman"/>
          <w:sz w:val="24"/>
          <w:szCs w:val="24"/>
        </w:rPr>
        <w:t>-</w:t>
      </w:r>
      <w:r>
        <w:rPr>
          <w:rFonts w:ascii="Times New Roman" w:hAnsi="Times New Roman" w:cs="Times New Roman"/>
          <w:sz w:val="24"/>
          <w:szCs w:val="24"/>
        </w:rPr>
        <w:t>blend effectively manage</w:t>
      </w:r>
      <w:r w:rsidR="00BA5E68">
        <w:rPr>
          <w:rFonts w:ascii="Times New Roman" w:hAnsi="Times New Roman" w:cs="Times New Roman"/>
          <w:sz w:val="24"/>
          <w:szCs w:val="24"/>
        </w:rPr>
        <w:t>d</w:t>
      </w:r>
      <w:r>
        <w:rPr>
          <w:rFonts w:ascii="Times New Roman" w:hAnsi="Times New Roman" w:cs="Times New Roman"/>
          <w:sz w:val="24"/>
          <w:szCs w:val="24"/>
        </w:rPr>
        <w:t xml:space="preserve"> </w:t>
      </w:r>
      <w:r w:rsidR="000D28DD">
        <w:rPr>
          <w:rFonts w:ascii="Times New Roman" w:hAnsi="Times New Roman" w:cs="Times New Roman"/>
          <w:sz w:val="24"/>
          <w:szCs w:val="24"/>
        </w:rPr>
        <w:t xml:space="preserve">eight </w:t>
      </w:r>
      <w:r w:rsidR="00EB6AEC">
        <w:rPr>
          <w:rFonts w:ascii="Times New Roman" w:hAnsi="Times New Roman" w:cs="Times New Roman"/>
          <w:sz w:val="24"/>
          <w:szCs w:val="24"/>
        </w:rPr>
        <w:t xml:space="preserve">studied </w:t>
      </w:r>
      <w:r w:rsidR="000D28DD">
        <w:rPr>
          <w:rFonts w:ascii="Times New Roman" w:hAnsi="Times New Roman" w:cs="Times New Roman"/>
          <w:sz w:val="24"/>
          <w:szCs w:val="24"/>
        </w:rPr>
        <w:t xml:space="preserve">symptoms </w:t>
      </w:r>
      <w:r>
        <w:rPr>
          <w:rFonts w:ascii="Times New Roman" w:hAnsi="Times New Roman" w:cs="Times New Roman"/>
          <w:sz w:val="24"/>
          <w:szCs w:val="24"/>
        </w:rPr>
        <w:t>of PCOS rather than working on isolated symptoms of PCOS.</w:t>
      </w:r>
    </w:p>
    <w:p w14:paraId="63816A03" w14:textId="77777777" w:rsidR="00BA5E68" w:rsidRDefault="00BA5E68" w:rsidP="005C3BF2">
      <w:pPr>
        <w:spacing w:after="0" w:line="240" w:lineRule="auto"/>
        <w:rPr>
          <w:rFonts w:ascii="Times New Roman" w:hAnsi="Times New Roman" w:cs="Times New Roman"/>
          <w:sz w:val="24"/>
          <w:szCs w:val="24"/>
        </w:rPr>
      </w:pPr>
    </w:p>
    <w:p w14:paraId="76CCF25E" w14:textId="77777777" w:rsidR="00FD2913" w:rsidRDefault="00FD2913" w:rsidP="005C3BF2">
      <w:pPr>
        <w:spacing w:after="0" w:line="240" w:lineRule="auto"/>
        <w:rPr>
          <w:rFonts w:ascii="Times New Roman" w:hAnsi="Times New Roman" w:cs="Times New Roman"/>
          <w:sz w:val="24"/>
          <w:szCs w:val="24"/>
        </w:rPr>
      </w:pPr>
    </w:p>
    <w:p w14:paraId="2F7AF4F7" w14:textId="77777777" w:rsidR="000B42F5" w:rsidRDefault="000B42F5" w:rsidP="005C3BF2">
      <w:pPr>
        <w:spacing w:after="0" w:line="240" w:lineRule="auto"/>
        <w:rPr>
          <w:rFonts w:ascii="Times New Roman" w:hAnsi="Times New Roman" w:cs="Times New Roman"/>
          <w:sz w:val="24"/>
          <w:szCs w:val="24"/>
        </w:rPr>
      </w:pPr>
      <w:r>
        <w:rPr>
          <w:rFonts w:ascii="Times New Roman" w:hAnsi="Times New Roman" w:cs="Times New Roman"/>
          <w:sz w:val="24"/>
          <w:szCs w:val="24"/>
        </w:rPr>
        <w:t>Key Words: Polycystic ovarian syndrome; natural oil-blend; topical application; mensuration-related symptoms; mature follicles; ovarian volume</w:t>
      </w:r>
    </w:p>
    <w:p w14:paraId="1B14621A" w14:textId="77777777" w:rsidR="000B42F5" w:rsidRDefault="000B42F5" w:rsidP="005C3BF2">
      <w:pPr>
        <w:spacing w:after="0" w:line="240" w:lineRule="auto"/>
        <w:rPr>
          <w:rFonts w:ascii="Times New Roman" w:hAnsi="Times New Roman" w:cs="Times New Roman"/>
          <w:sz w:val="24"/>
          <w:szCs w:val="24"/>
        </w:rPr>
      </w:pPr>
    </w:p>
    <w:p w14:paraId="78044606" w14:textId="77777777" w:rsidR="000B42F5" w:rsidRPr="00C747F9" w:rsidRDefault="000B42F5" w:rsidP="005C3BF2">
      <w:pPr>
        <w:spacing w:after="0" w:line="240" w:lineRule="auto"/>
        <w:rPr>
          <w:rFonts w:ascii="Times New Roman" w:hAnsi="Times New Roman" w:cs="Times New Roman"/>
          <w:sz w:val="24"/>
          <w:szCs w:val="24"/>
        </w:rPr>
      </w:pPr>
    </w:p>
    <w:p w14:paraId="56FF586D" w14:textId="77777777"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Introduction</w:t>
      </w:r>
    </w:p>
    <w:p w14:paraId="1CF03E5E" w14:textId="5982DB14"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Polycystic </w:t>
      </w:r>
      <w:r w:rsidR="00CE11F0" w:rsidRPr="008C51C9">
        <w:rPr>
          <w:rFonts w:ascii="Times New Roman" w:hAnsi="Times New Roman" w:cs="Times New Roman"/>
          <w:sz w:val="24"/>
          <w:szCs w:val="24"/>
        </w:rPr>
        <w:t>o</w:t>
      </w:r>
      <w:r w:rsidRPr="008C51C9">
        <w:rPr>
          <w:rFonts w:ascii="Times New Roman" w:hAnsi="Times New Roman" w:cs="Times New Roman"/>
          <w:sz w:val="24"/>
          <w:szCs w:val="24"/>
        </w:rPr>
        <w:t xml:space="preserve">varian </w:t>
      </w:r>
      <w:r w:rsidR="00CE11F0" w:rsidRPr="008C51C9">
        <w:rPr>
          <w:rFonts w:ascii="Times New Roman" w:hAnsi="Times New Roman" w:cs="Times New Roman"/>
          <w:sz w:val="24"/>
          <w:szCs w:val="24"/>
        </w:rPr>
        <w:t>s</w:t>
      </w:r>
      <w:r w:rsidRPr="008C51C9">
        <w:rPr>
          <w:rFonts w:ascii="Times New Roman" w:hAnsi="Times New Roman" w:cs="Times New Roman"/>
          <w:sz w:val="24"/>
          <w:szCs w:val="24"/>
        </w:rPr>
        <w:t>yndrome (PCOS), also referred to as Stein–Leventhal syndrome</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{"citationID":"czXpqEvQ","properties":{"formattedCitation":"{\\rtf \\super 1\\nosupersub{}}","plainCitation":"1"},"citationItems":[{"id":464,"uris":["http://zotero.org/users/4133246/items/TPG8MUFH"],"uri":["http://zotero.org/users/4133246/items/TPG8MUFH"],"itemData":{"id":464,"type":"article-journal","title":"Polycystic ovarian disease (Stein-Leventhal syndrome); etiology and rationale for surgical treatment","container-title":"Obstetrics and Gynecology","page":"168-179","volume":"12","issue":"2","source":"PubMed","ISSN":"0029-7844","note":"PMID: 13578274","journalAbbreviation":"Obstet Gynecol","language":"eng","author":[{"family":"Evans","given":"T. N."},{"family":"Riley","given":"G. M."}],"issued":{"date-parts":[["1958",8]]}}}],"schema":"https://github.com/citation-style-language/schema/raw/master/csl-citation.json"}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is a highly prevalent endocrine system disorder that affect women in their reproductive age and is a major cause of anovulatory infertility</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{"citationID":"1ik07r1mfp","properties":{"formattedCitation":"{\\rtf \\super 2\\uc0\\u8211{}6\\nosupersub{}}","plainCitation":"2–6"},"citationItems":[{"id":466,"uris":["http://zotero.org/users/4133246/items/NJNVZ5ST"],"uri":["http://zotero.org/users/4133246/items/NJNVZ5ST"],"itemData":{"id":466,"type":"article-journal","title":"The prevalence and features of the polycystic ovary syndrome in an unselected population","container-title":"The Journal of Clinical Endocrinology and Metabolism","page":"2745-2749","volume":"89","issue":"6","source":"PubMed","abstract":"Notwithstanding the potential public health impact of the polycystic ovary syndrome (PCOS), estimates regarding its prevalence are limited and unclear. Between July 1998 and October 1999, 400 unselected consecutive premenopausal women (18-45 yr of age) seeking a preemployment physical at the University of Alabama at Birmingham were studied (223 Black, 166 White, and 11 of other races). Evaluation included a history and physical examination, a modified Ferriman-Gallwey hirsutism score, and serum screening for hyperandrogenemia, hyperprolactinemia, and 21-hydroxylase-deficient nonclassical adrenal hyperplasia. PCOS was diagnosed by the presence of the following: 1) oligoovulation, 2) hyperandrogenemia and/or hirsutism (modified Ferriman-Gallwey score &gt; or = 6), and 3) the exclusion of related disorders. Confirmed PCOS was established in those individuals whose evaluation was complete and indicative of PCOS, and possible PCOS was established when the hormonal evaluation was not complete or was unavailable, but the clinical phenotype was otherwise suggestive of the disorder. The individual probability of PCOS in women with possible PCOS was assigned a weight based on the findings in similar subjects whose evaluation was complete, and the total number of PCOS cases arising from these individuals was calculated (i.e. individual probability of PCOS x total number of subjects in the group). The cumulative prevalence of PCOS in our population was 6.6% (26.5 of 400), including 15 subjects among the 347 women completing their evaluation and a calculated prevalence of 11.5 subjects among the remainder. The prevalence rates of PCOS for Black and White women were 8.0 and 4.8%, respectively, not significantly different. These data from a large representative unselected population support the concept that PCOS is the most common endocrine abnormality of reproductive-aged women in the United States.","DOI":"10.1210/jc.2003-032046","ISSN":"0021-972X","note":"PMID: 15181052","journalAbbreviation":"J. Clin. Endocrinol. Metab.","language":"eng","author":[{"family":"Azziz","given":"Ricardo"},{"family":"Woods","given":"Keslie S."},{"family":"Reyna","given":"Rosario"},{"family":"Key","given":"Timothy J."},{"family":"Knochenhauer","given":"Eric S."},{"family":"Yildiz","given":"Bulent O."}],"issued":{"date-parts":[["2004",6]]}},"label":"page"},{"id":699,"uris":["http://zotero.org/users/4133246/items/GF3TTT4I"],"uri":["http://zotero.org/users/4133246/items/GF3TTT4I"],"itemData":{"id":699,"type":"article-journal","title":"Prevalence, phenotype and cardiometabolic risk of polycystic ovary syndrome under different diagnostic criteria","container-title":"Human Reproduction","page":"3067-3073","volume":"27","issue":"10","source":"academic.oup.com","abstract":"STUDY QUESTIONWhat is the prevalence, phenotype and metabolic features of polycystic ovary syndrome (PCOS) in the same population according to three different diagnostic criteria?SUMMARY ANSWERThe prevalence of PCOS under National Institutes of Health (NIH), Rotterdam and Androgen Excess and PCOS (AE-PCOS) Society criteria was 6.1, 19.9 and 15.3%, respectively. PCOS carried a 2-fold increased risk of metabolic syndrome regardless of the diagnostic criteria used.WHAT IS KNOWN AND WHAT THIS PAPER ADDSThe prevalence rates of PCOS differ depending on the diagnostic criteria used to define the syndrome. The current paper gives the prevalence rates of the component and composite phenotypes of PCOS in the same population and reports similar rates of metabolic syndrome in women with PCOS under contrasting diagnostic criteria.DESIGNIn this cross-sectional study, 392 women between the ages of 18 and 45 years were analyzed.PARTICIPANTS AND SETTINGWhen the prevalence of PCOS according to NIH was set to 8% with a precision of 2.2% and confidence interval of 95%, the sample size required for a prevalence survey was found to be 400 subjects. The study was carried out in the General Directorate of Mineral Research and Exploration, a government-based institute, in which the largest number of female staff (n = 527) are employed within a single institute in Ankara, Turkey. The study was performed between 7 December 2009 and 30 April 2010. All female subjects between the ages of 18 and 45 years were invited to participate. Women older than 45 or younger than 18 years, post-menopausal women, women with a history of hysterectomy or bilateral oopherectomy and pregnant women were excluded. Totally, 392 of the employees were recruited for the final analyses.MAIN RESULTS AND THE ROLE OF CHANCEThe prevalence of PCOS under NIH, Rotterdam and AE-PCOS Society criteria were 6.1, 19.9 and 15.3%, respectively. While the prevalence of metabolic syndrome was 6.1% in the whole study group, within the patients diagnosed as PCOS according to NIH, Rotterdam and AE-PCOS Society criteria, it was 12.5, 10.3 and 10.0%, respectively.BIAS, CONFOUNDING AND OTHER REASONS FOR CAUTIONEven though we have included women working at a single institution with a high response rate for the participation, we cannot exclude potential selection bias due to undetermined differences between our sample and background community. We might have underestimated actual prevalence of metabolic syndrome in PCOS due to lack of oral glucose tolerance test 2 h glucose data.GENERALIZABILITY TO OTHER POPULATIONSCurrent results can be generalized to Caucasian populations and may present variations in other populations according to race and ethnicity.STUDY FUNDING/COMPETING INTEREST(S)This work was, in part, sponsored by Merck Serono.TRIAL REGISTRATION NUMBERNot applicable.","DOI":"10.1093/humrep/des232","ISSN":"0268-1161","journalAbbreviation":"Hum Reprod","language":"en","author":[{"family":"Yildiz","given":"Bulent Okan"},{"family":"Bozdag","given":"Gurkan"},{"family":"Yapici","given":"Zuhal"},{"family":"Esinler","given":"Ibrahim"},{"family":"Yarali","given":"Hakan"}],"issued":{"date-parts":[["2012",10,1]]}},"label":"page"},{"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Described since 1935 by Stein and Leventhal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{"citationID":"3jhGLsXF","properties":{"formattedCitation":"{\\rtf \\super 7\\nosupersub{}}","plainCitation":"7"},"citationItems":[{"id":470,"uris":["http://zotero.org/users/4133246/items/JW7WGJ7I"],"uri":["http://zotero.org/users/4133246/items/JW7WGJ7I"],"itemData":{"id":470,"type":"article-journal","title":"Amenorrhea associated with bilateral polycystic ovaries","container-title":"American Journal of Obstetrics &amp; Gynecology","page":"181-191","volume":"29","issue":"2","source":"www.ajog.org","DOI":"10.1016/S0002-9378(15)30642-6","ISSN":"0002-9378, 1097-6868","journalAbbreviation":"American Journal of Obstetrics &amp; Gynecology","language":"English","author":[{"family":"Stein","given":"Irving F."},{"family":"Leventhal","given":"Michael L."}],"issued":{"date-parts":[["1935",1,1]]}}}],"schema":"https://github.com/citation-style-language/schema/raw/master/csl-citation.json"}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7</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it represents a condition in which an estimate of 10 small cysts of a diameter ranging between 2 and 9 mm develop on one or both ovaries and/or the ovarian volume in at least one ovary exceeds 10 ml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{"citationID":"nUhP0T8P","properties":{"formattedCitation":"{\\rtf \\super 8\\nosupersub{}}","plainCitation":"8"},"citationItems":[{"id":468,"uris":["http://zotero.org/users/4133246/items/ZGMFID78"],"uri":["http://zotero.org/users/4133246/items/ZGMFID78"],"itemData":{"id":468,"type":"article-journal","title":"Polycystic ovary syndrome--a systemic disorder?","container-title":"Best Practice &amp; Research. Clinical Obstetrics &amp; Gynaecology","page":"263-274","volume":"17","issue":"2","source":"PubMed","abstract":"Polycystic ovary syndrome (PCOS) is the commonest endocrine disturbance affecting women. There is considerable heterogeneity of symptoms and signs amongst women with PCOS and for an individual these may change over time. PCOS is familial and genetics appear to be associated with disturbances of insulin secretion. Polycystic ovaries can exist without clinical signs of the syndrome, which may then become expressed over time. There are a number of interlinking factors that affect expression of PCOS. A gain in weight is associated with a worsening of symptoms whilst weight loss will ameliorate the endocrine and metabolic profile and symptomatology. Women with PCOS are characterized by the presence of insulin resistance, central obesity and dyslipidaemia, which appears to place them at a higher risk of developing diabetes as well as cardiovascular disease. A number of studies have confirmed the higher incidence of diabetes, although they have not shown a higher risk of mortality from ischaemic heart disease (IHD). Cross-sectional studies have demonstrated a significant association between PCOS and IHD. Prospective, long-term longitudinal studies confirming this risk are still awaited. Weight loss remains the most effective first line therapeutic intervention in women with PCOS and recently the use of insulin sensitizing agents has demonstrated benefit.","ISSN":"1521-6934","note":"PMID: 12758099","journalAbbreviation":"Best Pract Res Clin Obstet Gynaecol","language":"eng","author":[{"family":"Balen","given":"Adam"},{"family":"Rajkowha","given":"Madhurima"}],"issued":{"date-parts":[["2003",4]]}}}],"schema":"https://github.com/citation-style-language/schema/raw/master/csl-citation.json"}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8</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Previously regarded as a disorder of adult women, PCOS is now considered as a lifelong syndrome that can manifest at pre-natal age, amplify by adolescence and affect </w:t>
      </w:r>
      <w:r w:rsidRPr="008C51C9">
        <w:rPr>
          <w:rFonts w:ascii="Times New Roman" w:hAnsi="Times New Roman" w:cs="Times New Roman"/>
          <w:sz w:val="24"/>
          <w:szCs w:val="24"/>
        </w:rPr>
        <w:lastRenderedPageBreak/>
        <w:t>multiple aspects of wom</w:t>
      </w:r>
      <w:r w:rsidR="00400E8A">
        <w:rPr>
          <w:rFonts w:ascii="Times New Roman" w:hAnsi="Times New Roman" w:cs="Times New Roman"/>
          <w:sz w:val="24"/>
          <w:szCs w:val="24"/>
        </w:rPr>
        <w:t>e</w:t>
      </w:r>
      <w:r w:rsidRPr="008C51C9">
        <w:rPr>
          <w:rFonts w:ascii="Times New Roman" w:hAnsi="Times New Roman" w:cs="Times New Roman"/>
          <w:sz w:val="24"/>
          <w:szCs w:val="24"/>
        </w:rPr>
        <w:t>n’s health well beyond the reproductive ag</w:t>
      </w:r>
      <w:r w:rsidR="001B6345" w:rsidRPr="008C51C9">
        <w:rPr>
          <w:rFonts w:ascii="Times New Roman" w:hAnsi="Times New Roman" w:cs="Times New Roman"/>
          <w:sz w:val="24"/>
          <w:szCs w:val="24"/>
        </w:rPr>
        <w:t>e</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{"citationID":"2b682q6ib3","properties":{"formattedCitation":"{\\rtf \\super 4\\uc0\\u8211{}6,9\\uc0\\u8211{}11\\nosupersub{}}","plainCitation":"4–6,9–11"},"citationItems":[{"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428,"uris":["http://zotero.org/users/4133246/items/HRS5F5E8"],"uri":["http://zotero.org/users/4133246/items/HRS5F5E8"],"itemData":{"id":428,"type":"article-journal","title":"Criteria, prevalence, and phenotypes of polycystic ovary syndrome","container-title":"Fertility and Sterility","page":"6-15","volume":"106","issue":"1","source":"ScienceDirect","abstract":"Polycystic ovary syndrome (PCOS) is a highly prevalent disorder effecting reproductive-aged women worldwide. This article addresses the evolution of the criteria used to diagnosis PCOS; reviews recent advances in the phenotypic approach, specifically in the context of the extended Rotterdam criteria; discusses limitations of the current criteria used to diagnosis, particularly when studying adolescents and women in the peri- and postmenopause; and describes significant strides made in understanding the epidemiology of PCOS. This review recognizes that although there is a high prevalence of PCOS, there is increased variability when using Rotterdam 2003 criteria, owing to limitations in population sampling and approaches used to define PCOS phenotypes. Last, we discuss the distribution of PCOS phenotypes, their morbidity, and the role that referral bias plays in the epidemiology of this syndrome.","DOI":"10.1016/j.fertnstert.2016.05.003","ISSN":"0015-0282","journalAbbreviation":"Fertility and Sterility","author":[{"family":"Lizneva","given":"Daria"},{"family":"Suturina","given":"Larisa"},{"family":"Walker","given":"Walidah"},{"family":"Brakta","given":"Soumia"},{"family":"Gavrilova-Jordan","given":"Larisa"},{"family":"Azziz","given":"Ricardo"}],"issued":{"date-parts":[["2016",7,1]]}},"label":"page"},{"id":444,"uris":["http://zotero.org/users/4133246/items/A7VCB332"],"uri":["http://zotero.org/users/4133246/items/A7VCB332"],"itemData":{"id":444,"type":"article-journal","title":"Genetics of polycystic ovary syndrome","container-title":"Expert Review of Molecular Diagnostics","page":"723-733","volume":"17","issue":"7","source":"Taylor and Francis+NEJM","abstract":"Introduction: Polycystic ovary syndrome (PCOS) is a hormonal and metabolic disorder affecting 5 to 20% of reproductive-aged women worldwide that results in androgen excess, menstrual dysfunction and oligo-ovulatory subfertility, with increased risks for type 2 diabetes, endometrial adenocarcinoma, and potentially vascular disease, among other morbidities. PCOS is a complex genetic trait with strong heritability accounting for as high as 70% of the development of the disorder.Areas covered: The authors summarize the historical and recent findings of genetic studies of PCOS, such as familial studies, twin studies, and molecular genetic studies, including the results of recent genome wide associated studies. PubMed, Medline and Embase database were used to search relevant articles. Included studies were predominately conducted in Asia, North Africa, North America, and Europe.Expert commentary: Current studies aim to establish the role and function of identified genes; such efforts could serve as potential platforms for novel diagnostic and treatments for PCOS patients. The etiology of PCOS will be better understood as more data is gathered systematically, subjects are better phenotyped larger populations are recruited, and a better understanding of the role of genetic architecture, genetic variation, epigenetics, and gene-gene, gene-environment, and gene-phenotype interaction is obtained.","DOI":"10.1080/14737159.2017.1340833","ISSN":"1473-7159","note":"PMID: 28602111","author":[{"family":"Mykhalchenko","given":"Kateryna"},{"family":"Lizneva","given":"Daria"},{"family":"Trofimova","given":"Tatiana"},{"family":"Walker","given":"Walidah"},{"family":"Suturina","given":"Larisa"},{"family":"Diamond","given":"Michael P."},{"family":"Azziz","given":"Ricardo"}],"issued":{"date-parts":[["2017",7,3]]}},"label":"page"},{"id":697,"uris":["http://zotero.org/users/4133246/items/26TRNQTT"],"uri":["http://zotero.org/users/4133246/items/26TRNQTT"],"itemData":{"id":697,"type":"article-journal","title":"Unfavorable Hormonal, Metabolic, and Inflammatory Alterations Persist after Menopause in Women with PCOS","container-title":"The Journal of Clinical Endocrinology &amp; Metabolism","page":"1827-1834","volume":"96","issue":"6","source":"academic.oup.com","abstract":"Context:Women with polycystic ovary syndrome (PCOS) are known to suffer from hyperandrogenism and impaired glucose tolerance, as well as chronic inflammation, exposing them to an increased risk of cardiovascular diseases. However, the degree to which these hormonal and metabolic alterations persist after menopause (MP) is not well documented.Objective:Our objective was to explore whether adverse metabolic and hormonal alterations persist after MP in women with PCOS.Design:We conducted a cross-sectional university hospital-based study.Patients and Interventions:Twenty-one pre-MP (n = 10) and post-MP (n = 11) women diagnosed with PCOS were compared with 29 healthy controls (pre-MP, n = 11; post-MP, n = 18). Two-hour oral glucose tolerance tests were performed, and ovarian steroid secretion capacity was assessed (human chorionic gonadotropin tests). Areas under the curves (AUC) were calculated.Results:Both pre-MP and post-MP women with PCOS had increased insulin response in oral glucose tolerance tests (AUCins pre-MP = 6733.7 vs. 3382.9; post-MP = 9732.1 vs. 3265.3) and were more insulin resistant than controls. Androgen secretion capacity was increased before and after MP in PCOS (AUC of androstenedione; pre-MP: 1218.4 vs. 853.2; post-MP: 1000.0 vs. 531.3). High-sensitivity C-reactive protein remained elevated after MP in PCOS (pre-MP: 1.3 vs. 0.7; post-MP: 1.4 vs. 0.9 mg/liter). Adjustment for body mass index did not alter the results except for glucose metabolism.Conclusions:The results indicate that impaired glucose metabolism, enhanced ovarian androgen secretion, and chronic inflammation observed in pre-MP women with PCOS persist after menopausal transition emphasizing life-long health risks related to this syndrome.","DOI":"10.1210/jc.2011-0039","ISSN":"0021-972X","journalAbbreviation":"J Clin Endocrinol Metab","language":"en","author":[{"family":"Puurunen","given":"Johanna"},{"family":"Piltonen","given":"Terhi"},{"family":"Morin-Papunen","given":"Laure"},{"family":"Perheentupa","given":"Antti"},{"family":"Järvelä","given":"Ilkka"},{"family":"Ruokonen","given":"Aimo"},{"family":"Tapanainen","given":"Juha S."}],"issued":{"date-parts":[["2011",6,1]]}},"label":"page"},{"id":437,"uris":["http://zotero.org/users/4133246/items/82FEFM7H"],"uri":["http://zotero.org/users/4133246/items/82FEFM7H"],"itemData":{"id":437,"type":"article-journal","title":"Genetic,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4–6,9–1</w:t>
      </w:r>
      <w:r w:rsidR="0029199D" w:rsidRPr="008C51C9">
        <w:rPr>
          <w:rFonts w:ascii="Times New Roman" w:hAnsi="Times New Roman" w:cs="Times New Roman"/>
          <w:sz w:val="24"/>
          <w:szCs w:val="24"/>
          <w:vertAlign w:val="superscript"/>
        </w:rPr>
        <w:t>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Based on different epidemiologic studies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{"citationID":"2p0u3ul4m7","properties":{"formattedCitation":"{\\rtf \\super 2,3,12\\uc0\\u8211{}29\\nosupersub{}}","plainCitation":"2,3,12–29"},"citationItems":[{"id":466,"uris":["http://zotero.org/users/4133246/items/NJNVZ5ST"],"uri":["http://zotero.org/users/4133246/items/NJNVZ5ST"],"itemData":{"id":466,"type":"article-journal","title":"The prevalence and features of the polycystic ovary syndrome in an unselected population","container-title":"The Journal of Clinical Endocrinology and Metabolism","page":"2745-2749","volume":"89","issue":"6","source":"PubMed","abstract":"Notwithstanding the potential public health impact of the polycystic ovary syndrome (PCOS), estimates regarding its prevalence are limited and unclear. Between July 1998 and October 1999, 400 unselected consecutive premenopausal women (18-45 yr of age) seeking a preemployment physical at the University of Alabama at Birmingham were studied (223 Black, 166 White, and 11 of other races). Evaluation included a history and physical examination, a modified Ferriman-Gallwey hirsutism score, and serum screening for hyperandrogenemia, hyperprolactinemia, and 21-hydroxylase-deficient nonclassical adrenal hyperplasia. PCOS was diagnosed by the presence of the following: 1) oligoovulation, 2) hyperandrogenemia and/or hirsutism (modified Ferriman-Gallwey score &gt; or = 6), and 3) the exclusion of related disorders. Confirmed PCOS was established in those individuals whose evaluation was complete and indicative of PCOS, and possible PCOS was established when the hormonal evaluation was not complete or was unavailable, but the clinical phenotype was otherwise suggestive of the disorder. The individual probability of PCOS in women with possible PCOS was assigned a weight based on the findings in similar subjects whose evaluation was complete, and the total number of PCOS cases arising from these individuals was calculated (i.e. individual probability of PCOS x total number of subjects in the group). The cumulative prevalence of PCOS in our population was 6.6% (26.5 of 400), including 15 subjects among the 347 women completing their evaluation and a calculated prevalence of 11.5 subjects among the remainder. The prevalence rates of PCOS for Black and White women were 8.0 and 4.8%, respectively, not significantly different. These data from a large representative unselected population support the concept that PCOS is the most common endocrine abnormality of reproductive-aged women in the United States.","DOI":"10.1210/jc.2003-032046","ISSN":"0021-972X","note":"PMID: 15181052","journalAbbreviation":"J. Clin. Endocrinol. Metab.","language":"eng","author":[{"family":"Azziz","given":"Ricardo"},{"family":"Woods","given":"Keslie S."},{"family":"Reyna","given":"Rosario"},{"family":"Key","given":"Timothy J."},{"family":"Knochenhauer","given":"Eric S."},{"family":"Yildiz","given":"Bulent O."}],"issued":{"date-parts":[["2004",6]]}},"label":"page"},{"id":699,"uris":["http://zotero.org/users/4133246/items/GF3TTT4I"],"uri":["http://zotero.org/users/4133246/items/GF3TTT4I"],"itemData":{"id":699,"type":"article-journal","title":"Prevalence, phenotype and cardiometabolic risk of polycystic ovary syndrome under different diagnostic criteria","container-title":"Human Reproduction","page":"3067-3073","volume":"27","issue":"10","source":"academic.oup.com","abstract":"STUDY QUESTIONWhat is the prevalence, phenotype and metabolic features of polycystic ovary syndrome (PCOS) in the same population according to three different diagnostic criteria?SUMMARY ANSWERThe prevalence of PCOS under National Institutes of Health (NIH), Rotterdam and Androgen Excess and PCOS (AE-PCOS) Society criteria was 6.1, 19.9 and 15.3%, respectively. PCOS carried a 2-fold increased risk of metabolic syndrome regardless of the diagnostic criteria used.WHAT IS KNOWN AND WHAT THIS PAPER ADDSThe prevalence rates of PCOS differ depending on the diagnostic criteria used to define the syndrome. The current paper gives the prevalence rates of the component and composite phenotypes of PCOS in the same population and reports similar rates of metabolic syndrome in women with PCOS under contrasting diagnostic criteria.DESIGNIn this cross-sectional study, 392 women between the ages of 18 and 45 years were analyzed.PARTICIPANTS AND SETTINGWhen the prevalence of PCOS according to NIH was set to 8% with a precision of 2.2% and confidence interval of 95%, the sample size required for a prevalence survey was found to be 400 subjects. The study was carried out in the General Directorate of Mineral Research and Exploration, a government-based institute, in which the largest number of female staff (n = 527) are employed within a single institute in Ankara, Turkey. The study was performed between 7 December 2009 and 30 April 2010. All female subjects between the ages of 18 and 45 years were invited to participate. Women older than 45 or younger than 18 years, post-menopausal women, women with a history of hysterectomy or bilateral oopherectomy and pregnant women were excluded. Totally, 392 of the employees were recruited for the final analyses.MAIN RESULTS AND THE ROLE OF CHANCEThe prevalence of PCOS under NIH, Rotterdam and AE-PCOS Society criteria were 6.1, 19.9 and 15.3%, respectively. While the prevalence of metabolic syndrome was 6.1% in the whole study group, within the patients diagnosed as PCOS according to NIH, Rotterdam and AE-PCOS Society criteria, it was 12.5, 10.3 and 10.0%, respectively.BIAS, CONFOUNDING AND OTHER REASONS FOR CAUTIONEven though we have included women working at a single institution with a high response rate for the participation, we cannot exclude potential selection bias due to undetermined differences between our sample and background community. We might have underestimated actual prevalence of metabolic syndrome in PCOS due to lack of oral glucose tolerance test 2 h glucose data.GENERALIZABILITY TO OTHER POPULATIONSCurrent results can be generalized to Caucasian populations and may present variations in other populations according to race and ethnicity.STUDY FUNDING/COMPETING INTEREST(S)This work was, in part, sponsored by Merck Serono.TRIAL REGISTRATION NUMBERNot applicable.","DOI":"10.1093/humrep/des232","ISSN":"0268-1161","journalAbbreviation":"Hum Reprod","language":"en","author":[{"family":"Yildiz","given":"Bulent Okan"},{"family":"Bozdag","given":"Gurkan"},{"family":"Yapici","given":"Zuhal"},{"family":"Esinler","given":"Ibrahim"},{"family":"Yarali","given":"Hakan"}],"issued":{"date-parts":[["2012",10,1]]}},"label":"page"},{"id":712,"uris":["http://zotero.org/users/4133246/items/KS86W2T2"],"uri":["http://zotero.org/users/4133246/items/KS86W2T2"],"itemData":{"id":712,"type":"article-journal","title":"Prevalence of the polycystic ovary syndrome in unselected black and white women of the Southeastern United States: A prospective study","container-title":"Journal of Clinical Endocrinology and Metabolism","page":"3078-3082","volume":"83","issue":"9","source":"Scopus","archive":"Scopus","abstract":"Estimates of the prevalence of the polycystic ovary syndrome (PCOS) in the general population have ranged from 2-20%. The vast majority of these reports have studied White populations in Europe, used limited definitions of the disorder, and/or used bias populations, such as those seeking medical care. To estimate the prevalence of this disorder in the United States and address these limitations, we prospectively determined the prevalence of PCOS in a reproductive-aged population of 369 consecutive women (174 White and 195 Black; aged 18-45 yr), examined at the time of their preemployment physical. Body measures were obtained, and body hair was quantified by a modified Ferriman-Gallwey (F-G) method. All exams were initially performed by 2 trained nurses, and any subject with an F-G score above 3 was reexamined by a physician, the same for all patients. Of the 369 women, 277 (75.1%) also agreed to complete a questionnaire and have additional blood drawn. Subjects were studied regardless of current estrogen/progestin hormonal use (28.5%). PCOS was defined as 1) oligoovulation, 2) clinical hyperandrogenism (i.e. hirsutism) and/or hyperandrogenemia, and 3) exclusion of other related disorders, such as hyperprolactinemia, thyroid abnormalities, and nonclassic adrenal hyperplasia. Hirsutism was defined by a F-G score of 6 or more, and hyperandrogenemia was defined as a total or free testosterone, androstenedione, and/or dehydroepiandrosterone sulfate level above the 95th percentile of control values [i.e. all eumenorrheic women in the study, who had no hirsutism (F-G ≤5) or ache and were receiving no hormonal therapy; n = 98]. Considering all 369 women studied, White and Black women had similar mean ages (29.4 ± 7.1 and 31.1 ± 7.8 yr, respectively), although White women had a lesser body mass than Black women (24.9 ± 6.1 vs. 29.2 ± 8.1 kg/m2, respectively; P &amp;lt; 0.001). Of these 7.6%, 4.6%, and 1.9% demonstrated a F-G score of 6 or more, 8 or 10, respectively, and there was no significant racial difference, with hirsutism prevalences of 8.0%, 2.8%, and 1.6% in Whites, and 7.1%, 6.1%, and 2.1% in Blacks, respectively. Of the 277 women consenting to a history and hormonal evaluation, 4.0% had PCOS as defined, 4.7% (6 of 129) of Whites and 3.4% (5 of 148) of Blacks. In conclusion, in our consecutive population of unselected women the prevalence of hirsutism varied from 2-8% depending on the chosen cut-off F-G score, with no significant difference between White and Black women. Using an F-G score of 6 or more as indicative of hirsutism, 3.4% of Blacks and 4.7% of Whites had PCOS as defined. These data suggest that PCOS may be one of most common reproductive endocrinological disorders of women.","DOI":"10.1210/jc.83.9.3078","shortTitle":"Prevalence of the polycystic ovary syndrome in unselected black and white women of the Southeastern United States","author":[{"family":"Knochenhauer","given":"E.S."},{"family":"Key","given":"T.J."},{"family":"Kahsar-Miller","given":"M."},{"family":"Waggoner","given":"W."},{"family":"Boots","given":"L.R."},{"family":"Azziz","given":"R."}],"issued":{"date-parts":[["1998"]]}},"label":"page"},{"id":672,"uris":["http://zotero.org/users/4133246/items/97FN48CX"],"uri":["http://zotero.org/users/4133246/items/97FN48CX"],"itemData":{"id":672,"type":"article-journal","title":"The prevalence of polycystic ovary syndrome in a community sample assessed under contrasting diagnostic criteria","container-title":"Human Reproduction","page":"544-551","volume":"25","issue":"2","source":"academic.oup.com","abstract":"BACKGROUNDPolycystic ovary syndrome (PCOS) is considered to be the most common endocrine disorder in women of reproductive age, yet debate over appropriate diagnostic criteria and design limitations with sampling methodology have left some doubt as to the actual prevalence in the community. The objective of this study was to create a representative prevalence estimate of PCOS in the community under the National Institutes of Health (NIH) criteria and the more recent Rotterdam consensus criteria and Androgen Excess Society (AES) criteria.METHODSA retrospective birth cohort study was carried out in which 728 women born during 1973–1975 in a single maternity hospital were traced and interviewed in adulthood (age = 27–34 year; n = 728). Symptoms of PCOS (hyperandrogenism, menstrual dysfunction and polycystic ovaries) were identified by examination and the presence of polycystic ovaries in those that did not consent to the ultrasound were imputed.RESULTSThe estimated prevalence of PCOS in this birth cohort using the NIH criteria was 8.7 ± 2.0% (with no need for imputation). Under the Rotterdam criteria, the prevalence was 11.9 ± 2.4% which increased to 17.8 ± 2.8% when imputed data were included. Under the AES recommendations, PCOS prevalence was 10.2 ± 2.2%, and 12.0 ± 2.4% with the imputed data. Of the women with PCOS, 68–69% did not have a pre-existing diagnosis.CONCLUSIONSThe Rotterdam and AES prevalence estimates were up to twice that obtained with the NIH criteria in this, as well other prevalence studies. In addition, this study also draws attention to the issue of many women with PCOS in the community remaining undiagnosed.","DOI":"10.1093/humrep/dep399","ISSN":"0268-1161","journalAbbreviation":"Hum Reprod","language":"en","author":[{"family":"March","given":"Wendy A."},{"family":"Moore","given":"Vivienne M."},{"family":"Willson","given":"Kristyn J."},{"family":"Phillips","given":"David I. W."},{"family":"Norman","given":"Robert J."},{"family":"Davies","given":"Michael J."}],"issued":{"date-parts":[["2010",2,1]]}},"label":"page"},{"id":715,"uris":["http://zotero.org/users/4133246/items/TSR6HRZG"],"uri":["http://zotero.org/users/4133246/items/TSR6HRZG"],"itemData":{"id":715,"type":"article-journal","title":"Prevalence of polycystic ovary syndrome in a sample of Indigenous women in Darwin, Australia","container-title":"Medical Journal of Australia","page":"62-66","volume":"196","issue":"1","source":"Scopus","archive":"Scopus","abstract":"Objective: To document the prevalence of polycystic ovary syndrome (PCOS) and its associated characteristics in a sample of urban Indigenous women. Design: A cross-sectional survey of Indigenous women, including biochemical and anthropometric assessments. PCOS was assessed using the National Institutes of Health 1990 criteria. Setting and participants: Indigenous women, aged 15-44 years, living in a defined area in and around Darwin, Northern Territory, Australia, September 2003 - March 2005. Main outcome measures: Proportion of participants with PCOS overall and measures of obesity. Results: Among 248 women eligible for assessment, the proportion who had PCOS was 15.3% (95% CI, 10.8%-19.8%). The proportion with PCOS was similar across age groups, but was significantly higher (P = 0.001) in women with a body mass index (BMI) of ≥30.0 kg/m 2 (30.5%) compared with women with a BMI of 25.0-29.9 kg/m 2 (8.2%) or a BMI of &amp;lt; 25.0 kg/m 2 (7.0%). Conclusions: A high proportion of these Indigenous women had PCOS. The significant relationship with obesity gives a strong rationale for screening for PCOS during routine care of Indigenous women who are obese and of reproductive age.","DOI":"10.5694/mja11.10553","author":[{"family":"Boyle","given":"J.A."},{"family":"Cunningham","given":"J."},{"family":"O'Dea","given":"K."},{"family":"Dunbar","given":"T."},{"family":"Norman","given":"R.J."}],"issued":{"date-parts":[["2012"]]}},"label":"page"},{"id":675,"uris":["http://zotero.org/users/4133246/items/T6QKG3TZ"],"uri":["http://zotero.org/users/4133246/items/T6QKG3TZ"],"itemData":{"id":675,"type":"article-journal","title":"Polycystic ovary syndrome in Salvador, Brazil: a prevalence study in primary healthcare","container-title":"Reproductive Biology and Endocrinology","page":"96","volume":"10","issue":"1","source":"rbej.biomedcentral.com","abstract":"Polycystic ovary syndrome (PCOS) is a common condition in women of reproductive age. It is characterized by hyperandrogenism, oligomenorrhea/amenorrhea and polycystic ovaries. It is associated with obesity, diabetes, dyslipidemia and cardiovascular disease. No studies have been conducted on the prevalence of PCOS in Brazilian or South American women. Few studies using the Rotterdam criteria have been published. The objective of the present study was to calculate the prevalence of PCOS at primary healthcare level in Salvador, Brazil based on these criteria. This was a cross-sectional, two-phase study conducted in a probability sample of women of 18–45 years of age screened for cervical cancer in the primary healthcare network of the city of Salvador, Brazil. In the first phase, interviews were conducted, weight, height, waist circumference, blood pressure and random blood sugar levels were measured, and the presence of acne and hirsutism was investigated. Women with at least one diagnostic criterion were referred for the second phase, which consisted of specialist consultation, pelvic ultrasonography and hormone measurements for differential diagnosis and/or investigation of a second criterion. Of the 859 women interviewed, 88.5% were black and 58.7% had 11 years of schooling or less. A diagnosis of PCOS was excluded in 84.4%, undetermined in 7.1% and confirmed in 8.5% (95%CI: 6.80–10.56). There were no statistically significant differences between these three groups with respect to weight, body mass index, waist circumference, blood sugar levels or arterial blood pressure. Women with PCOS were younger (p = 0.00), taller (p = 0.04), had fewer children (p = 0.00), were better educated (p = 0.01), and had higher total testosterone levels (p = 0.01) and a higher LH/FSH ratio (p = 0.01). According to the Rotterdam criteria, the prevalence of PCOS in women seeking primary healthcare in Salvador, Brazil, was 8.5%.","DOI":"10.1186/1477-7827-10-96","ISSN":"1477-7827","shortTitle":"Polycystic ovary syndrome in Salvador, Brazil","language":"En","author":[{"family":"Gabrielli","given":"Ligia"},{"family":"Aquino","given":"Estela ML"}],"issued":{"date-parts":[["2012",12]]}},"label":"page"},{"id":722,"uris":["http://zotero.org/users/4133246/items/NVMSRZR8"],"uri":["http://zotero.org/users/4133246/items/NVMSRZR8"],"itemData":{"id":722,"type":"article-journal","title":"Prevalence of polycystic ovary syndrome in unselected women from southern China","container-title":"European Journal of Obstetrics &amp; Gynecology and Reproductive Biology","page":"59-64","volume":"139","issue":"1","source":"ScienceDirect","abstract":"Objective\nThe objective was to determine the prevalence and metabolic parameters of polycystic ovary syndrome (PCOS) in southern China.\nStudy design\nThe study was observational with a parallel study. Participants were studied in a medical examination center. A population of 915 women of reproductive age was investigated at the time of their annual physical examination to determine the prevalence of PCOS in unselected women from southern China.\nResults\nOur results demonstrated a 2.2% (20/915) prevalence of PCOS. Women with PCOS had higher levels of luteinizing hormone and higher luteinizing hormone/follicle-stimulating hormone ratios than those in the other groups. Women with PCOS had higher fasting insulin levels and lower fasting glucose/fasting insulin ratios than women in any of the other groups.\nConclusions\nSome clinical and biochemical characteristics were apparent in PCOS patients in our population, and ethnic differences may be considered when studying the clinical and metabolic features of PCOS in China.","DOI":"10.1016/j.ejogrb.2007.12.018","ISSN":"0301-2115","journalAbbreviation":"European Journal of Obstetrics &amp; Gynecology and Reproductive Biology","author":[{"family":"Chen","given":"Xiaoli"},{"family":"Yang","given":"Dongzi"},{"family":"Mo","given":"Yaqin"},{"family":"Li","given":"Lin"},{"family":"Chen","given":"Yaxiao"},{"family":"Huang","given":"Yuhong"}],"issued":{"date-parts":[["2008",7,1]]}},"label":"page"},{"id":657,"uris":["http://zotero.org/users/4133246/items/QSCTVMGI"],"uri":["http://zotero.org/users/4133246/items/QSCTVMGI"],"itemData":{"id":657,"type":"article-journal","title":"Prevalence of the Polycystic Ovary Syndrome in Female Residents of Chengdu, China","container-title":"Gynecologic and Obstetric Investigation","page":"217-223","volume":"77","issue":"4","source":"www.karger.com","abstract":"&lt;b&gt;&lt;i&gt;Background:&lt;/i&gt;&lt;/b&gt; Polycystic ovary syndrome (PCOS) is one of the most common endocrine disorders in women. The data on this syndrome in a Chinese community are limited.","DOI":"10.1159/000358485","ISSN":"0378-7346, 1423-002X","note":"PMID: 24751759","journalAbbreviation":"GOI","language":"english","author":[{"family":"Zhuang","given":"Jing"},{"family":"Liu","given":"Ying"},{"family":"Xu","given":"Liangzhi"},{"family":"Liu","given":"Xiaofang"},{"family":"Zhou","given":"Lingling"},{"family":"Tang","given":"Liulin"},{"family":"Kang","given":"Deying"},{"family":"Guo","given":"Wenqi"},{"family":"He","given":"Min"},{"family":"Yang","given":"Fan"},{"family":"Qiu","given":"Dongsheng"}],"issued":{"date-parts":[["2014"]]}},"label":"page"},{"id":650,"uris":["http://zotero.org/users/4133246/items/9QQRGZ7U"],"uri":["http://zotero.org/users/4133246/items/9QQRGZ7U"],"itemData":{"id":650,"type":"article-journal","title":"The prevalence of metabolic disorders in various phenotypes of polycystic ovary syndrome: a community based study in Southwest of Iran","container-title":"Reproductive biology and endocrinology : RB&amp;E","page":"89","volume":"12","source":"Scopus","archive":"Scopus","abstract":"BACKGROUND: Polycystic ovary syndrome (PCOS) is a common endocrinopathy, associated with metabolic abnormalities. Metabolic features of various phenotypes of this syndrome are still debatable. The aim of present study hence was to evaluate the metabolic and hormonal features of PCOS phenotypes in comparison to a group of healthy control.\nMETHODS: A total of 646 reproductive-aged women were randomly selected using the stratified, multistage probability cluster sampling method. The subjects were divided into five phenotypes: A (oligo/anovulation + hyperandrogenism + polycystic ovaries), B (oligo/anovulation + hyperandrogenism), C (hyperandrogenism + polycystic ovaries) and D (oligo/anovulation + polycystic ovaries). Hormonal and metabolic profiles and the prevalence of metabolic syndrome among these groups were compared using ANCOVA adjusted for age and body mass index.\nRESULTS: Among women with PCOS (n = 85), those of groups A and C had higher serum levels of insulin and homeostatic model assessment for insulin resistance (HOMA-IR), compared to PCOS women of group D. Serum concentrations of cholesterol, low density lipoprotein, triglycerides and glucose in group A were higher than in other phenotypes, whereas the metabolic syndrome was more prevalent among group B.\nCONCLUSIONS: Women who had all three components of the syndrome showed the highest level of metabolic disturbances indicating that metabolic screening of the severest phenotype of PCOS may be necessary.","DOI":"10.1186/1477-7827-12-89","shortTitle":"The prevalence of metabolic disorders in various phenotypes of polycystic ovary syndrome","author":[{"family":"Tehrani","given":"F.R."},{"family":"Khomami","given":"M.B."},{"family":"Tohidi","given":"M."},{"family":"Azizi","given":"F."}],"issued":{"date-parts":[["2014"]]}},"label":"page"},{"id":641,"uris":["http://zotero.org/users/4133246/items/RW8UP5KM"],"uri":["http://zotero.org/users/4133246/items/RW8UP5KM"],"itemData":{"id":641,"type":"article-journal","title":"Prevalence of functional disorders of androgen excess in unselected premenopausal women: a study in blood donors","container-title":"Human Reproduction","page":"1209-1216","volume":"27","issue":"4","source":"academic.oup.com","abstract":"BACKGROUNDThe polycystic ovary syndrome (PCOS) is one of the most common endocrine disorders in women. On the contrary, the prevalences of other disorders of androgen excess such as idiopathic hyperandrogenism and idiopathic hirsutism remain unknown. We aimed to obtain an unbiased estimate of the prevalence in premenopausal women of (i) signs of androgen excess and (ii) PCOS, idiopathic hyperandrogenism and idiopathic hirsutism.METHODSA multicenter prevalence survey included 592 consecutive premenopausal women (393 from Madrid, Spain and 199 from Bologna, Italy) reporting spontaneously for blood donation. Immediately before donation, we conducted clinical and biochemical phenotyping for androgen excess disorders. We determined the prevalence of (i) hirsutism, acne and alopecia as clinical signs of androgen excess and (ii) functional disorders of androgen excess, including PCOS, defined by the National Institute of Child Health and Human Development/National Institute of Health criteria, idiopathic hyperandrogenism and idiopathic hirsutism.RESULTSRegarding clinical signs of hyperandrogenism, hirsutism and acne were equally frequent [12.2% prevalence; 95% confidence interval (CI): 9.5–14.8%], whereas alopecia was uncommon (1.7% prevalence, 95% CI: 0.7–2.7%). Regarding functional disorders of androgen excess, PCOS and idiopathic hirsutism were equally frequent (5.4% prevalence, 95% CI: 3.6–7.2) followed by idiopathic hyperandrogenism (3.9% prevalence, 95% CI: 2.3–5.4).CONCLUSIONSClinical signs of hyperandrogenism and functional disorders of androgen excess show a high prevalence in premenopausal women. The prevalences of idiopathic hyperandrogenism and idiopathic hirsutism are similar to that of PCOS, highlighting the need for further research on the pathophysiology, consequences for health and clinical implications of these functional forms of androgen excess.","DOI":"10.1093/humrep/des028","ISSN":"0268-1161","shortTitle":"Prevalence of functional disorders of androgen excess in unselected premenopausal women","journalAbbreviation":"Hum Reprod","language":"en","author":[{"family":"Sanchón","given":"Raúl"},{"family":"Gambineri","given":"Alessandra"},{"family":"Alpañés","given":"Macarena"},{"family":"Martínez-García","given":"M. Ángeles"},{"family":"Pasquali","given":"Renato"},{"family":"Escobar-Morreale","given":"Héctor F."}],"issued":{"date-parts":[["2012",4,1]]}},"label":"page"},{"id":645,"uris":["http://zotero.org/users/4133246/items/JJGE962F"],"uri":["http://zotero.org/users/4133246/items/JJGE962F"],"itemData":{"id":645,"type":"article-journal","title":"To what extent does the use of the Rotterdam criteria affect the prevalence of polycystic ovary syndrome? A community-based study from the Southwest of Iran","container-title":"European Journal of Obstetrics &amp; Gynecology and Reproductive Biology","page":"100-105","volume":"174","source":"ScienceDirect","abstract":"Objectives\nThere are limited data on the prevalence of polycystic ovary syndrome at the community level: heterogeneity in diagnostic criteria and lack of universal agreement on definitions of each criterion for population-based studies complicate comparability of the existing literature. This study aimed to assess the impact of using three principal definitions for polycystic ovary syndrome on its reported prevalence in a large community-based study conducted in the Southwest of Iran.\nStudy design\nA total of 646 reproductive-age women were randomly selected using the stratified, multistage probability cluster sampling method. The prevalence of polycystic ovary syndrome was estimated according to the National Institutes of Health, the Androgen Excess Society and the Rotterdam criteria, using universal assessment of ultrasonographic parameters, hormonal profiles and clinical histories.\nResults\nThe mean age of participants was 33.2 years and 36.9% of them were overweight. The estimated prevalence of polycystic ovary syndrome in this population based study was 14.1% using the Rotterdam criteria, 12% by the Androgen Excess Society criteria, and 4.8% according to the National Institutes of Health recommendation.\nConclusions\nUsing the Rotterdam versus the National Institutes of Health criteria increased the prevalence of polycystic ovary syndrome 2.9-fold. This indicates the need for more studies on the long-term consequences of the additional cases diagnosed using the Rotterdam criteria.","DOI":"10.1016/j.ejogrb.2013.12.018","ISSN":"0301-2115","shortTitle":"To what extent does the use of the Rotterdam criteria affect the prevalence of polycystic ovary syndrome?","journalAbbreviation":"European Journal of Obstetrics &amp; Gynecology and Reproductive Biology","author":[{"family":"Rashidi","given":"Homeira"},{"family":"Ramezani Tehrani","given":"Fahimeh"},{"family":"Bahri Khomami","given":"Mahnaz"},{"family":"Tohidi","given":"Maryam"},{"family":"Azizi","given":"Fereidoun"}],"issued":{"date-parts":[["2014",3,1]]}},"label":"page"},{"id":638,"uris":["http://zotero.org/users/4133246/items/N8N8KSR9"],"uri":["http://zotero.org/users/4133246/items/N8N8KSR9"],"itemData":{"id":638,"type":"article-journal","title":"Prevalence of Polycystic Ovary Syndrome and Related Disorders in Mexican Women","container-title":"Gynecologic and Obstetric Investigation","page":"274-280","volume":"69","issue":"4","source":"www.karger.com","abstract":"&lt;i&gt;Background/Aims:&lt;/i&gt; Polycystic ovary syndrome (PCOS) has been found to affect 4–8% of women of reproductive age; however, in Mexican-Americans a prevalence of 12.8% has been reported.","DOI":"10.1159/000277640","ISSN":"0378-7346, 1423-002X","note":"PMID: 20110726","journalAbbreviation":"GOI","language":"english","author":[{"family":"Moran","given":"Carlos"},{"family":"Tena","given":"Gilberto"},{"family":"Moran","given":"Segundo"},{"family":"Ruiz","given":"Paola"},{"family":"Reyna","given":"Rosario"},{"family":"Duque","given":"Ximena"}],"issued":{"date-parts":[["2010"]]}},"label":"page"},{"id":647,"uris":["http://zotero.org/users/4133246/items/PMT2R4HA"],"uri":["http://zotero.org/users/4133246/items/PMT2R4HA"],"itemData":{"id":647,"type":"article-journal","title":"The prevalence of polycystic ovary syndrome in Iranian women based on different diagnostic criteria","container-title":"Endokrynologia Polska","page":"238-242","volume":"62","issue":"3","source":"Scopus","archive":"Scopus","abstract":"Background: This study aimed to determine the prevalence of polycystic ovary syndrome (PCOS) in Iranian women based on different diagnostic criteria. Material and methods: This cross-sectional study was conducted in 2009 in Isfahan, Iran among females referred to the mandatory pre-marriage screening clinic. Menstrual irregularity was assessed as the presence of chronic amenorrhea or a menstrual cycle length of less than 21 days or more than 35 days, or more than four days of variation between cycles. Clinical hyperandrogenism was assessed as the self-reported degree of hirsutism using the modified Ferriman Gallwey (mF-G) scoring method based on a chart displaying degree of hair growth in nine regions. Those participants who reported menstrual irregularity and/or who had an mF-G score of ≥ 8 were invited for a clinical examination. Those who did not have these criteria were not further evaluated and were deemed not to have PCOS. Participants with abnormal findings underwent blood test and abdominal sonography of their ovaries. In those with hirsutism, serum was obtained on the 22 nd-24 th day of the cycle for the measurement of progesterone; free testosterone was measured in those with menstrual irregularity. Results: The estimated prevalence of PCOS was 7% based on the NIH criteria, 15.2% under the Rotterdam criteria, and 7.92% according to the AES criteria. Conclusion: The Rotterdam prevalence estimates were double those obtained with the NIH criteria. This study can be used for international comparisons because it was conducted on a representative sample of females using different criteria for the definition of PCOS.","author":[{"family":"Mehrabian","given":"F."},{"family":"Khani","given":"B."},{"family":"Kelishadi","given":"R."},{"family":"Ghanbari","given":"E."}],"issued":{"date-parts":[["2011"]]}},"label":"page"},{"id":661,"uris":["http://zotero.org/users/4133246/items/WXP9ACRT"],"uri":["http://zotero.org/users/4133246/items/WXP9ACRT"],"itemData":{"id":661,"type":"article-journal","title":"The prevalence of polycystic ovary syndrome in a normal population according to the Rotterdam criteria versus revised criteria including anti-Müllerian hormone","container-title":"Human Reproduction","page":"791-801","volume":"29","issue":"4","source":"academic.oup.com","abstract":"STUDY QUESTIONWhat is the prevalence in a normal population of polycystic ovary syndrome (PCOS) according to the Rotterdam criteria versus revised criteria including anti-Müllerian hormone (AMH)?SUMMARY ANSWERThe prevalence of PCOS was 16.6% according to the Rotterdam criteria. When replacing the criterion for polycystic ovaries by antral follicle count (AFC) &amp;gt; 19 or AMH &amp;gt; 35 pmol/l, the prevalence of PCOS was 6.3 and 8.5%, respectively.WHAT IS KNOWN ALREADY?The Rotterdam criteria state that two out of the following three criteria should be present in the diagnosis of PCOS: oligo-anovulation, clinical and/or biochemical hyperandrogenism and polycystic ovaries (AFC ≥ 12 and/or ovarian volume &amp;gt;10 ml). However, with the advances in sonography, the relevance of the AFC threshold in the definition of polycystic ovaries has been challenged, and AMH has been proposed as a marker of polycystic ovaries in PCOS.STUDY DESIGN, SIZE, DURATIONFrom 2008 to 2010, a prospective, cross-sectional study was performed including 863 women aged 20–40 years and employed at Copenhagen University Hospital, Rigshospitalet, Denmark.PARTICIPANTS/MATERIAL, SETTING, METHODSWe studied a subgroup of 447 women with a mean (±SD) age of 33.5 (±4.0) years who were all non-users of hormonal contraception. Data on menstrual cycle disorder and the presence of hirsutism were obtained. On cycle Days 2–5, or on a random day in the case of oligo- or amenorrhoea, sonographic and endocrine parameters were measured.MAIN RESULTS AND THE ROLE OF CHANCEThe prevalence of PCOS was 16.6% according to the Rotterdam criteria. PCOS prevalence significantly decreased with age from 33.3% in women &amp;lt; 30 years to 14.7% in women aged 30–34 years, and 10.2% in women ≥ 35 years (P &amp;lt; 0.001). In total, 53.5% fulfilled the criterion for polycystic ovaries with a significant age-related decrease from 69.0% in women &amp;lt; 30 years to 55.8% in women aged 30–34 years, and 42.8% in women ≥ 35 years (P &amp;lt; 0.001). AMH or age-adjusted AMH Z-score was found to be a reliable marker of polycystic ovaries in women with PCOS according to the Rotterdam criteria [area under the curve (AUC) 0.994; 95% confidence interval (CI): 0.990–0.999] and AUC 0.992 (95% CI: 0.987–0.998), respectively], and an AMH cut-off value of 18 pmol/l and AMH Z-score of −0.2 showed the best compromise between sensitivity (91.8 and 90.4%, respectively) and specificity (98.1 and 97.9%, respectively). In total, AFC &amp;gt; 19 or AMH &amp;gt; 35 occurred in 17.7 and 23.0%, respectively. The occurrence of AFC &amp;gt; 19 or AMH &amp;gt; 35 in the age groups &amp;lt; 30, 30–34 and ≥ 35 years was 31.0 and 35.7%, 18.8 and 21.3%, and 9.6 and 18.7%, respectively. When replacing the Rotterdam criterion for polycystic ovaries by AFC &amp;gt; 19 or AMH &amp;gt; 35 pmol/l, the prevalence of PCOS was 6.3 or 8.5%, respectively, and in the age groups &amp;lt; 30, 30–34 and ≥ 35 years, the prevalences were 17.9 and 22.6%, 3.6 and 5.6%, and 3.6 and 4.8%, respectively.LIMITATIONS, REASON FOR CAUTIONThe participants of the study were all health-care workers, which may be a source of selection bias. Furthermore, the exclusion of hormonal contraceptive users from the study population may have biased the results, potentially excluding women with symptoms of PCOS.WIDER IMPLICATIONS OF THE FINDINGSAMH may be used as a marker of polycystic ovaries in PCOS. However, future studies are needed to validate AMH threshold levels, and AMH Z-score may be appropriate to adjust for the age-related decline in the AFC.STUDY FUNDING/COMPETING INTEREST(S)None.TRIAL REGISTRATION NUMBERNot applicable.","DOI":"10.1093/humrep/det469","ISSN":"0268-1161","journalAbbreviation":"Hum Reprod","language":"en","author":[{"family":"Lauritsen","given":"M. P."},{"family":"Bentzen","given":"J. G."},{"family":"Pinborg","given":"A."},{"family":"Loft","given":"A."},{"family":"Forman","given":"J. L."},{"family":"Thuesen","given":"L. L."},{"family":"Cohen","given":"A."},{"family":"Hougaard","given":"D. M."},{"family":"Nyboe Andersen","given":"A."}],"issued":{"date-parts":[["2014",4,1]]}},"label":"page"},{"id":635,"uris":["http://zotero.org/users/4133246/items/KRJAC3ZQ"],"uri":["http://zotero.org/users/4133246/items/KRJAC3ZQ"],"itemData":{"id":635,"type":"article-journal","title":"A Simple Screening Approach for Assessing Community Prevalence and Phenotype of Polycystic Ovary Syndrome in a Semiurban Population in Sri Lanka","container-title":"American Journal of Epidemiology","page":"321-328","volume":"168","issue":"3","source":"academic.oup.com","abstract":"In most of South Asia, prevalences and phenotypes of polycystic ovary syndrome (PCOS) among women in the community are unknown. The authors aimed to estimate prevalence and phenotype in a community setting in Sri Lanka and to test a valid, feasible screening approach to early diagnosis. A community-based, cross-sectional study was carried out in 2005–2006. A random sample of 3,030 women aged 15–39 years was selected by cluster sampling proportionate to population size. An interviewer-administered questionnaire was utilized to screen for “probable cases” of PCOS based on menstrual history and clinical manifestations of hyperandrogenism. Selected “probable cases” underwent clinical, biochemical, and ovarian ultrasound assessment. The response rate was 96.2% (n = 2,915). A total of 220 (7.5%) “probable cases” were identified: 209 women with oligo/amenorrhea (95%) and 11 women with hirsutism (5%). Further evaluation of the 220 probable cases confirmed 164 newly diagnosed cases of PCOS based on the 2003 Rotterdam diagnostic criteria. With 19 previously diagnosed cases already present, total prevalence was 6.3% (95% confidence interval: 5.9, 6.8). Of the women with “oligo/amenorrhea and/or hirsutism,” 91.1% were confirmed to have PCOS; 99.4% of women with “regular cycles in the absence of clinical hyperandrogenism” were confirmed as normal. The most common phenotypes of PCOS were oligo/amenorrhea and polycystic ovaries (91.4%) and oligo/amenorrhea and hirsutism (48.3%).","DOI":"10.1093/aje/kwn137","ISSN":"0002-9262","journalAbbreviation":"Am J Epidemiol","language":"en","author":[{"family":"Kumarapeli","given":"V."},{"family":"Seneviratne","given":"R. de A."},{"family":"Wijeyaratne","given":"C. N."},{"family":"Yapa","given":"R. M. S. C."},{"family":"Dodampahala","given":"S. H."}],"issued":{"date-parts":[["2008",8,1]]}},"label":"page"},{"id":633,"uris":["http://zotero.org/users/4133246/items/39TE7ZRS"],"uri":["http://zotero.org/users/4133246/items/39TE7ZRS"],"itemData":{"id":633,"type":"article-journal","title":"Polycystic ovary syndrome in Mexican-Americans: prevalence and association with the severity of insulin resistance","container-title":"Fertility and Sterility","page":"766-769","volume":"84","issue":"3","source":"ScienceDirect","abstract":"In this study, the prevalence of PCOS in Mexican-Americans, derived by self-report of symptoms, was 13%, which is twice the prevalence reported in other populations. Hyperinsulinemic euglycemic clamp studies showed greater insulin resistance in the women with PCOS.","DOI":"10.1016/j.fertnstert.2005.03.051","ISSN":"0015-0282","shortTitle":"Polycystic ovary syndrome in Mexican-Americans","journalAbbreviation":"Fertility and Sterility","author":[{"family":"Goodarzi","given":"Mark O."},{"family":"Quiñones","given":"Manuel J."},{"family":"Azziz","given":"Ricardo"},{"family":"Rotter","given":"Jerome I."},{"family":"Hsueh","given":"Willa A."},{"family":"Yang","given":"Huiying"}],"issued":{"date-parts":[["2005",9,1]]}},"label":"page"},{"id":729,"uris":["http://zotero.org/users/4133246/items/V8DA6XDH"],"uri":["http://zotero.org/users/4133246/items/V8DA6XDH"],"itemData":{"id":729,"type":"article-journal","title":"Polycystic ovaries and associated clinical and biochemical features in young women","container-title":"Clinical Endocrinology","page":"779-786","volume":"51","issue":"6","source":"PubMed","abstract":"OBJECTIVE: To determine the prevalence of polycystic ovaries as identified by ultrasound in a group of young, postmenarcheal women in the normal population, and to investigate how polycystic ovaries are related to the spectrum of clinical and biochemical symptoms associated with the polycystic ovary syndrome (PCOS).\nDESIGN: Cross-sectional observational study.\nSUBJECTS AND METHODS: Volunteers were recruited from two universities and two general practice surgeries in Oxford. 230 women aged 18-25 years participated. Information collected and measurements performed included: a menstrual history, anthropometric measurements, clinical observation of acne and hirsutism, transabdominal pelvic ultrasound, and biochemical analysis of a fasting blood sample.\nMAIN OUTCOME MEASURES: Prevalence of polycystic ovaries and their association with symptoms of the polycystic ovary syndrome.\nRESULTS: Polycystic ovarian morphology was identified in 74 (33%, 95% CI = 27-39%) of the 224 women who attended for an ultrasound scan. In the non-users of hormonal contraception, irregular menstrual cycles were 20% more common in women with polycystic ovaries than in women with normal ovaries (P = 0.07). There were no significant differences in acne, hirsutism, body mass index or body fat percentage between women with polycystic and normal ovaries. Analysis of biochemical data showed that women with polycystic ovaries had higher total serum testosterone concentrations (P = 0.03). The prevalence of PCOS in this age group was as low as 8% or as high as 26% depending on which criteria were applied to define the syndrome. Sub-group analyses of women according to ovarian morphology and features of PCOS revealed greater mean BMI in women with PCOS, and also indicated lower fasting insulin concentrations and greater insulin sensitivity in polycystic ovary and PCOS groups when compared to women with normal ovaries.\nCONCLUSIONS: Polycystic ovaries are very common in this age group but are not necessarily associated with other symptomatology. The prevalence of polycystic ovary syndrome varies widely according to the definition applied. Sub-group analysis of women with polycystic ovaries according to the presence or absence of features of polycystic ovary syndrome does not reveal an increasing trend for progression of endocrine abnormalities usually associated with polycystic ovary syndrome.","ISSN":"0300-0664","note":"PMID: 10619984","journalAbbreviation":"Clin. Endocrinol. (Oxf)","language":"eng","author":[{"family":"Michelmore","given":"K. F."},{"family":"Balen","given":"A. H."},{"family":"Dunger","given":"D. B."},{"family":"Vessey","given":"M. P."}],"issued":{"date-parts":[["1999",12]]}},"label":"page"},{"id":667,"uris":["http://zotero.org/users/4133246/items/8GSHIUTX"],"uri":["http://zotero.org/users/4133246/items/8GSHIUTX"],"itemData":{"id":667,"type":"article-journal","title":"Characteristics of abnormal menstrual cycle and polycystic ovary syndrome in community and hospital populations","container-title":"Chinese Medical Journal","page":"2185-2189","volume":"123","issue":"16","source":"Scopus","archive":"Scopus","abstract":"Background: Polycystic ovary syndrome (PCOS) is considered to be the most common endocrine disorder in women of reproductive age. The involvement of an abnormal menstrual cycle in the etiology of PCOS remains unclear. We aimed to analyze the characteristics of abnormal menstrual cycles and their association with PCOS in community and hospital patient populations. Methods: Women with PCOS identified from 2111 permanent female residents in the community of Beijing and 506 outpatients obtained from the reproductive clinic of Peking University Third Hospital were recruited for this study, comprising the PCOS community group and the PCOS hospital group, respectively. Each group was further divided into four subgroups according to the length of menstrual cycles: &lt;21 days; 21-34 days; 35-60 days; and &gt;60 days. Women in each group were interviewed using a questionnaire to assess factors including age, age of menarche, menstrual cycle history, related family history, and modified Ferriman-Gallwey (mF-G) score. All women received transvaginal ultrasound scan and had fasting blood samples taken for endocrine evaluation. A two-tailed P value of &lt;0.05 was considered significant. Results: In the community population, the prevalence of abnormal menstrual cycle was 27.19% (574/2111). The prevalence of PCOS in the community was 6.11% (129/2111) according to Rotterdam criteria. In the community group, the most common menstrual cycle length was 35-60 days, whereas for the hospital group, it was &gt;60 days. In both the community and hospital groups, the most common phenotype of PCOS was that of Oligo/amenorrhea+PCO+ hyperandrogenism (HA) (O+P+H) (P=0.000). With increasing cycle length of 35-60 days to &gt;60 days, the percentages of Oligo/amenorrhea+PCO (O+P) and O+P+H were found to significantly decrease in the community group and significantly increase in the hospital group (P=0.000 for each). In the hospital group, as the menstrual cycle length increased from 35-60 days to &gt;60 days, the rate of spontaneous abortion increased significantly (P=0.000), meanwhile the rate of poorly-secreted endometrium and abnormal endometrial hyperplasia increased significantly (P=0.000). Conclusions: The prevalence of PCOS in the Beijing community of women was 6.11%. Oligo/amenorrhea was the most common type of abnormal menstrual cycle and may be an indicator for PCOS and endometrial lesions. Gynecologists should seek relevant medical information from women in the community to promptly diagnose PCOS and then follow up patients for potential development of subsequent complications.","DOI":"10.3760/cma.j.issn.0366-6999.2010.16.005","author":[{"family":"Ma","given":"Y.-M."},{"family":"Li","given":"R."},{"family":"Qiao","given":"J."},{"family":"Zhang","given":"X.-W."},{"family":"Wang","given":"S.-Y."},{"family":"Zhang","given":"Q.-F."},{"family":"Li","given":"L."},{"family":"Tu","given":"B.-B."},{"family":"Zhang","given":"X."}],"issued":{"date-parts":[["2010"]]}},"label":"page"},{"id":625,"uris":["http://zotero.org/users/4133246/items/GAPKWM4C"],"uri":["http://zotero.org/users/4133246/items/GAPKWM4C"],"itemData":{"id":625,"type":"article-journal","title":"Characteristics of different phenotypes of polycystic ovary syndrome based on the Rotterdam criteria in a large-scale Chinese population","container-title":"BJOG: an international journal of obstetrics and gynaecology","page":"1633-1639","volume":"116","issue":"12","source":"PubMed","abstract":"OBJECTIVE: To analyse the phenotypic spectrum of polycystic ovary syndrome (PCOS) and determine the association between metabolic, hormonal and new ultrasonographic criteria.\nDESIGN: Clinical cross-sectional study.\nSETTING: University teaching hospital.\nPOPULATION: A total of 804 Chinese women, among whom 719 cases were diagnosed as PCOS based on the 2003 Rotterdam criteria. Eighty-five women with regular menstrual cycles and without hyperandrogenism were recruited as controls.\nMETHODS: PCOS patients were divided into four subgroups: (i) oligo- and/or anovulation (O), hyperandrogenism (H), and polycystic ovary morphology (P); (ii) O + H; (iii) H + P; and (iv) O + P.\nMAIN OUTCOME MEASUREMENTS: Clinical history, ultrasonographic (ovarian follicle number and volume), hormonal and metabolic parameters.\nRESULTS: The composition of the two new phenotypes created by the European Society for Human Reproduction and Embryology/The American Society for Reproductive Medicine (ESHRE/ASRM) 2003 was 65.6% (O + P and H + P). BMI and F-G scores were highest in the O + H + P group and lowest in O + P and controls. Serum testosterone concentrations and insulin resistance were highest in cases with O + H + P and O + H, intermediate in cases with H + P, and lowest in cases with O + P and controls. The prevalence of metabolic syndrome in the five groups was 28.5% (O + H + P), 25.5% (O + H), 8.3% (H + P), 7.2% (O + P) and 3.5% (controls), respectively.\nCONCLUSIONS: Nonclassic phenotypes for PCOS (O + P, H + P and O + H + P) were more frequent than the classic phenotype (O + H). The nonhyperandrogenic PCOS phenotype (O + P), one of the new phenotypes created by the Rotterdam criteria, may represent a form of PCOS associated with milder metabolic profile compared with the other phenotypes.","DOI":"10.1111/j.1471-0528.2009.02347.x","ISSN":"1471-0528","note":"PMID: 19781047","journalAbbreviation":"BJOG","language":"eng","author":[{"family":"Zhang","given":"H. Y."},{"family":"Zhu","given":"F. F."},{"family":"Xiong","given":"J."},{"family":"Shi","given":"X. B."},{"family":"Fu","given":"S. X."}],"issued":{"date-parts":[["2009",11]]}},"label":"page"},{"id":724,"uris":["http://zotero.org/users/4133246/items/2SUQ2JF9"],"uri":["http://zotero.org/users/4133246/items/2SUQ2JF9"],"itemData":{"id":724,"type":"article-journal","title":"A prospective study of the prevalence of the polycystic ovary syndrome in unselected Caucasian women from Spain","container-title":"Journal of Clinical Endocrinology and Metabolism","page":"2434-2438","volume":"85","issue":"7","source":"Scopus","archive":"Scopus","abstract":"We prospectively estimated the prevalence of the polycystic ovary syndrome (PCOS), as defined by the NIH/NICHHD 1990 endocrine criteria, in a population of 154 Caucasian women of reproductive age reporting spontaneously for blood donation. Anthropometric data; the presence of hirsutism, acne, and androgenic alopecia; and the menstrual history were recorded by a single investigator. In 145 women, blood samples were also obtained for measurement of serum androgen levels. PCOS was defined by the presence of 1) oligomenorrhea, 2) clinical and/or biochemical hyperandrogenism, and 3) exclusion of hyperprolactinemia, thyroid disorders, and nonclassic 21-hydroxylase deficiency. Hirsutism was defined by a modified Ferriman-Gallwey score of 8 or more, acne was considered as a sign of hyperandrogenism when persistent after the second decade of life, and hyperandrogenemia was defined by an increase in circulating testosterone or dehydroepiandrosterone sulfate or an increase in the free androgen index above the 95th percentile of the control values derived from the nonhirsute, nonacneic women having regular menses who were not receiving hormonal therapy. PCOS was present in 10 (6.5%), hirsutism was present in 11 (7.1%), and acne was present in 19 (12.3%) of the 154 women. Our results demonstrate a 6.5% prevalence of PCOS, as defined, in a minimally biased population of Caucasian women from Spain. The polycystic ovary syndrome, hirsutism, and acne are common endocrine disorders in women.","DOI":"10.1210/jc.85.7.2434","author":[{"family":"Asunción","given":"M."},{"family":"Calvo","given":"R.M."},{"family":"San","given":"Millá N"},{"family":"Sancho","given":"J."},{"family":"Avila","given":"S."},{"family":"Escobar-Morreale","given":"H.F."}],"issued":{"date-parts":[["2000"]]}},"label":"page"}],"schema":"https://github.com/citation-style-language/schema/raw/master/csl-citation.json"}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2,3,1</w:t>
      </w:r>
      <w:r w:rsidR="0029199D"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vertAlign w:val="superscript"/>
        </w:rPr>
        <w:t>–</w:t>
      </w:r>
      <w:r w:rsidR="0029199D" w:rsidRPr="008C51C9">
        <w:rPr>
          <w:rFonts w:ascii="Times New Roman" w:hAnsi="Times New Roman" w:cs="Times New Roman"/>
          <w:sz w:val="24"/>
          <w:szCs w:val="24"/>
          <w:vertAlign w:val="superscript"/>
        </w:rPr>
        <w:t>1</w:t>
      </w:r>
      <w:r w:rsidR="00F362D3" w:rsidRPr="008C51C9">
        <w:rPr>
          <w:rFonts w:ascii="Times New Roman" w:hAnsi="Times New Roman" w:cs="Times New Roman"/>
          <w:sz w:val="24"/>
          <w:szCs w:val="24"/>
          <w:vertAlign w:val="superscript"/>
        </w:rPr>
        <w:t>7</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prevalence of PCOS in adult women worldwide ranges from 4% to 21%; the prevalence rate varied depending on the study population</w:t>
      </w:r>
      <w:r w:rsidR="001B6345" w:rsidRPr="008C51C9">
        <w:rPr>
          <w:rFonts w:ascii="Times New Roman" w:hAnsi="Times New Roman" w:cs="Times New Roman"/>
          <w:sz w:val="24"/>
          <w:szCs w:val="24"/>
        </w:rPr>
        <w:t xml:space="preserve"> and</w:t>
      </w:r>
      <w:r w:rsidRPr="008C51C9">
        <w:rPr>
          <w:rFonts w:ascii="Times New Roman" w:hAnsi="Times New Roman" w:cs="Times New Roman"/>
          <w:sz w:val="24"/>
          <w:szCs w:val="24"/>
        </w:rPr>
        <w:t xml:space="preserve"> diagnostic criteria used.</w:t>
      </w:r>
    </w:p>
    <w:p w14:paraId="47955DC9" w14:textId="77777777"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The economic burden of PCOS is significantly huge. Around 4 billion dollars are spent annually in the United States whereas </w:t>
      </w:r>
      <w:r w:rsidR="00DA2FAD" w:rsidRPr="008C51C9">
        <w:rPr>
          <w:rFonts w:ascii="Times New Roman" w:hAnsi="Times New Roman" w:cs="Times New Roman"/>
          <w:sz w:val="24"/>
          <w:szCs w:val="24"/>
        </w:rPr>
        <w:t>t</w:t>
      </w:r>
      <w:r w:rsidRPr="008C51C9">
        <w:rPr>
          <w:rFonts w:ascii="Times New Roman" w:hAnsi="Times New Roman" w:cs="Times New Roman"/>
          <w:sz w:val="24"/>
          <w:szCs w:val="24"/>
        </w:rPr>
        <w:t xml:space="preserve">he Australian </w:t>
      </w:r>
      <w:r w:rsidR="00640B9F" w:rsidRPr="008C51C9">
        <w:rPr>
          <w:rFonts w:ascii="Times New Roman" w:hAnsi="Times New Roman" w:cs="Times New Roman"/>
          <w:sz w:val="24"/>
          <w:szCs w:val="24"/>
        </w:rPr>
        <w:t>h</w:t>
      </w:r>
      <w:r w:rsidRPr="008C51C9">
        <w:rPr>
          <w:rFonts w:ascii="Times New Roman" w:hAnsi="Times New Roman" w:cs="Times New Roman"/>
          <w:sz w:val="24"/>
          <w:szCs w:val="24"/>
        </w:rPr>
        <w:t xml:space="preserve">ealth </w:t>
      </w:r>
      <w:r w:rsidR="00640B9F" w:rsidRPr="008C51C9">
        <w:rPr>
          <w:rFonts w:ascii="Times New Roman" w:hAnsi="Times New Roman" w:cs="Times New Roman"/>
          <w:sz w:val="24"/>
          <w:szCs w:val="24"/>
        </w:rPr>
        <w:t>s</w:t>
      </w:r>
      <w:r w:rsidRPr="008C51C9">
        <w:rPr>
          <w:rFonts w:ascii="Times New Roman" w:hAnsi="Times New Roman" w:cs="Times New Roman"/>
          <w:sz w:val="24"/>
          <w:szCs w:val="24"/>
        </w:rPr>
        <w:t>ystem spends more than 800 million dollars every year to screen for the disease and treat its various morbidities, including hirsutism</w:t>
      </w:r>
      <w:r w:rsidR="009551E4" w:rsidRPr="008C51C9">
        <w:rPr>
          <w:rFonts w:ascii="Times New Roman" w:hAnsi="Times New Roman" w:cs="Times New Roman"/>
          <w:sz w:val="24"/>
          <w:szCs w:val="24"/>
        </w:rPr>
        <w:t xml:space="preserve"> (means abnormal growth of hair on a woman’s face and body)</w:t>
      </w:r>
      <w:r w:rsidRPr="008C51C9">
        <w:rPr>
          <w:rFonts w:ascii="Times New Roman" w:hAnsi="Times New Roman" w:cs="Times New Roman"/>
          <w:sz w:val="24"/>
          <w:szCs w:val="24"/>
        </w:rPr>
        <w:t>, infertility, and diabetes mellitus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{"citationID":"Uyvy8Qk3","properties":{"formattedCitation":"{\\rtf \\super 33\\nosupersub{}}","plainCitation":"33"},"citationItems":[{"id":479,"uris":["http://zotero.org/users/4133246/items/7E4VKB9C"],"uri":["http://zotero.org/users/4133246/items/7E4VKB9C"],"itemData":{"id":479,"type":"article-journal","title":"Health care-related economic burden of the polycystic ovary syndrome during the reproductive life span","container-title":"The Journal of Clinical Endocrinology and Metabolism","page":"4650-4658","volume":"90","issue":"8","source":"PubMed","abstract":"CONTEXT: The polycystic ovary syndrome (PCOS) is the most common endocrine abnormality of reproductive-aged women today, affecting approximately 6.6% of unselected reproductive-aged women (approximately 4 million women in the United States) (1990 National Institutes of Health criteria), and potentially represents a significant financial burden to our health care.\nOBJECTIVE: The objective of the study was to define, using current definitions and prevalence or incidence data, the minimal economic burden that PCOS in reproductive-aged women represents for the United States.\nDESIGN: The study design was a literature review.\nSETTING: The study was conducted at a tertiary care center.\nPATIENTS OR OTHER PARTICIPANTS: There were no patients or other participants.\nINTERVENTION(S): We performed a systematic review of the published medical literature to identify studies evaluating epidemiology of reproductive-age PCOS and its clinical consequences and costs. We tied general societal cost data for the different health consequences to reproductive-age PCOS costs, using prevalence data.\nMAIN OUTCOME MEASURE(S): The main measure in the study was total health care-related economic costs.\nRESULTS: We estimated the mean annual cost of the initial evaluation to be dollar 93 million (2.1% of total costs), that of hormonally treating menstrual dysfunction/abnormal uterine bleeding to be dollar 1.35 billion (31.0% of total), that of providing infertility care to be dollar 533 million (12.2% of total), that of PCOS-associated diabetes to be dollar 1.77 billion (40.5% of total), and that of treating hirsutism to be dollar 622 million (14.2% of total).\nCONCLUSIONS: The total cost of evaluating and providing care to reproductive-aged PCOS women in the United States is dollar 4.36 billion. Because the cost of the diagnostic evaluation accounted for a relatively minor part of the total costs (approximately 2%), more widespread and liberal screening for the disorder appears be a cost-effective strategy, leading to earlier diagnosis and intervention and possibly the amelioration and prevention of serious sequelae.","DOI":"10.1210/jc.2005-0628","ISSN":"0021-972X","note":"PMID: 15944216","journalAbbreviation":"J. Clin. Endocrinol. Metab.","language":"eng","author":[{"family":"Azziz","given":"Ricardo"},{"family":"Marin","given":"Catherine"},{"family":"Hoq","given":"Lalima"},{"family":"Badamgarav","given":"Enkhe"},{"family":"Song","given":"Paul"}],"issued":{"date-parts":[["2005",8]]}}}],"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18</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Pati</w:t>
      </w:r>
      <w:r w:rsidR="001B6345" w:rsidRPr="008C51C9">
        <w:rPr>
          <w:rFonts w:ascii="Times New Roman" w:hAnsi="Times New Roman" w:cs="Times New Roman"/>
          <w:sz w:val="24"/>
          <w:szCs w:val="24"/>
        </w:rPr>
        <w:t>ents</w:t>
      </w:r>
      <w:r w:rsidRPr="008C51C9">
        <w:rPr>
          <w:rFonts w:ascii="Times New Roman" w:hAnsi="Times New Roman" w:cs="Times New Roman"/>
          <w:sz w:val="24"/>
          <w:szCs w:val="24"/>
        </w:rPr>
        <w:t xml:space="preserve"> with PCOS are twice more likely to be admitted to hospital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{"citationID":"V8jjX08t","properties":{"formattedCitation":"{\\rtf \\super 34\\nosupersub{}}","plainCitation":"34"},"citationItems":[{"id":481,"uris":["http://zotero.org/users/4133246/items/PRQ7SXA5"],"uri":["http://zotero.org/users/4133246/items/PRQ7SXA5"],"itemData":{"id":481,"type":"article-journal","title":"The potential implications of a PCOS diagnosis on a woman's long-term health using data linkage","container-title":"The Journal of Clinical Endocrinology and Metabolism","page":"911-919","volume":"100","issue":"3","source":"PubMed","abstract":"CONTEXT: The polycystic ovary syndrome (PCOS) is the commonest endocrine abnormality in women of reproductive age.\nOBJECTIVE: To determine the rate of hospital admissions for women with PCOS in Western Australian population in comparison to women without PCOS.\nDESIGN: A population-based retrospective cohort study using data linkage in a statewide hospital morbidity database system.\nSETTING: All hospitals within Western Australia.\nPARTICIPANTS: A total of 2566 women with PCOS hospitalized from 1997-2011 and 25 660 randomly selected age-matched women without a PCOS diagnosis derived from the electoral roll.\nMAIN OUTCOME MEASURES: Hospitalizations by ICD-10-M diagnoses from 15 years were compared.\nRESULTS: Hospitalizations were followed until a median age of 35.8 years (interquartile range, 31.0-39.9). PCOS was associated with more nonobstetric and non-injury-related hospital admissions (median, 5 vs 2; P &lt; .001), a diagnosis of adult-onset diabetes (12.5 vs 3.8%), obesity (16.0 vs 3.7%), hypertensive disorder (3.8 vs 0.7%), ischemic heart disease (0.8 vs 0.2%), cerebrovascular disease (0.6 vs 0.2%), arterial and venous disease (0.5 vs 0.2% and 10.4 vs 5.6%, respectively), asthma (10.6 vs 4.5%), stress/anxiety (14.0 vs 5.9%), depression (9.8 vs 4.3%), licit/illicit drug-related admissions (8.8 vs 4.5%), self-harm (7.2 vs 2.9%), land transport accidents (5.2 vs 3.8%), and mortality (0.7 vs 0.4%) (all P &lt; .001). Women with PCOS had a higher rate of admissions for menorrhagia (14.1 vs 3.6%), treatment of infertility (40.9 vs 4.6%), and miscarriage (11.1 vs 6.1%) and were more likely to require in vitro fertilization (17.2 vs 2.0%).\nCONCLUSION: PCOS has profound medical implications for the health of women, and health care resources should be directed accordingly.","DOI":"10.1210/jc.2014-3886","ISSN":"1945-7197","note":"PMID: 25532045","journalAbbreviation":"J. Clin. Endocrinol. Metab.","language":"eng","author":[{"family":"Hart","given":"Roger"},{"family":"Doherty","given":"Dorota A."}],"issued":{"date-parts":[["2015",3]]}}}],"schema":"https://github.com/citation-style-language/schema/raw/master/csl-citation.json"}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19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483BC65B" w14:textId="77777777" w:rsidR="00DB5128" w:rsidRPr="008C51C9" w:rsidRDefault="00DB5128" w:rsidP="00E45B54">
      <w:pPr>
        <w:jc w:val="both"/>
        <w:rPr>
          <w:rFonts w:ascii="Times New Roman" w:hAnsi="Times New Roman" w:cs="Times New Roman"/>
          <w:sz w:val="24"/>
          <w:szCs w:val="24"/>
        </w:rPr>
      </w:pPr>
      <w:r w:rsidRPr="008C51C9">
        <w:rPr>
          <w:rFonts w:ascii="Times New Roman" w:hAnsi="Times New Roman" w:cs="Times New Roman"/>
          <w:sz w:val="24"/>
          <w:szCs w:val="24"/>
        </w:rPr>
        <w:t>Although the aetiology of PCOS is not completely understood yet, PCOS is considered a multifactorial disorder influenced by various genetic, metabolic, endocrine and environmental factors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{"citationID":"rn5wtyJx","properties":{"formattedCitation":"{\\rtf \\super 35,36\\nosupersub{}}","plainCitation":"35,36"},"citationItems":[{"id":752,"uris":["http://zotero.org/users/4133246/items/AB9XEBDU"],"uri":["http://zotero.org/users/4133246/items/AB9XEBDU"],"itemData":{"id":752,"type":"article-journal","title":"Development of polycystic ovary syndrome: involvement of genetic and environmental factors","container-title":"International Journal of Andrology","page":"278-285; discussion 286-290","volume":"29","issue":"1","source":"PubMed","abstract":"We have recently proposed that polycystic ovary syndrome (PCOS) has its origin in fetal life. This hypothesis is based on data from animal models (rhesus monkey or sheep that have been exposed prenatally to high doses of androgen) and is supported by clinical studies. It is suggested that, in human females, exposure to excess androgen, at any stage from fetal development of the ovary to the onset of puberty, leads to many of the characteristic features of PCOS, including abnormalities of luteinizing hormone secretion and insulin resistance. It is likely that, in humans with PCOS, the development of the PCOS phenotype results primarily from a genetic predisposition for the fetal ovary to hypersecrete androgen. At present, it is unclear whether the maternal environment directly influences the development of PCOS in the offspring. Maternal androgen excess is unlikely to affect the fetus, because the placenta presents an effective barrier, but metabolic disturbances during pregnancy could affect development of the syndrome in the fetus. In postnatal life, the natural history of PCOS can be further modified by factors affecting insulin secretion and/or action, most importantly, nutrition. We now have evidence for a disorder of early follicular development in the polycystic ovary that is consistent with an increased population of primordial follicles in the fetal ovary. It remains to be determined whether this phenomenon is the cause or the effect of increased exposure to androgen within the ovary. PCOS is the commonest endocrine disorder in women. It is not only a very prevalent cause of anovulatory infertility, menstrual disturbances and hirsutism, but it is also a major risk factor for the development of type 2 diabetes mellitus in later life. The aetiology of the syndrome remains uncertain but there is increasing evidence for a genetic basis. PCOS very often becomes clinically manifest during adolescence with maturation of the hypothalamic-pituitary-ovarian axis but the genesis of the syndrome may be during very early development - perhaps even in utero. In this review, this hypothesis is explored in the light of clinical, biochemical and genetic research.","DOI":"10.1111/j.1365-2605.2005.00623.x","ISSN":"0105-6263","note":"PMID: 16390494","shortTitle":"Development of polycystic ovary syndrome","journalAbbreviation":"Int. J. Androl.","language":"eng","author":[{"family":"Franks","given":"Stephen"},{"family":"McCarthy","given":"Mark I."},{"family":"Hardy","given":"Kate"}],"issued":{"date-parts":[["2006",2]]}},"label":"page"},{"id":731,"uris":["http://zotero.org/users/4133246/items/CRHM5ZD5"],"uri":["http://zotero.org/users/4133246/items/CRHM5ZD5"],"itemData":{"id":731,"type":"article-journal","title":"Polycystic ovary syndrome: a complex condition with psychological, reproductive and metabolic manifestations that impacts on health across the lifespan","container-title":"BMC medicine","page":"41","volume":"8","source":"PubMed","abstract":"Polycystic ovary syndrome (PCOS) is of clinical and public health importance as it is very common, affecting up to one in five women of reproductive age. It has significant and diverse clinical implications including reproductive (infertility, hyperandrogenism, hirsutism), metabolic (insulin resistance, impaired glucose tolerance, type 2 diabetes mellitus, adverse cardiovascular risk profiles) and psychological features (increased anxiety, depression and worsened quality of life). Polycystic ovary syndrome is a heterogeneous condition and, as such, clinical and research agendas are broad and involve many disciplines. The phenotype varies widely depending on life stage, genotype, ethnicity and environmental factors including lifestyle and bodyweight. Importantly, PCOS has unique interactions with the ever increasing obesity prevalence worldwide as obesity-induced insulin resistance significantly exacerbates all the features of PCOS. Furthermore, it has clinical implications across the lifespan and is relevant to related family members with an increased risk for metabolic conditions reported in first-degree relatives. Therapy should focus on both the short and long-term reproductive, metabolic and psychological features. Given the aetiological role of insulin resistance and the impact of obesity on both hyperinsulinaemia and hyperandrogenism, multidisciplinary lifestyle improvement aimed at normalising insulin resistance, improving androgen status and aiding weight management is recognised as a crucial initial treatment strategy. Modest weight loss of 5% to 10% of initial body weight has been demonstrated to improve many of the features of PCOS. Management should focus on support, education, addressing psychological factors and strongly emphasising healthy lifestyle with targeted medical therapy as required. Monitoring and management of long-term metabolic complications is also an important part of routine clinical care. Comprehensive evidence-based guidelines are needed to aid early diagnosis, appropriate investigation, regular screening and treatment of this common condition. Whilst reproductive features of PCOS are well recognised and are covered here, this review focuses primarily on the less appreciated cardiometabolic and psychological features of PCOS.","DOI":"10.1186/1741-7015-8-41","ISSN":"1741-7015","note":"PMID: 20591140\nPMCID: PMC2909929","shortTitle":"Polycystic ovary syndrome","journalAbbreviation":"BMC Med","language":"eng","author":[{"family":"Teede","given":"H."},{"family":"Deeks","given":"A."},{"family":"Moran","given":"L."}],"issued":{"date-parts":[["2010",6,30]]}},"label":"page"}],"schema":"https://github.com/citation-style-language/schema/raw/master/csl-citation.json"}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Similar to its aetiology, it is likely that pathophysiology of PCOS is multifaceted involving hormonal imbalance, ovarian dysfunction, aberrant insulin signalling, excessive oxidative stress and genetic/environmental factors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{"citationID":"wLmXBcTT","properties":{"formattedCitation":"{\\rtf \\super 4\\uc0\\u8211{}6,54\\nosupersub{}}","plainCitation":"4–6,54"},"citationItems":[{"id":435,"uris":["http://zotero.org/users/4133246/items/J38CGVTZ"],"uri":["http://zotero.org/users/4133246/items/J38CGVTZ"],"itemData":{"id":435,"type":"book","title":"The Polycystic Ovary Syndrome: Current Concepts on Pathogenesis and Clinical Care","publisher":"Springer Science &amp; Business Media","number-of-pages":"140","source":"Google Books","abstract":"Polycystic ovary syndrome (PCOS) is a classic female infertility problem affecting an estimated 6-10% of all women and many of whom are unaware of the problem. PCOS is the single most common endrocrinologic abnormality that affects women. It is a disease that affects women from adolescence to menopause. Patients with PCOS are seen by a variety of specialists, including: reproductive, medical and pediatric endocrinologists; general internists, and dermatologists. This book is an edited collection from diagnosis and epidemiology of PCOS to clinical evaluation. There are additional factors that complicate this disease, such as insulin levels and obesity. Women with PCOS are known to be at a high risk for type 2 diabetes.","ISBN":"978-0-387-69248-7","note":"Google-Books-ID: 242bPI5OWCQC","shortTitle":"The Polycystic Ovary Syndrome","language":"en","author":[{"family":"Azziz","given":"Ricardo"}],"issued":{"date-parts":[["2007",7,3]]}},"label":"page"},{"id":425,"uris":["http://zotero.org/users/4133246/items/X37QXT4P"],"uri":["http://zotero.org/users/4133246/items/X37QXT4P"],"itemData":{"id":425,"type":"article-journal","title":"Poly Cystic Ovarian Syndrome: An Updated Overview","container-title":"Frontiers in Physiology","volume":"7","source":"PubMed Central","abstract":"Poly Cystic Ovarian Syndrome (PCOS) is one of the most common metabolic and reproductive disorders among women of reproductive age. Women suffering from PCOS present with a constellation of symptoms associated with menstrual dysfunction and androgen excess, which significantly impacts their quality of life. They may be at increased risk of multiple morbidities, including obesity, insulin resistance, type II diabetes mellitus, cardiovascular disease (CVD), infertility, cancer, and psychological disorders. This review summarizes what the literature has so far provided from guidelines to diagnosis of PCOS. It will also present a general overview about the morbidities associated with this disease, specifically with its more severe classic form. Finally, the review will stress on the various aspects of treatment and screening recommendations currently used in the management of this condition.","URL":"https://www.ncbi.nlm.nih.gov/pmc/articles/PMC4820451/","DOI":"10.3389/fphys.2016.00124","ISSN":"1664-042X","note":"PMID: 27092084\nPMCID: PMC4820451","shortTitle":"Poly Cystic Ovarian Syndrome","journalAbbreviation":"Front Physiol","author":[{"family":"El Hayek","given":"Samer"},{"family":"Bitar","given":"Lynn"},{"family":"Hamdar","given":"Layal H."},{"family":"Mirza","given":"Fadi G."},{"family":"Daoud","given":"Georges"}],"issued":{"date-parts":[["2016",4,5]]}},"label":"page"},{"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430,"uris":["http://zotero.org/users/4133246/items/QKM8MJPS"],"uri":["http://zotero.org/users/4133246/items/QKM8MJPS"],"itemData":{"id":430,"type":"article-journal","title":"Epidemiology, diagnosis, and management of polycystic ovary syndrome","container-title":"Clinical Epidemiology","page":"1-13","volume":"6","source":"PubMed Central","abstract":"Polycystic ovary syndrome (PCOS) is a common heterogeneous endocrine disorder characterized by irregular menses, hyperandrogenism, and polycystic ovaries. The prevalence of PCOS varies depending on which criteria are used to make the diagnosis, but is as high as 15%–20% when the European Society for Human Reproduction and Embryology/American Society for Reproductive Medicine criteria are used. Clinical manifestations include oligomenorrhea or amenorrhea, hirsutism, and frequently infertility. Risk factors for PCOS in adults includes type 1 diabetes, type 2 diabetes, and gestational diabetes. Insulin resistance affects 50%–70% of women with PCOS leading to a number of comorbidities including metabolic syndrome, hypertension, dyslipidemia, glucose intolerance, and diabetes. Studies show that women with PCOS are more likely to have increased coronary artery calcium scores and increased carotid intima-media thickness. Mental health disorders including depression, anxiety, bipolar disorder and binge eating disorder also occur more frequently in women with PCOS. Weight loss improves menstrual irregularities, symptoms of androgen excess, and infertility. Management of clinical manifestations of PCOS includes oral contraceptives for menstrual irregularities and hirsutism. Spironolactone and finasteride are used to treat symptoms of androgen excess. Treatment options for infertility include clomiphene, laparoscopic ovarian drilling, gonadotropins, and assisted reproductive technology. Recent data suggest that letrozole and metformin may play an important role in ovulation induction. Proper diagnosis and management of PCOS is essential to address patient concerns but also to prevent future metabolic, endocrine, psychiatric, and cardiovascular complications.","DOI":"10.2147/CLEP.S37559","ISSN":"1179-1349","note":"PMID: 24379699\nPMCID: PMC3872139","journalAbbreviation":"Clin Epidemiol","author":[{"family":"Sirmans","given":"Susan M"},{"family":"Pate","given":"Kristen A"}],"issued":{"date-parts":[["2013",12,18]]}},"label":"page"}],"schema":"https://github.com/citation-style-language/schema/raw/master/csl-citation.json"}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4–6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Hyperandrogenemia or increase in androgen is the most typical hormonal alteration of PCOS; it causes premature atresia of ovarian follicles, forming multiple cysts and anovulation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{"citationID":"1ta2sjjhu3","properties":{"formattedCitation":"{\\rtf \\super 6,54,55\\nosupersub{}}","plainCitation":"6,54,55"},"citationItems":[{"id":437,"uris":["http://zotero.org/users/4133246/items/82FEFM7H"],"uri":["http://zotero.org/users/4133246/items/82FEFM7H"],"itemData":{"id":437,"type":"article-journal","title":"Genetic, hormonal and metabolic aspects of PCOS: an update","container-title":"Reproductive Biology and Endocrinology","page":"38","volume":"14","issue":"1","source":"rbej.biomedcentral.com","abstract":"Polycystic ovary syndrome (PCOS) is a complex endocrine disorder affecting 5–10 % of women of reproductive age. It generally manifests with oligo/anovulatory cycles, hirsutism and polycystic ovaries, together with a considerable prevalence of insulin resistance. Although the aetiology of the syndrome is not completely understood yet, PCOS is considered a multifactorial disorder with various genetic, endocrine and environmental abnormalities. Moreover, PCOS patients have a higher risk of metabolic and cardiovascular diseases and their related morbidity, if compared to the general population.","DOI":"10.1186/s12958-016-0173-x","ISSN":"1477-7827","shortTitle":"Genetic, hormonal and metabolic aspects of PCOS","language":"En","author":[{"family":"Leo","given":"V. De"},{"family":"Musacchio","given":"M. C."},{"family":"Cappelli","given":"V."},{"family":"Massaro","given":"M. G."},{"family":"Morgante","given":"G."},{"family":"Petraglia","given":"F."}],"issued":{"date-parts":[["2016",12]]}},"label":"page"},{"id":435,"uris":["http://zotero.org/users/4133246/items/J38CGVTZ"],"uri":["http://zotero.org/users/4133246/items/J38CGVTZ"],"itemData":{"id":435,"type":"book","title":"The Polycystic Ovary Syndrome: Current Concepts on Pathogenesis and Clinical Care","publisher":"Springer Science &amp; Business Media","number-of-pages":"140","source":"Google Books","abstract":"Polycystic ovary syndrome (PCOS) is a classic female infertility problem affecting an estimated 6-10% of all women and many of whom are unaware of the problem. PCOS is the single most common endrocrinologic abnormality that affects women. It is a disease that affects women from adolescence to menopause. Patients with PCOS are seen by a variety of specialists, including: reproductive, medical and pediatric endocrinologists; general internists, and dermatologists. This book is an edited collection from diagnosis and epidemiology of PCOS to clinical evaluation. There are additional factors that complicate this disease, such as insulin levels and obesity. Women with PCOS are known to be at a high risk for type 2 diabetes.","ISBN":"978-0-387-69248-7","note":"Google-Books-ID: 242bPI5OWCQC","shortTitle":"The Polycystic Ovary Syndrome","language":"en","author":[{"family":"Azziz","given":"Ricardo"}],"issued":{"date-parts":[["2007",7,3]]}},"label":"page"},{"id":499,"uris":["http://zotero.org/users/4133246/items/NG8IDXCR"],"uri":["http://zotero.org/users/4133246/items/NG8IDXCR"],"itemData":{"id":499,"type":"article-journal","title":"The Androgen Excess and PCOS Society criteria for the polycystic ovary syndrome: the complete task force report","container-title":"Fertility and Sterility","page":"456-488","volume":"91","issue":"2","source":"PubMed","abstract":"OBJECTIVE: To review all available data and recommend a definition for polycystic ovary syndrome (PCOS) based on published peer-reviewed data, whether already in use or not, to guide clinical diagnosis and future research.\nDESIGN: Literature review and expert consensus.\nSETTING: Professional society.\nPATIENTS: None.\nINTERVENTION(S): None.\nMAIN OUTCOME MEASURE(S): A systematic review of the published peer-reviewed medical literature, by querying MEDLINE databases, to identify studies evaluating the epidemiology or phenotypic aspects of PCOS.\nRESULT(S): The Task Force drafted the initial report, following a consensus process via electronic communication, which was then reviewed and critiqued by the Androgen Excess and PCOS (AE-PCOS) Society AE-PCOS Board of Directors. No section was finalized until all members were satisfied with the contents, and minority opinions noted. Statements were not included that were not supported by peer-reviewed evidence.\nCONCLUSION(S): Based on the available data, it is the view of the AE-PCOS Society Task Force that PCOS should be defined by the presence of hyperandrogenism (clinical and/or biochemical), ovarian dysfunction (oligo-anovulation and/or polycystic ovaries), and the exclusion of related disorders. However, a minority considered the possibility that there may be forms of PCOS without overt evidence of hyperandrogenism, but recognized that more data are required before validating this supposition. Finally, the Task Force recognized and fully expects that the definition of this syndrome will evolve over time to incorporate new research findings.","DOI":"10.1016/j.fertnstert.2008.06.035","ISSN":"1556-5653","note":"PMID: 18950759","shortTitle":"The Androgen Excess and PCOS Society criteria for the polycystic ovary syndrome","journalAbbreviation":"Fertil. Steril.","language":"eng","author":[{"family":"Azziz","given":"Ricardo"},{"family":"Carmina","given":"Enrico"},{"family":"Dewailly","given":"Didier"},{"family":"Diamanti-Kandarakis","given":"Evanthia"},{"family":"Escobar-Morreale","given":"Héctor F."},{"family":"Futterweit","given":"Walter"},{"family":"Janssen","given":"Onno E."},{"family":"Legro","given":"Richard S."},{"family":"Norman","given":"Robert J."},{"family":"Taylor","given":"Ann E."},{"family":"Witchel","given":"Selma F."},{"literal":"Task Force on the Phenotype of the Polycystic Ovary Syndrome of The Androgen Excess and PCOS Society"}],"issued":{"date-parts":[["2009",2]]}},"label":"page"}],"schema":"https://github.com/citation-style-language/schema/raw/master/csl-citation.json"}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38355ED6" w14:textId="77777777" w:rsidR="00A34012" w:rsidRPr="008C51C9" w:rsidRDefault="00DB5128" w:rsidP="00E45B54">
      <w:pPr>
        <w:jc w:val="both"/>
        <w:rPr>
          <w:rFonts w:ascii="Times New Roman" w:hAnsi="Times New Roman" w:cs="Times New Roman"/>
          <w:b/>
          <w:bCs/>
          <w:sz w:val="24"/>
          <w:szCs w:val="24"/>
        </w:rPr>
      </w:pPr>
      <w:r w:rsidRPr="008C51C9">
        <w:rPr>
          <w:rFonts w:ascii="Times New Roman" w:hAnsi="Times New Roman" w:cs="Times New Roman"/>
          <w:sz w:val="24"/>
          <w:szCs w:val="24"/>
        </w:rPr>
        <w:t xml:space="preserve">The treatment regimen for PCOS depends on the symptoms presented by </w:t>
      </w:r>
      <w:r w:rsidR="007D7481" w:rsidRPr="008C51C9">
        <w:rPr>
          <w:rFonts w:ascii="Times New Roman" w:hAnsi="Times New Roman" w:cs="Times New Roman"/>
          <w:sz w:val="24"/>
          <w:szCs w:val="24"/>
        </w:rPr>
        <w:t>pati</w:t>
      </w:r>
      <w:r w:rsidR="004976DB" w:rsidRPr="008C51C9">
        <w:rPr>
          <w:rFonts w:ascii="Times New Roman" w:hAnsi="Times New Roman" w:cs="Times New Roman"/>
          <w:sz w:val="24"/>
          <w:szCs w:val="24"/>
        </w:rPr>
        <w:t>ents</w:t>
      </w:r>
      <w:r w:rsidRPr="008C51C9">
        <w:rPr>
          <w:rFonts w:ascii="Times New Roman" w:hAnsi="Times New Roman" w:cs="Times New Roman"/>
          <w:sz w:val="24"/>
          <w:szCs w:val="24"/>
        </w:rPr>
        <w:t>. The symptoms can be broadly categorized as menstruation related disorders; androgen-related symptoms</w:t>
      </w:r>
      <w:r w:rsidR="009B622D" w:rsidRPr="008C51C9">
        <w:rPr>
          <w:rFonts w:ascii="Times New Roman" w:hAnsi="Times New Roman" w:cs="Times New Roman"/>
          <w:sz w:val="24"/>
          <w:szCs w:val="24"/>
        </w:rPr>
        <w:t xml:space="preserve"> </w:t>
      </w:r>
      <w:r w:rsidRPr="008C51C9">
        <w:rPr>
          <w:rFonts w:ascii="Times New Roman" w:hAnsi="Times New Roman" w:cs="Times New Roman"/>
          <w:sz w:val="24"/>
          <w:szCs w:val="24"/>
        </w:rPr>
        <w:t>(hirsutism and acne being the most common); and infertility (including anovulation)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{"citationID":"Goza3RQC","properties":{"formattedCitation":"{\\rtf \\super 101\\nosupersub{}}","plainCitation":"101"},"citationItems":[{"id":749,"uris":["http://zotero.org/users/4133246/items/DZI69D4X"],"uri":["http://zotero.org/users/4133246/items/DZI69D4X"],"itemData":{"id":749,"type":"article-journal","title":"Treatment options for polycystic ovary syndrome","container-title":"International Journal of Women's Health","page":"25-35","volume":"3","source":"PubMed","abstract":"Polycystic ovary syndrome (PCOS) is the most common endocrine disorder in women. The clinical manifestation of PCOS varies from a mild menstrual disorder to severe disturbance of reproductive and metabolic functions. Management of women with PCOS depends on the symptoms. These could be ovulatory dysfunction-related infertility, menstrual disorders, or androgen-related symptoms. Weight loss improves the endocrine profile and increases the likelihood of ovulation and pregnancy. Normalization of menstrual cycles and ovulation could occur with modest weight loss as little as 5% of the initial weight. The treatment of obesity includes modifications in lifestyle (diet and exercise) and medical and surgical treatment. In PCOS, anovulation relates to low follicle-stimulating hormone concentrations and the arrest of antral follicle growth in the final stages of maturation. This can be treated with medications such as clomiphene citrate, tamoxifen, aromatase inhibitors, metformin, glucocorticoids, or gonadotropins or surgically by laparoscopic ovarian drilling. In vitro fertilization will remain the last option to achieve pregnancy when others fail. Chronic anovulation over a long period of time is also associated with an increased risk of endometrial hyperplasia and carcinoma, which should be seriously investigated and treated. There are androgenic symptoms that will vary from patient to patient, such as hirsutism, acne, and/or alopecia. These are troublesome presentations to the patients and require adequate treatment. Alternative medicine has been emerging as one of the commonly practiced medicines for different health problems, including PCOS. This review underlines the contribution to the treatment of different symptoms.","DOI":"10.2147/IJWH.S11304","ISSN":"1179-1411","note":"PMID: 21339935\nPMCID: PMC3039006","journalAbbreviation":"Int J Womens Health","language":"eng","author":[{"family":"Badawy","given":"Ahmed"},{"family":"Elnashar","given":"Abubaker"}],"issued":{"date-parts":[["2011",2,8]]}}}],"schema":"https://github.com/citation-style-language/schema/raw/master/csl-citation.json"}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Oral contraceptive pills (OCP) </w:t>
      </w:r>
      <w:r w:rsidR="00DA2FAD" w:rsidRPr="008C51C9">
        <w:rPr>
          <w:rFonts w:ascii="Times New Roman" w:hAnsi="Times New Roman" w:cs="Times New Roman"/>
          <w:sz w:val="24"/>
          <w:szCs w:val="24"/>
        </w:rPr>
        <w:t>are</w:t>
      </w:r>
      <w:r w:rsidRPr="008C51C9">
        <w:rPr>
          <w:rFonts w:ascii="Times New Roman" w:hAnsi="Times New Roman" w:cs="Times New Roman"/>
          <w:sz w:val="24"/>
          <w:szCs w:val="24"/>
        </w:rPr>
        <w:t xml:space="preserve"> most commonly recommended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{"citationID":"2gj3ecd0lv","properties":{"formattedCitation":"{\\rtf \\super 85,88,102\\nosupersub{}}","plainCitation":"85,88,102"},"citationItems":[{"id":567,"uris":["http://zotero.org/users/4133246/items/BXIPTTE6"],"uri":["http://zotero.org/users/4133246/items/BXIPTTE6"],"itemData":{"id":567,"type":"article-journal","title":"Diagnosis and treatment of polycystic ovary syndrome: an Endocrine Society clinical practice guideline","container-title":"The Journal of Clinical Endocrinology and Metabolism","page":"4565-4592","volume":"98","issue":"12","source":"PubMed","abstract":"OBJECTIVE: The aim was to formulate practice guidelines for the diagnosis and treatment of polycystic ovary syndrome (PCOS).\nPARTICIPANTS: An Endocrine Society-appointed Task Force of experts, a methodologist, and a medical writer developed the guideline.\nEVIDENCE: This evidence-based guideline was developed using the Grading of Recommendations, Assessment, Development, and Evaluation (GRADE) system to describe both the strength of recommendations and the quality of evidence.\nCONSENSUS PROCESS: One group meeting, several conference calls, and e-mail communications enabled consensus. Committees and members of The Endocrine Society and the European Society of Endocrinology reviewed and commented on preliminary drafts of these guidelines. Two systematic reviews were conducted to summarize supporting evidence.\nCONCLUSIONS: We suggest using the Rotterdam criteria for diagnosing PCOS (presence of two of the following criteria: androgen excess, ovulatory dysfunction, or polycystic ovaries). Establishing a diagnosis of PCOS is problematic in adolescents and menopausal women. Hyperandrogenism is central to the presentation in adolescents, whereas there is no consistent phenotype in postmenopausal women. Evaluation of women with PCOS should exclude alternate androgen-excess disorders and risk factors for endometrial cancer, mood disorders, obstructive sleep apnea, diabetes, and cardiovascular disease. Hormonal contraceptives are the first-line management for menstrual abnormalities and hirsutism/acne in PCOS. Clomiphene is currently the first-line therapy for infertility; metformin is beneficial for metabolic/glycemic abnormalities and for improving menstrual irregularities, but it has limited or no benefit in treating hirsutism, acne, or infertility. Hormonal contraceptives and metformin are the treatment options in adolescents with PCOS. The role of weight loss in improving PCOS status per se is uncertain, but lifestyle intervention is beneficial in overweight/obese patients for other health benefits. Thiazolidinediones have an unfavorable risk-benefit ratio overall, and statins require further study.","DOI":"10.1210/jc.2013-2350","ISSN":"1945-7197","note":"PMID: 24151290\nPMCID: PMC5399492","shortTitle":"Diagnosis and treatment of polycystic ovary syndrome","journalAbbreviation":"J. Clin. Endocrinol. Metab.","language":"eng","author":[{"family":"Legro","given":"Richard S."},{"family":"Arslanian","given":"Silva A."},{"family":"Ehrmann","given":"David A."},{"family":"Hoeger","given":"Kathleen M."},{"family":"Murad","given":"M. Hassan"},{"family":"Pasquali","given":"Renato"},{"family":"Welt","given":"Corrine K."},{"literal":"Endocrine Society"}],"issued":{"date-parts":[["2013",12]]}},"label":"page"},{"id":619,"uris":["http://zotero.org/users/4133246/items/ARBN8UJJ"],"uri":["http://zotero.org/users/4133246/items/ARBN8UJJ"],"itemData":{"id":619,"type":"article-journal","title":"Development of evidenced-based guidelines for PCOS and implications for community health","container-title":"Seminars in Reproductive Medicine","page":"230-240","volume":"32","issue":"3","source":"PubMed","abstract":"Despite the prevalence and health implications of polycystic ovary syndrome (PCOS), key evidence practice gaps exist including delayed diagnosis, inconsistent management, inadequate support for lifestyle change, and limited attention to psychological and metabolic features. Key contributors to these gaps include a lack of awareness and absence of evidence-based guidelines (EBGs) to inform consumers and health professionals. Intervention was needed to improve awareness, patient experience, early diagnosis, self-management, complication screening, and treatment across reproductive, metabolic, and psychological features driving the authors to establish a national PCOS Alliance. All relevant stakeholders including consumers, researchers, and clinicians codeveloped a vision and based on compellingly need and lobbying, the Australian government funded development of EBGs meeting international standards. To maximize impact, a national dissemination and implementation program was delivered with ongoing evaluation. Activities were recognized by the U.S. National Institute of Health and are being scaled up with the World Health Organization.","DOI":"10.1055/s-0034-1371095","ISSN":"1526-4564","note":"PMID: 24715518","journalAbbreviation":"Semin. Reprod. Med.","language":"eng","author":[{"family":"Misso","given":"Marie"},{"family":"Boyle","given":"Jacqueline"},{"family":"Norman","given":"Robert"},{"family":"Teede","given":"Helena"}],"issued":{"date-parts":[["2014",5]]}},"label":"page"},{"id":617,"uris":["http://zotero.org/users/4133246/items/NQPGN47Z"],"uri":["http://zotero.org/users/4133246/items/NQPGN47Z"],"itemData":{"id":617,"type":"article-journal","title":"Consensus on women's health aspects of polycystic ovary syndrome (PCOS): the Amsterdam ESHRE/ASRM-Sponsored 3rd PCOS Consensus Workshop Group","container-title":"Fertility and Sterility","page":"28-38.e25","volume":"97","issue":"1","source":"PubMed","abstract":"Polycystic ovary syndrome (PCOS) is the most common endocrine disorder in females, with a high prevalence. The etiology of this heterogeneous condition remains obscure, and its phenotype expression varies. Two widely cited previous ESHRE/ASRM sponsored PCOS consensus workshops focused on diagnosis (published in 2004) and infertility management (published in 2008), respectively. The present third PCOS consensus report summarizes current knowledge and identifies knowledge gaps regarding various women's health aspects of PCOS. Relevant topics addressed-all dealt with in a systematic fashion-include adolescence, hirsutism and acne, contraception, menstrual cycle abnormalities, quality of life, ethnicity, pregnancy complications, long-term metabolic and cardiovascular health, and finally cancer risk. Additional, comprehensive background information is provided separately in an extended online publication.","DOI":"10.1016/j.fertnstert.2011.09.024","ISSN":"1556-5653","note":"PMID: 22153789","shortTitle":"Consensus on women's health aspects of polycystic ovary syndrome (PCOS)","journalAbbreviation":"Fertil. Steril.","language":"eng","author":[{"family":"Fauser","given":"Bart C. J. M."},{"family":"Tarlatzis","given":"Basil C."},{"family":"Rebar","given":"Robert W."},{"family":"Legro","given":"Richard S."},{"family":"Balen","given":"Adam H."},{"family":"Lobo","given":"Roger"},{"family":"Carmina","given":"Enrico"},{"family":"Chang","given":"Jeffrey"},{"family":"Yildiz","given":"Bulent O."},{"family":"Laven","given":"Joop S. E."},{"family":"Boivin","given":"Jacky"},{"family":"Petraglia","given":"Felice"},{"family":"Wijeyeratne","given":"C. N."},{"family":"Norman","given":"Robert J."},{"family":"Dunaif","given":"Andrea"},{"family":"Franks","given":"Stephen"},{"family":"Wild","given":"Robert A."},{"family":"Dumesic","given":"Daniel"},{"family":"Barnhart","given":"Kurt"}],"issued":{"date-parts":[["2012",1]]}},"label":"page"}],"schema":"https://github.com/citation-style-language/schema/raw/master/csl-citation.json"}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for the long-term treatment of women with PCOS</w:t>
      </w:r>
      <w:r w:rsidR="00753C89" w:rsidRPr="008C51C9">
        <w:rPr>
          <w:rFonts w:ascii="Times New Roman" w:hAnsi="Times New Roman" w:cs="Times New Roman"/>
          <w:sz w:val="24"/>
          <w:szCs w:val="24"/>
        </w:rPr>
        <w:t xml:space="preserve"> </w:t>
      </w:r>
      <w:r w:rsidRPr="008C51C9">
        <w:rPr>
          <w:rFonts w:ascii="Times New Roman" w:hAnsi="Times New Roman" w:cs="Times New Roman"/>
          <w:sz w:val="24"/>
          <w:szCs w:val="24"/>
        </w:rPr>
        <w:t>as first-line of pharmacological treatment for management of androgen-related symptoms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{"citationID":"lpe2WoCT","properties":{"formattedCitation":"{\\rtf \\super 104\\nosupersub{}}","plainCitation":"104"},"citationItems":[{"id":615,"uris":["http://zotero.org/users/4133246/items/MBEJRVJH"],"uri":["http://zotero.org/users/4133246/items/MBEJRVJH"],"itemData":{"id":615,"type":"article-journal","title":"Insulin-sensitising drugs versus the combined oral contraceptive pill for hirsutism, acne and risk of diabetes, cardiovascular disease, and endometrial cancer in polycystic ovary syndrome","container-title":"The Cochrane Database of Systematic Reviews","page":"CD005552","issue":"1","source":"PubMed","abstract":"BACKGROUND: Insulin-sensitizing drugs (ISDs) have recently been advocated as possibly a safer and more effective long-term treatment than the oral contraceptive pill (OCP) in women with polycystic ovary syndrome (PCOS). It is important to directly compare the efficacy and safety of ISDs versus OCPs in the long-term treatment of women with PCOS.\nOBJECTIVES: To assess the effectiveness and safety of ISDs versus the OCP (alone or in combination) in improving clinical, hormonal, and metabolic features of PCOS.\nSEARCH STRATEGY: We searched the Cochrane Menstrual Disorders and Subfertility Group Trials Register (September 2005), Cochrane Central Register of Controlled Trials (CENTRAL (Ovid), third quarter 2005), MEDLINE (1966 to September 2005), CINAHL (1982 to September 2005), and EMBASE (1988 to September 2005). References of the identified articles were handsearched, and pharmaceutical companies and experts in the field were also contacted for additional relevant studies.\nSELECTION CRITERIA: Randomised controlled trials which compared ISDs versus the OCP (alone or in combination).\nDATA COLLECTION AND ANALYSIS: Performed independently by two review authors.\nMAIN RESULTS: Six trials were included for analysis, four of which compared metformin versus OCP (104 participants) and two of which compared OCP combined with metformin versus OCP alone (70 participants). Limited data demonstrated no evidence of difference in effect between metformin and the OCP on hirsutism and acne. There was either insufficient or no data on the relative efficacy of metformin or the OCP (alone or in combination) for preventing the development of diabetes, cardiovascular disease, or endometrial cancer. Metformin was less effective than the OCP in improving menstrual pattern (Peto odds ratio (OR) 0.08, 95% CI 0.01 to 0.45). Metformin resulted in a higher incidence of gastrointestinal (Peto OR 7.75, 95% CI 1.32 to 45.71), and a lower incidence of non-gastrointestinal (Peto OR 0.11, 95% CI 0.03 to 0.39), severe adverse effects requiring stopping of medication. Metformin was less effective in reducing serum androgen levels (total testosterone: weighted mean difference (WMD) 0.54, 95% CI 0.22 to 0.86; free androgen index: WMD 3.69, 95% CI 2.56 to 4.83). Metformin was more effective than the OCP in reducing fasting insulin (WMD -3.46, 95% CI -5.39 to -1.52) and not increasing triglyceride (WMD -0.48, 95% -0.86 to -0.09) levels, but there was insufficient evidence regarding comparative effects on reducing fasting glucose or cholesterol levels.\nAUTHORS' CONCLUSIONS: Up to 12-months treatment with the OCP is associated with an improvement in menstrual pattern and serum androgen levels compared with metformin; but metformin treatment results in a reduction in fasting insulin and lower triglyceride levels than with the OCP. Side-effect profiles differ between the two drugs. There is either extremely limited or no data on important clinical outcomes such as the development of diabetes, cardiovascular disease, or endometrial cancer. There are no data comparing ISDs other than metformin (that is rosiglitazone, pioglitazone, and D-chiro-inositol) versus OCPs (alone or in combination).","DOI":"10.1002/14651858.CD005552.pub2","ISSN":"1469-493X","note":"PMID: 17253562","journalAbbreviation":"Cochrane Database Syst Rev","language":"eng","author":[{"family":"Costello","given":"M."},{"family":"Shrestha","given":"B."},{"family":"Eden","given":"J."},{"family":"Sjoblom","given":"P."},{"family":"Johnson","given":"N."}],"issued":{"date-parts":[["2007",1,24]]}}}],"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23</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menstrual cycle irregularities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{"citationID":"eMOTJdjF","properties":{"formattedCitation":"{\\rtf \\super 105\\nosupersub{}}","plainCitation":"105"},"citationItems":[{"id":613,"uris":["http://zotero.org/users/4133246/items/KHBDUIAR"],"uri":["http://zotero.org/users/4133246/items/KHBDUIAR"],"itemData":{"id":613,"type":"article-journal","title":"Approach to the patient: contraception in women with polycystic ovary syndrome","container-title":"The Journal of Clinical Endocrinology and Metabolism","page":"794-802","volume":"100","issue":"3","source":"PubMed","abstract":"Polycystic ovary syndrome (PCOS) is a common reproductive and metabolic disorder. Patients with PCOS present with clinical signs of androgen excess (ie, hirsutism and acne), menstrual irregularities, and infertility. Combined oral contraceptive (OC) pills are the first-line medical therapy for the long-term management of PCOS. Containing a combination of estrogen and progestin, OCs restore regular menses, improve androgen excess, and provide effective contraception and protection from endometrial cancer. The benefits of hormonal contraception outweigh the risks in the vast majority of women with PCOS. However, concerns have been raised about potential adverse cardiovascular and metabolic effects of OCs. Currently available evidence indicates an increased relative risk of venous thrombosis associated with OCs varying among different formulations. Arterial thrombosis risk attributable to OCs does not appear to be significantly increased in young nonsmoking women. OC use might be associated with increased risk of diabetes in morbidly obese women with PCOS with severe insulin resistance. A tailored clinical approach to oral contraception in women with PCOS requires individualized risk stratification and management by determination of each PCOS patient's personal cardiometabolic risk profile at baseline and during follow-up. Before prescribing an OC, clinicians should document individual risk factors including age, smoking, obesity, any degree of glucose intolerance including prediabetes and diabetes, hypertension, dyslipidemia, thrombophilia, and personal or family history of a venous thromboembolic event.","DOI":"10.1210/jc.2014-3196","ISSN":"1945-7197","note":"PMID: 25701301","shortTitle":"Approach to the patient","journalAbbreviation":"J. Clin. Endocrinol. Metab.","language":"eng","author":[{"family":"Yildiz","given":"Bulent O."}],"issued":{"date-parts":[["2015",3]]}}}],"schema":"https://github.com/citation-style-language/schema/raw/master/csl-citation.json"}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24</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The primary treatment recommended for PCOS-related menstrual abnormalities is low dose of combine hormonal contraception</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{"citationID":"wmZkPCZh","properties":{"formattedCitation":"{\\rtf \\super 110\\nosupersub{}}","plainCitation":"110"},"citationItems":[{"id":747,"uris":["http://zotero.org/users/4133246/items/U3VX35JF"],"uri":["http://zotero.org/users/4133246/items/U3VX35JF"],"itemData":{"id":747,"type":"article-journal","title":"ACOG Practice Bulletin No. 108: Polycystic ovary syndrome","container-title":"Obstetrics and Gynecology","page":"936-949","volume":"114","issue":"4","source":"PubMed","abstract":"Polycystic ovary syndrome (PCOS) is a disorder characterized by hyperandrogenism, ovulatory dysfunction, and polycystic ovaries. Its etiology remains unknown, and treatment is largely symptom based and empirical. PCOS has the potential to cause substantial metabolic sequelae, including an increased risk of diabetes and cardiovascular disease, and these factors should be considered when determining long-term treatment. The purpose of this document is to examine the best available evidence for the diagnosis and clinical management of PCOS.","DOI":"10.1097/AOG.0b013e3181bd12cb","ISSN":"0029-7844","note":"PMID: 19888063","shortTitle":"ACOG Practice Bulletin No. 108","journalAbbreviation":"Obstet Gynecol","language":"eng","author":[{"literal":"ACOG Committee on Practice Bulletins--Gynecology"}],"issued":{"date-parts":[["2009",10]]}}}],"schema":"https://github.com/citation-style-language/schema/raw/master/csl-citation.json"}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25</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Ovulation induction with gonadotropins and laparoscopic ovarian drilling are second line therapies whereas, </w:t>
      </w:r>
      <w:r w:rsidRPr="008C51C9">
        <w:rPr>
          <w:rFonts w:ascii="Times New Roman" w:hAnsi="Times New Roman" w:cs="Times New Roman"/>
          <w:i/>
          <w:sz w:val="24"/>
          <w:szCs w:val="24"/>
        </w:rPr>
        <w:t>in-vitro</w:t>
      </w:r>
      <w:r w:rsidRPr="008C51C9">
        <w:rPr>
          <w:rFonts w:ascii="Times New Roman" w:hAnsi="Times New Roman" w:cs="Times New Roman"/>
          <w:sz w:val="24"/>
          <w:szCs w:val="24"/>
        </w:rPr>
        <w:t xml:space="preserve"> fertilization (IVF) is recommended as third-line therapy for the management of infertility</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{"citationID":"woWfowem","properties":{"formattedCitation":"{\\rtf \\super 113\\nosupersub{}}","plainCitation":"113"},"citationItems":[{"id":743,"uris":["http://zotero.org/users/4133246/items/ENZ6DAJA"],"uri":["http://zotero.org/users/4133246/items/ENZ6DAJA"],"itemData":{"id":743,"type":"article-journal","title":"Consensus on infertility treatment related to polycystic ovary syndrome","container-title":"Fertility and Sterility","page":"505-522","volume":"89","issue":"3","source":"PubMed","abstract":"The treatment of infertile women with polycystic ovary syndrome (PCOS) is surrounded by many controversies. On the basis of the currently available evidence, a group of experts reached a consensus regarding the therapeutic challenges raised in these women. Before any intervention is initiated, preconceptional counseling should be provided emphasizing the importance of lifestyle, especially weight reduction and exercise in overweight women, smoking, and alcohol consumption. The recommended first-line treatment for ovulation induction remains the anti-estrogen clomiphene citrate (CC). Recommended second-line intervention, should CC fail to result in pregnancy, is either exogenous gonadotropins or laparoscopic ovarian surgery (LOS). The use of exogenous gonadotropins is associated with increased chances for multiple pregnancy, and, therefore, intense monitoring of ovarian response is required. Laparoscopic ovarian surgery alone is usually effective in less than 50% of women, and additional ovulation induction medication is required under those circumstances. Overall, ovulation induction (representing the CC-gonadotropin paradigm) is reported to be highly effective with a cumulative singleton live-birth rate of 72%. Recommended third-line treatment is in vitro fertilization (IVF). More patient-tailored approaches should be developed for ovulation induction based on initial screening characteristics of women with PCOS. Such approaches may result in deviation from the above mentioned first-line, second-line, or third-line ovulation strategies in well-defined subsets of patients. Metformin use in PCOS should be restricted to women with glucose intolerance. Based on recent data available in the literature, the routine use of this drug in ovulation induction is not recommended. Insufficient evidence is currently available to recommend the clinical use of aromatase inhibitors for routine ovulation induction. Even singleton pregnancies in PCOS are associated with increased health risk for both the mother and the fetus.","DOI":"10.1016/j.fertnstert.2007.09.041","ISSN":"1556-5653","note":"PMID: 18243179","journalAbbreviation":"Fertil. Steril.","language":"eng","author":[{"literal":"Thessaloniki ESHRE/ASRM-Sponsored PCOS Consensus Workshop Group"}],"issued":{"date-parts":[["2008",3]]}}}],"schema":"https://github.com/citation-style-language/schema/raw/master/csl-citation.json"}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r w:rsidR="00FC4339" w:rsidRPr="008C51C9">
        <w:rPr>
          <w:rFonts w:ascii="Times New Roman" w:hAnsi="Times New Roman" w:cs="Times New Roman"/>
          <w:sz w:val="24"/>
          <w:szCs w:val="24"/>
        </w:rPr>
        <w:t xml:space="preserve"> </w:t>
      </w:r>
      <w:r w:rsidR="00A34012" w:rsidRPr="008C51C9">
        <w:rPr>
          <w:rFonts w:ascii="Times New Roman" w:hAnsi="Times New Roman" w:cs="Times New Roman"/>
          <w:sz w:val="24"/>
          <w:szCs w:val="24"/>
        </w:rPr>
        <w:t>Despite their widespread popularity, current treatments for PCOS are only moderately effective at controlling symptoms and preventing complications</w:t>
      </w:r>
      <w:r w:rsidR="000C04C4" w:rsidRPr="008C51C9">
        <w:rPr>
          <w:rFonts w:ascii="Times New Roman" w:hAnsi="Times New Roman" w:cs="Times New Roman"/>
          <w:sz w:val="24"/>
          <w:szCs w:val="24"/>
          <w:vertAlign w:val="superscript"/>
        </w:rPr>
        <w:t>2</w:t>
      </w:r>
      <w:r w:rsidR="00753C89" w:rsidRPr="008C51C9">
        <w:rPr>
          <w:rFonts w:ascii="Times New Roman" w:hAnsi="Times New Roman" w:cs="Times New Roman"/>
          <w:sz w:val="24"/>
          <w:szCs w:val="24"/>
          <w:vertAlign w:val="superscript"/>
        </w:rPr>
        <w:t>1,</w:t>
      </w:r>
      <w:r w:rsidR="00A34012" w:rsidRPr="008C51C9">
        <w:rPr>
          <w:rFonts w:ascii="Times New Roman" w:hAnsi="Times New Roman" w:cs="Times New Roman"/>
          <w:sz w:val="24"/>
          <w:szCs w:val="24"/>
        </w:rPr>
        <w:fldChar w:fldCharType="begin"/>
      </w:r>
      <w:r w:rsidR="00A34012" w:rsidRPr="008C51C9">
        <w:rPr>
          <w:rFonts w:ascii="Times New Roman" w:hAnsi="Times New Roman" w:cs="Times New Roman"/>
          <w:sz w:val="24"/>
          <w:szCs w:val="24"/>
        </w:rPr>
        <w:instrText xml:space="preserve"> ADDIN ZOTERO_ITEM CSL_CITATION {"citationID":"ySXwFlj2","properties":{"formattedCitation":"{\\rtf \\super 117\\nosupersub{}}","plainCitation":"117"},"citationItems":[{"id":780,"uris":["http://zotero.org/users/4133246/items/BEA5BB67"],"uri":["http://zotero.org/users/4133246/items/BEA5BB67"],"itemData":{"id":780,"type":"article-journal","title":"The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S."}],"issued":{"date-parts":[["2011",7]]}}}],"schema":"https://github.com/citation-style-language/schema/raw/master/csl-citation.json"} </w:instrText>
      </w:r>
      <w:r w:rsidR="00A34012"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00A34012" w:rsidRPr="008C51C9">
        <w:rPr>
          <w:rFonts w:ascii="Times New Roman" w:hAnsi="Times New Roman" w:cs="Times New Roman"/>
          <w:sz w:val="24"/>
          <w:szCs w:val="24"/>
          <w:vertAlign w:val="superscript"/>
        </w:rPr>
        <w:t>7</w:t>
      </w:r>
      <w:r w:rsidR="00A34012" w:rsidRPr="008C51C9">
        <w:rPr>
          <w:rFonts w:ascii="Times New Roman" w:hAnsi="Times New Roman" w:cs="Times New Roman"/>
          <w:sz w:val="24"/>
          <w:szCs w:val="24"/>
        </w:rPr>
        <w:fldChar w:fldCharType="end"/>
      </w:r>
      <w:r w:rsidR="00A34012" w:rsidRPr="008C51C9">
        <w:rPr>
          <w:rFonts w:ascii="Times New Roman" w:hAnsi="Times New Roman" w:cs="Times New Roman"/>
          <w:sz w:val="24"/>
          <w:szCs w:val="24"/>
        </w:rPr>
        <w:t xml:space="preserve">. There are also concerns about the adverse effects of medications in long-term. </w:t>
      </w:r>
      <w:r w:rsidR="00753C89" w:rsidRPr="008C51C9">
        <w:rPr>
          <w:rFonts w:ascii="Times New Roman" w:hAnsi="Times New Roman" w:cs="Times New Roman"/>
          <w:sz w:val="24"/>
          <w:szCs w:val="24"/>
        </w:rPr>
        <w:t xml:space="preserve">For example, </w:t>
      </w:r>
      <w:r w:rsidR="00A34012" w:rsidRPr="008C51C9">
        <w:rPr>
          <w:rFonts w:ascii="Times New Roman" w:hAnsi="Times New Roman" w:cs="Times New Roman"/>
          <w:sz w:val="24"/>
          <w:szCs w:val="24"/>
        </w:rPr>
        <w:t>OCP has negative effects on cardiovascular profile of females with PCOS</w:t>
      </w:r>
      <w:r w:rsidR="00A34012" w:rsidRPr="008C51C9">
        <w:rPr>
          <w:rFonts w:ascii="Times New Roman" w:hAnsi="Times New Roman" w:cs="Times New Roman"/>
          <w:sz w:val="24"/>
          <w:szCs w:val="24"/>
        </w:rPr>
        <w:fldChar w:fldCharType="begin"/>
      </w:r>
      <w:r w:rsidR="00A34012" w:rsidRPr="008C51C9">
        <w:rPr>
          <w:rFonts w:ascii="Times New Roman" w:hAnsi="Times New Roman" w:cs="Times New Roman"/>
          <w:sz w:val="24"/>
          <w:szCs w:val="24"/>
        </w:rPr>
        <w:instrText xml:space="preserve"> ADDIN ZOTERO_ITEM CSL_CITATION {"citationID":"b8unn4ieq","properties":{"formattedCitation":"{\\rtf \\super 121,122\\nosupersub{}}","plainCitation":"121,122"},"citationItems":[{"id":595,"uris":["http://zotero.org/users/4133246/items/DWKFNR9T"],"uri":["http://zotero.org/users/4133246/items/DWKFNR9T"],"itemData":{"id":595,"type":"article-journal","title":"Association between the current use of low-dose oral contraceptives and cardiovascular arterial disease: a meta-analysis","container-title":"The Journal of Clinical Endocrinology and Metabolism","page":"3863-3870","volume":"90","issue":"7","source":"PubMed","abstract":"CONTEXT: The long-term cardiovascular safety of widely used oral contraceptives (OCs) is still debated, and no meta-analysis assesses the modern use of OCs and the associated cardiovascular risks.\nOBJECTIVE: We aimed to assess the risk of cardiovascular diseases associated with current use of low-dose combined OCs.\nDATA SOURCES: All studies published between January 1980 and October 2002 were searched using MEDLINE, BIOSIS, and Scientific Citations.\nSTUDY SELECTION: Original studies were selected independently by two investigators (J.P.B., P.A.E.) based on inclusion criteria: low-dose combined OC (&lt;50 mug of ethinyl-estradiol); more than 10 cases in low-dose users; clear definition of cases; concurrent controls; and control for age. A third investigator (J.E.N.) adjudicated disagreements. From 2715 identified articles, 14 independent studies were included.\nDATA EXTRACTION: All data were abstracted by one investigator (J.P.B.) in a systematic manner. Classification of OCs and types of exposure were directly abstracted from studies. Current use was defined as use at the time of the event or within 3 months. Only peer-reviewed studies with definition of events as definite or possible, based on prespecified criteria, were included.\nDATA SYNTHESIS: The summary risk estimates associated with current use of low-dose OCs were 1.84 [95% confidence interval (CI) = 1.38, 2.44] for myocardial infarctions and 2.12 (95% CI = 1.56, 2.86) for ischemic strokes. The overall summary odds ratio for both outcomes was 2.01 (95% CI = 1.63, 2.48). Second generation OCs were associated with a significant increased risk of both myocardial infarction and ischemic stroke events [1.85 (95% CI = 1.03,3.32) and 2.54 (95% CI = 1.96,3.28), respectively]; and third-generation OCs, for ischemic stroke outcome only [2.03 (95% CI = 1.15,3.57)].\nCONCLUSIONS: In conclusion, a rigorous meta-analysis of the literature suggests that current use of low-dose OCs significantly increases the risk of both cardiac and vascular arterial events, including a significant risk of vascular arterial complications with third generation OCs.","DOI":"10.1210/jc.2004-1958","ISSN":"0021-972X","note":"PMID: 15814774","shortTitle":"Association between the current use of low-dose oral contraceptives and cardiovascular arterial disease","journalAbbreviation":"J. Clin. Endocrinol. Metab.","language":"eng","author":[{"family":"Baillargeon","given":"Jean-Patrice"},{"family":"McClish","given":"Donna K."},{"family":"Essah","given":"Paulina A."},{"family":"Nestler","given":"John E."}],"issued":{"date-parts":[["2005",7]]}},"label":"page"},{"id":593,"uris":["http://zotero.org/users/4133246/items/ZFKBIHAK"],"uri":["http://zotero.org/users/4133246/items/ZFKBIHAK"],"itemData":{"id":593,"type":"article-journal","title":"Thrombotic stroke and myocardial infarction with hormonal contraception","container-title":"The New England Journal of Medicine","page":"2257-2266","volume":"366","issue":"24","source":"PubMed","abstract":"BACKGROUND: Although several studies have assessed the risk of venous thromboembolism with newer hormonal contraception, few have examined thrombotic stroke and myocardial infarction, and results have been conflicting.\nMETHODS: In this 15-year Danish historical cohort study, we followed nonpregnant women, 15 to 49 years old, with no history of cardiovascular disease or cancer. Data on use of hormonal contraception, clinical end points, and potential confounders were obtained from four national registries.\nRESULTS: A total of 1,626,158 women contributed 14,251,063 person-years of observation, during which 3311 thrombotic strokes (21.4 per 100,000 person-years) and 1725 myocardial infarctions (10.1 per 100,000 person-years) occurred. As compared with nonuse, current use of oral contraceptives that included ethinyl estradiol at a dose of 30 to 40 μg was associated with the following relative risks (and 95% confidence intervals) for thrombotic stroke and myocardial infarction, according to progestin type: norethindrone, 2.2 (1.5 to 3.2) and 2.3 (1.3 to 3.9); levonorgestrel, 1.7 (1.4 to 2.0) and 2.0 (1.6 to 2.5); norgestimate, 1.5 (1.2 to 1.9) and 1.3 (0.9 to 1.9); desogestrel, 2.2 (1.8 to 2.7) and 2.1 (1.5 to 2.8); gestodene, 1.8 (1.6 to 2.0) and 1.9 (1.6 to 2.3); and drospirenone, 1.6 (1.2 to 2.2) and 1.7 (1.0 to 2.6), respectively. With ethinyl estradiol at a dose of 20 μg, the corresponding relative risks according to progestin type were as follows: desogestrel, 1.5 (1.3 to 1.9) and 1.6 (1.1 to 2.1); gestodene, 1.7 (1.4 to 2.1) and 1.2 (0.8 to 1.9); and drospirenone, 0.9 (0.2 to 3.5) and 0.0. For transdermal patches, the corresponding relative risks were 3.2 (0.8 to 12.6) and 0.0, and for a vaginal ring, 2.5 (1.4 to 4.4) and 2.1 (0.7 to 6.5).\nCONCLUSIONS: Although the absolute risks of thrombotic stroke and myocardial infarction associated with the use of hormonal contraception were low, the risk was increased by a factor of 0.9 to 1.7 with oral contraceptives that included ethinyl estradiol at a dose of 20 μg and by a factor of 1.3 to 2.3 with those that included ethinyl estradiol at a dose of 30 to 40 μg, with relatively small differences in risk according to progestin type. (Funded by the Danish Heart Association.).","DOI":"10.1056/NEJMoa1111840","ISSN":"1533-4406","note":"PMID: 22693997","journalAbbreviation":"N. Engl. J. Med.","language":"eng","author":[{"family":"Lidegaard","given":"Øjvind"},{"family":"Løkkegaard","given":"Ellen"},{"family":"Jensen","given":"Aksel"},{"family":"Skovlund","given":"Charlotte Wessel"},{"family":"Keiding","given":"Niels"}],"issued":{"date-parts":[["2012",6,14]]}},"label":"page"}],"schema":"https://github.com/citation-style-language/schema/raw/master/csl-citation.json"} </w:instrText>
      </w:r>
      <w:r w:rsidR="00A34012" w:rsidRPr="008C51C9">
        <w:rPr>
          <w:rFonts w:ascii="Times New Roman" w:hAnsi="Times New Roman" w:cs="Times New Roman"/>
          <w:sz w:val="24"/>
          <w:szCs w:val="24"/>
        </w:rPr>
        <w:fldChar w:fldCharType="separate"/>
      </w:r>
      <w:r w:rsidR="00A34012" w:rsidRPr="008C51C9">
        <w:rPr>
          <w:rFonts w:ascii="Times New Roman" w:hAnsi="Times New Roman" w:cs="Times New Roman"/>
          <w:sz w:val="24"/>
          <w:szCs w:val="24"/>
          <w:vertAlign w:val="superscript"/>
        </w:rPr>
        <w:t>2</w:t>
      </w:r>
      <w:r w:rsidR="000C04C4" w:rsidRPr="008C51C9">
        <w:rPr>
          <w:rFonts w:ascii="Times New Roman" w:hAnsi="Times New Roman" w:cs="Times New Roman"/>
          <w:sz w:val="24"/>
          <w:szCs w:val="24"/>
          <w:vertAlign w:val="superscript"/>
        </w:rPr>
        <w:t>8</w:t>
      </w:r>
      <w:r w:rsidR="00A34012" w:rsidRPr="008C51C9">
        <w:rPr>
          <w:rFonts w:ascii="Times New Roman" w:hAnsi="Times New Roman" w:cs="Times New Roman"/>
          <w:sz w:val="24"/>
          <w:szCs w:val="24"/>
        </w:rPr>
        <w:fldChar w:fldCharType="end"/>
      </w:r>
      <w:r w:rsidR="00A34012" w:rsidRPr="008C51C9">
        <w:rPr>
          <w:rFonts w:ascii="Times New Roman" w:hAnsi="Times New Roman" w:cs="Times New Roman"/>
          <w:sz w:val="24"/>
          <w:szCs w:val="24"/>
        </w:rPr>
        <w:t xml:space="preserve">. </w:t>
      </w:r>
    </w:p>
    <w:p w14:paraId="7284000C" w14:textId="77777777" w:rsidR="00B400D8" w:rsidRPr="008C51C9" w:rsidRDefault="00B400D8" w:rsidP="00B400D8">
      <w:pPr>
        <w:jc w:val="both"/>
        <w:rPr>
          <w:rFonts w:ascii="Times New Roman" w:hAnsi="Times New Roman" w:cs="Times New Roman"/>
          <w:sz w:val="24"/>
          <w:szCs w:val="24"/>
        </w:rPr>
      </w:pPr>
      <w:r w:rsidRPr="008C51C9">
        <w:rPr>
          <w:rFonts w:ascii="Times New Roman" w:hAnsi="Times New Roman" w:cs="Times New Roman"/>
          <w:sz w:val="24"/>
          <w:szCs w:val="24"/>
        </w:rPr>
        <w:t xml:space="preserve">Existing studies suggest that several </w:t>
      </w:r>
      <w:r w:rsidRPr="008C51C9">
        <w:rPr>
          <w:rFonts w:ascii="Times New Roman" w:hAnsi="Times New Roman" w:cs="Times New Roman"/>
          <w:bCs/>
          <w:sz w:val="24"/>
          <w:szCs w:val="24"/>
        </w:rPr>
        <w:t>complementary and alternative medicines (</w:t>
      </w:r>
      <w:r w:rsidRPr="008C51C9">
        <w:rPr>
          <w:rFonts w:ascii="Times New Roman" w:hAnsi="Times New Roman" w:cs="Times New Roman"/>
          <w:sz w:val="24"/>
          <w:szCs w:val="24"/>
        </w:rPr>
        <w:t>CAMs) could be beneficial as an adjunct to conventional medical management of PCOS. They are considered safer than their pharmacological counterparts and in certain cases, have been found clinically effective in reducing the severity of PCOS and its endocrine, cardiometabolic, and reproductive complications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{"citationID":"2h7ip5r1ts","properties":{"formattedCitation":"{\\rtf \\super 117,125\\nosupersub{}}","plainCitation":"117,125"},"citationItems":[{"id":780,"uris":["http://zotero.org/users/4133246/items/BEA5BB67"],"uri":["http://zotero.org/users/4133246/items/BEA5BB67"],"itemData":{"id":780,"type":"article-journal","title":"The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S."}],"issued":{"date-parts":[["2011",7]]}},"label":"page"},{"id":782,"uris":["http://zotero.org/users/4133246/items/TKKJF5MS"],"uri":["http://zotero.org/users/4133246/items/TKKJF5MS"],"itemData":{"id":782,"type":"article-journal","title":"Herbal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Anne"},{"family":"Bensoussan","given":"Alan"}],"issued":{"date-parts":[["2014",12]]}},"label":"page"}],"schema":"https://github.com/citation-style-language/schema/raw/master/csl-citation.json"} </w:instrText>
      </w:r>
      <w:r w:rsidRPr="008C51C9">
        <w:rPr>
          <w:rFonts w:ascii="Times New Roman" w:hAnsi="Times New Roman" w:cs="Times New Roman"/>
          <w:sz w:val="24"/>
          <w:szCs w:val="24"/>
        </w:rPr>
        <w:fldChar w:fldCharType="separate"/>
      </w:r>
      <w:r w:rsidR="000C04C4"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7,2</w:t>
      </w:r>
      <w:r w:rsidR="000C04C4"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Essential oils can be used in different ways, including massage, bathing, and inhalation. Different oils are thought to act on the body in different ways, having a relaxing, energizing, calming, or uplifting effect. It is theorized that when massaged, the oils are absorbed by the skin, allowing them to act fast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{"citationID":"VNOTHPAx","properties":{"formattedCitation":"{\\rtf \\super 140\\uc0\\u8211{}144\\nosupersub{}}","plainCitation":"140–144"},"citationItems":[{"id":185,"uris":["http://zotero.org/users/4133246/items/TA8JHKGP"],"uri":["http://zotero.org/users/4133246/items/TA8JHKGP"],"itemData":{"id":185,"type":"article-journal","title":"Essential oils used in aromatherapy: A systemic review","container-title":"Asian Pacific Journal of Tropical Biomedicine","page":"601-611","volume":"5","issue":"8","source":"ScienceDirect","abstract":"Nowadays, use of alternative and complementary therapies with mainstream medicine has gained the momentum. Aromatherapy is one of the complementary therapies which use essential oils as the major therapeutic agents to treat several diseases. The essential or volatile oils are extracted from the flowers, barks, stem, leaves, roots, fruits and other parts of the plant by various methods. It came into existence after the scientists deciphered the antiseptic and skin permeability properties of essential oils. Inhalation, local application and baths are the major methods used in aromatherapy that utilize these oils to penetrate the human skin surface with marked aura. Once the oils are in the system, they remodulate themselves and work in a friendly manner at the site of malfunction or at the affected area. This type of therapy utilizes various permutation and combinations to get relief from numerous ailments like depression, indigestion, headache, insomnia, muscular pain, respiratory problems, skin ailments, swollen joints, urine associated complications etc. The essential oils are found to be more beneficial when other aspects of life and diet are given due consideration. This review explores the information available in the literature regarding therapeutic, medical, cosmetic, psychological, olfactory, massage aromatherapy, safety issues and different plants used in aromatherapy. All the available information was compiled from electronic databases such as Academic Journals, Ethnobotany, Google Scholar, PubMed, Science Direct, Web of Science, and library search.","DOI":"10.1016/j.apjtb.2015.05.007","ISSN":"2221-1691","shortTitle":"Essential oils used in aromatherapy","journalAbbreviation":"Asian Pacific Journal of Tropical Biomedicine","author":[{"family":"Ali","given":"Babar"},{"family":"Al-Wabel","given":"Naser Ali"},{"family":"Shams","given":"Saiba"},{"family":"Ahamad","given":"Aftab"},{"family":"Khan","given":"Shah Alam"},{"family":"Anwar","given":"Firoz"}],"issued":{"date-parts":[["2015",8,1]]}},"label":"page"},{"id":85,"uris":["http://zotero.org/users/4133246/items/F32X7954"],"uri":["http://zotero.org/users/4133246/items/F32X7954"],"itemData":{"id":85,"type":"article-journal","title":"Aromatherapy facts and fictions: a scientific analysis of olfactory effects on mood, physiology and behavior","container-title":"The International Journal of Neuroscience","page":"263-290","volume":"119","issue":"2","source":"PubMed","abstract":"A systematic review of scientific experimentation addressing olfactory effects on mood, physiology and behavior was undertaken. From this review, 18 studies meeting stringent empirical criteria were then analyzed in detail and it was found that credible evidence that odors can affect mood, physiology and behavior exists. To explain these effects, pharmacological and psychological mechanisms were explored and a psychological interpretation of the data was found to be more comprehensive. Methodological problems regarding dependent measures and stimuli, which led to inconsistencies in the data were discussed, as were the mediating variables of culture, experience, sex differences, and personality.","DOI":"10.1080/00207450802333953","ISSN":"1563-5279","note":"PMID: 19125379","shortTitle":"Aromatherapy facts and fictions","journalAbbreviation":"Int. J. Neurosci.","language":"eng","author":[{"family":"Herz","given":"Rachel S."}],"issued":{"date-parts":[["2009"]]}},"label":"page"},{"id":82,"uris":["http://zotero.org/users/4133246/items/WEM835SP"],"uri":["http://zotero.org/users/4133246/items/WEM835SP"],"itemData":{"id":82,"type":"book","title":"Clinical Aromatherapy in Nursing","publisher":"Singular Publishing Group","number-of-pages":"308","source":"Google Books","abstract":"Discussion of the use of oils and how they may apply to the management of common, specific problems such as infection and pain.","ISBN":"978-1-56593-876-2","language":"en","author":[{"family":"Buckle","given":"Jane"}],"issued":{"date-parts":[["1997"]]}},"label":"page"},{"id":77,"uris":["http://zotero.org/users/4133246/items/35EA2W82"],"uri":["http://zotero.org/users/4133246/items/35EA2W82"],"itemData":{"id":77,"type":"book","title":"Aromatherapy Workbook","publisher":"Inner Traditions / Bear &amp; Co","number-of-pages":"194","source":"Google Books","abstract":"Aromatherapy Workbook, first published in 1990, is an essential guide to the history, folklore, science, and practice of aromatherapy. It features more than seventy essential oils classified by botanical family with detailed discussions of their specific actions, along with unique insights into their energetic and spiritual properties. This revised edition incorporates the latest biochemical research with the spiritual and psychological understanding of essential oils.  Author Marcel Lavabre, a founder of the American Aromatherapy Association, explains the mysterious and powerful influence of scent on our mental state, emotion, and sexuality. He discusses the various methods of extraction, devotes a special section to the art of blending, and presents specific formulas for disorders such as digestive and circulatory ailments, headaches, insomnia, and menstrual problems. Aromatherapy Workbook is an ideal guide for beginners as well as a reference for practitioners. • More than 90,000 copies sold. • Easy-to-follow illustrated reference for beginners. • A desk resource and teaching tool for practicing aromatherapists.","ISBN":"978-0-89281-644-6","note":"Google-Books-ID: VjzNgKAJTEMC","language":"en","author":[{"family":"Lavabre","given":"Marcel"}],"issued":{"date-parts":[["1996",12]]}},"label":"page"},{"id":215,"uris":["http://zotero.org/users/4133246/items/933P9INA"],"uri":["http://zotero.org/users/4133246/items/933P9INA"],"itemData":{"id":215,"type":"article-journal","title":"Evaluating the effectiveness of aromatherapy in reducing levels of anxiety in palliative care patients: results of a pilot study","container-title":"Complementary Therapies in Clinical Practice","page":"148-155","volume":"12","issue":"2","source":"PubMed","abstract":"Results of the pilot study of the four counties randomised controlled trial to evaluate the effectiveness of aromatherapy massage with 1% Santalum album (Sandalwood) (group A) when compared with massage with Sweet Almond Carrier oil, (group B) or Sandalwood oil via an aromastone (group C), in reducing levels of anxiety in palliative care. The aims of the pilot study were to evaluate the effectiveness of aromatherapy in reducing anxiety in patients receiving palliative care in four counties. The primary end points of the research were to report a statistically significant difference in anxiety scores between experimental group (B) and comparison groups (A and C) and to influence the integration of aromatherapy into all aspects of palliative care. The limited data of the pilot study (N=34) tested the logistics of the research, particularly the 25% attrition rate and the robustness of the data collection tools. The results were not substantial enough to generate coherent statistics. Therefore no assumptions could be drawn from these results due to the inconsistencies that were bound to occur in such a small sample. However, the results do seem to support the notion that Sandalwood oil is effective in reducing anxiety.","DOI":"10.1016/j.ctcp.2005.11.003","ISSN":"1744-3881","note":"PMID: 16648093","shortTitle":"Evaluating the effectiveness of aromatherapy in reducing levels of anxiety in palliative care patients","journalAbbreviation":"Complement Ther Clin Pract","language":"eng","author":[{"family":"Kyle","given":"Gaye"}],"issued":{"date-parts":[["2006",5]]}},"label":"page"}],"schema":"https://github.com/citation-style-language/schema/raw/master/csl-citation.json"}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w:t>
      </w:r>
      <w:r w:rsidRPr="008C51C9">
        <w:rPr>
          <w:rFonts w:ascii="Times New Roman" w:hAnsi="Times New Roman" w:cs="Times New Roman"/>
          <w:sz w:val="24"/>
          <w:szCs w:val="24"/>
          <w:vertAlign w:val="superscript"/>
        </w:rPr>
        <w:t>0</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4D02B110" w14:textId="77777777" w:rsidR="00B400D8" w:rsidRPr="008C51C9" w:rsidRDefault="00B400D8" w:rsidP="00B400D8">
      <w:pPr>
        <w:jc w:val="both"/>
        <w:rPr>
          <w:rFonts w:ascii="Times New Roman" w:hAnsi="Times New Roman" w:cs="Times New Roman"/>
          <w:sz w:val="24"/>
          <w:szCs w:val="24"/>
        </w:rPr>
      </w:pPr>
      <w:r w:rsidRPr="008C51C9">
        <w:rPr>
          <w:rFonts w:ascii="Times New Roman" w:hAnsi="Times New Roman" w:cs="Times New Roman"/>
          <w:sz w:val="24"/>
          <w:szCs w:val="24"/>
        </w:rPr>
        <w:t xml:space="preserve">Some of the essential oils that have been scientifically linked for treatment of PCOS are spearmint oil (of </w:t>
      </w:r>
      <w:r w:rsidRPr="008C51C9">
        <w:rPr>
          <w:rFonts w:ascii="Times New Roman" w:hAnsi="Times New Roman" w:cs="Times New Roman"/>
          <w:i/>
          <w:sz w:val="24"/>
          <w:szCs w:val="24"/>
        </w:rPr>
        <w:t>Mentha spicata</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{"citationID":"1q0e5rh2qh","properties":{"formattedCitation":"{\\rtf \\super 136,137\\nosupersub{}}","plainCitation":"136,137"},"citationItems":[{"id":449,"uris":["http://zotero.org/users/4133246/items/5MXFK5QU"],"uri":["http://zotero.org/users/4133246/items/5MXFK5QU"],"itemData":{"id":449,"type":"article-journal","title":"Role of Essential Oil of Mentha Spicata (Spearmint) in Addressing Reverse Hormonal and Folliculogenesis Disturbances in a Polycystic Ovarian Syndrome in a Rat Model","container-title":"Advanced Pharmaceutical Bulletin","page":"651-654","volume":"7","issue":"4","source":"PubMed Central","abstract":"Purpose: Given the antiandrogenic effects of spearmint, in this study we evaluated the effects of its essential oil on polycystic ovarian syndrome in a rat model., Methods: Female rats were treated as follows: Control, normal rats which received 150 mg/kg spearmint oil or 300 mg/kg spearmint oil, or sesame oil; and PCOS-induced rats which received 150 mg/kg spearmint oil or 300 mg/kg spearmint oil, or sesame oil. Then the animals were killed and the levels of LH, FSH, testosterone and ovarian folliculogenesis were evaluated., Results: Spearmint oil reduced body weight, testosterone level, ovarian cysts and atretic follicles and increased Graafian follicles in PCOS rats., Conclusion: Spearmint has treatment potential on PCOS through inhibition of testosterone and restoration of follicular development in ovarian tissue.","DOI":"10.15171/apb.2017.078","ISSN":"2228-5881","note":"PMID: 29399556\nPMCID: PMC5788221","journalAbbreviation":"Adv Pharm Bull","author":[{"family":"Sadeghi Ataabadi","given":"Mahmood"},{"family":"Alaee","given":"Sanaz"},{"family":"Bagheri","given":"Mohammad Jafar"},{"family":"Bahmanpoor","given":"Soghra"}],"issued":{"date-parts":[["2017",12]]}},"label":"page"},{"id":811,"uris":["http://zotero.org/users/4133246/items/FU5TTDKB"],"uri":["http://zotero.org/users/4133246/items/FU5TTDKB"],"itemData":{"id":811,"type":"article-journal","title":"Spearmint herbal tea has significant anti-androgen effects in polycystic ovarian syndrome. A randomized controlled trial","container-title":"Phytotherapy research: PTR","page":"186-188","volume":"24","issue":"2","source":"PubMed","abstract":"Hirsutism in polycystic ovarian syndrome (PCOS), consequent to elevated androgen levels leads to significant cosmetic and psychological problems. Recent research in Turkey has shown that spearmint tea has antiandrogenic properties in females with hirsutism. No research has yet been undertaken to assess whether a reduction in androgen levels brought about by spearmint tea, translates to a clinical improvement in the degree of hirsutism. This study was a two centre, 30 day randomized controlled trial. Forty two volunteers were randomized to take spearmint tea twice a day for a 1 month period and compared with a placebo herbal tea. At 0, 15 and 30 days of the study serum androgen hormone levels and gonadotrophins were checked, the degree of hirsutism was clinically rated using the Ferriman-Galwey score and a questionnaire (the modified DQLI = Dermatology Quality of Life Index) was used to assess improvements in the level of self-reported hirsutism. Forty one of 42 patients completed the study. Free and total testosterone levels were significantly reduced over the 30 day period in the spearmint tea group (p &lt; 0.05). LH and FSH also increased (p &lt; 0.05). Patient's subjective assessments of their degree of hirsutism scored by the modified DQLI were significantly reduced in the spearmint tea group (p &lt; 0.05). There was, however, no significant reduction in the objective Ferriman-Galwey ratings of hirsutism between the two trial groups over the trial duration (p = 0.12). There was a clear and significant alteration in the relevant hormone levels. This is associated clinically with a reduction in the self-reported degree of hirsutism but unfortunately not with the objectively rated score. It was demonstrated and confirmed that spearmint has antiandrogen properties, the simple fact that this does not clearly translate into clinical practice is due to the relationship between androgen hormones and follicular hair growth and cell turnover time. Simply put, the study duration was not long enough. The original studies from Turkey were in fact only 5 days long. The time taken for hirsutism to resolve is significant and a much longer future study is proposed as the preliminary findings are encouraging that spearmint has the potential for use as a helpful and natural treatment for hirsutism in PCOS.","DOI":"10.1002/ptr.2900","ISSN":"1099-1573","note":"PMID: 19585478","journalAbbreviation":"Phytother Res","language":"eng","author":[{"family":"Grant","given":"Paul"}],"issued":{"date-parts":[["2010",2]]}},"label":"page"}],"schema":"https://github.com/citation-style-language/schema/raw/master/csl-citation.json"}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3</w:t>
      </w:r>
      <w:r w:rsidR="00F362D3" w:rsidRPr="008C51C9">
        <w:rPr>
          <w:rFonts w:ascii="Times New Roman" w:hAnsi="Times New Roman" w:cs="Times New Roman"/>
          <w:sz w:val="24"/>
          <w:szCs w:val="24"/>
          <w:vertAlign w:val="superscript"/>
        </w:rPr>
        <w:t>1</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chamomile oil</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{"citationID":"NvfMLZYD","properties":{"formattedCitation":"{\\rtf \\super 147\\nosupersub{}}","plainCitation":"147"},"citationItems":[{"id":454,"uris":["http://zotero.org/users/4133246/items/8V63RHZ8"],"uri":["http://zotero.org/users/4133246/items/8V63RHZ8"],"itemData":{"id":454,"type":"article-journal","title":"Effects of Chamomile Extract on Biochemical and Clinical Parameters in a Rat Model of Polycystic Ovary Syndrome","container-title":"Journal of Reproduction &amp; Infertility","page":"169-174","volume":"11","issue":"3","source":"PubMed Central","abstract":"Introduction\nPolycystic ovary syndrome (PCOS) is a complex endocrine and metabolic disorder associated with ovulatory dysfunction. Presently, little is known about the primary factors that initiate PCOS. Chamomile flowers are used in alternative medicine for its anti-spasmolytic and anti-inflammatory effects. Antispasmodic properties of chamomile ease menstrual cramps and lessen the possibility of premature labor. This medicinal herb also stimulates menstruation. In this study, we evaluated the effects of Chamomile alcoholic-extract on the biochemical and clinical parameters in a rat model of PCOS.\n\nMaterials and Methods\nEstrous cyclicity of 30 virgin adult cycling rats was monitored by vaginal smears obtained between 0800 and 1200 hours. After about 4 days, each rat received an i.m. injection of Estradiol Valerate (Aburaihan Co., Iran), 2 mg in 0.2 ml of corn oil, to induce PCO. Corn oil was injected to the rats in the control group. All the rats in the experimental group were evaluated for follicular cysts 60 days after the injection. Rats with PCOS were treated by multiple doses (25, 50, 75 mg/kg) of intraperitoneal injections of Chamomile alcoholic-extract for ten days. The data were statistically analyzed at a significance level of p&lt;0.05 by ANOVA, followed by the Student Newman-Keuls post hoc test.\n\nResults\nThe histological and hormonal results showed that Chamomile can decrease the signs of PCOS in the ovarian tissue and help LH secretion in rats (p&lt;0.05).\n\nConclusion\nThe alcoholic-extract of dried Matricaria chamomilla L. flowers can not only induce recovery from a PCO induced state in rats, but also increase dominant follicles. Additionally better endometrial tissue arrangements can be regarded as another therapeutic effect of Chamomile.","ISSN":"2228-5482","note":"PMID: 23926485\nPMCID: PMC3719301","journalAbbreviation":"J Reprod Infertil","author":[{"family":"Zafari Zangeneh","given":"Farideh"},{"family":"Minaee","given":"Bagher"},{"family":"Amirzargar","given":"Ashraf"},{"family":"Ahangarpour","given":"Akram"},{"family":"Mousavizadeh","given":"Kazem"}],"issued":{"date-parts":[["2010"]]}}}],"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32</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dill oil (of </w:t>
      </w:r>
      <w:r w:rsidRPr="008C51C9">
        <w:rPr>
          <w:rFonts w:ascii="Times New Roman" w:hAnsi="Times New Roman" w:cs="Times New Roman"/>
          <w:i/>
          <w:sz w:val="24"/>
          <w:szCs w:val="24"/>
        </w:rPr>
        <w:t>Anethumgraveolens L.</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{"citationID":"5ikj76nrd","properties":{"formattedCitation":"{\\rtf \\super 148,149\\nosupersub{}}","plainCitation":"148,149"},"citationItems":[{"id":817,"uris":["http://zotero.org/users/4133246/items/VESUSJDU"],"uri":["http://zotero.org/users/4133246/items/VESUSJDU"],"itemData":{"id":817,"type":"article","title":"Anethum graveolens L. (dill): One plant for many Gynaecological disorders","URL":"http://oaji.net/articles/2016/3020-1456051978.pdf","accessed":{"date-parts":[["2018",2,27]]}},"label":"page"},{"id":815,"uris":["http://zotero.org/users/4133246/items/8K8XGJG3"],"uri":["http://zotero.org/users/4133246/items/8K8XGJG3"],"itemData":{"id":815,"type":"article-journal","title":"Effect of Dill (Anethum graveolens) on the severity of primary dysmenorrhea in compared with mefenamic acid: A randomized, double-blind trial","container-title":"Journal of Research in Medical Sciences : The Official Journal of Isfahan University of Medical Sciences","page":"326-330","volume":"19","issue":"4","source":"PubMed Central","abstract":"Background:\nDysmenorrhea has negative effects on women's life. Due to side-effects of chemical drugs, there is growing trend toward herbal medicine. The aim of this study was to assess the effect of Dill compared to mefenamic acid on primary dysmenorrhea.\n\nMaterials and Methods:\nThis double-blind, randomized, clinical trial study was conducted on 75 single female students between 18 and 28 years old educating in Nursing and Midwifery School and Paramedical Faculty of Qom University of Medical Sciences of Iran in 2011. They were allocated randomly into one of the three groups: In Dill group, they took 1000 mg of Dill powder q12h for 5 days from 2 days before the beginning of menstruation for two cycles. Other groups received 250 mg mefenamic acid or 500 mg starch capsule as placebo, respectively. Dysmenorrhea severity was determined by a verbal multidimensional scoring system and a visual analog scale (VAS). Students with mild dysmenorrhea were excluded. Data were analyzed by SPSS using the descriptive statistic, paired-samples t-test, Wilcoxon signed-rank test, Mann-Whitney test, and Kruskal-Wallis test.\n\nResults:\nThere were no significant differences between three groups for demographic or descriptive variables. Comprising the VAS showed that the participants of Dill and mefenamic acid groups had lower significant pain in the 1st and the 2nd months after treatment, whereas in the placebo group this was only significant in the 2nd month (P &lt; 0.05).\n\nConclusion:\nDill was as effective as mefenamic acid in reducing the pain severity in primary dysmenorrhea. Further studies regarding side-effects of Dill and its interactivity are recommended.","ISSN":"1735-1995","note":"PMID: 25097605\nPMCID: PMC4115348","shortTitle":"Effect of Dill (Anethum graveolens) on the severity of primary dysmenorrhea in compared with mefenamic acid","journalAbbreviation":"J Res Med Sci","author":[{"family":"Heidarifar","given":"Reza"},{"family":"Mehran","given":"Nahid"},{"family":"Heidari","given":"Akram"},{"family":"Tehran","given":"Hoda Ahmari"},{"family":"Koohbor","given":"Mohammad"},{"family":"Mansourabad","given":"Mostafa Kazemian"}],"issued":{"date-parts":[["2014",4]]}},"label":"page"}],"schema":"https://github.com/citation-style-language/schema/raw/master/csl-citation.json"}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33</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white cedar oil (of </w:t>
      </w:r>
      <w:r w:rsidRPr="008C51C9">
        <w:rPr>
          <w:rFonts w:ascii="Times New Roman" w:hAnsi="Times New Roman" w:cs="Times New Roman"/>
          <w:i/>
          <w:sz w:val="24"/>
          <w:szCs w:val="24"/>
        </w:rPr>
        <w:t>Thuja</w:t>
      </w:r>
      <w:r w:rsidR="00DB49FC">
        <w:rPr>
          <w:rFonts w:ascii="Times New Roman" w:hAnsi="Times New Roman" w:cs="Times New Roman"/>
          <w:i/>
          <w:sz w:val="24"/>
          <w:szCs w:val="24"/>
        </w:rPr>
        <w:t xml:space="preserve"> </w:t>
      </w:r>
      <w:r w:rsidRPr="008C51C9">
        <w:rPr>
          <w:rFonts w:ascii="Times New Roman" w:hAnsi="Times New Roman" w:cs="Times New Roman"/>
          <w:i/>
          <w:sz w:val="24"/>
          <w:szCs w:val="24"/>
        </w:rPr>
        <w:t>occidentalis L</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{"citationID":"oVjWdgZP","properties":{"formattedCitation":"{\\rtf \\super 146\\nosupersub{}}","plainCitation":"146"},"citationItems":[{"id":452,"uris":["http://zotero.org/users/4133246/items/RNIFTJRI"],"uri":["http://zotero.org/users/4133246/items/RNIFTJRI"],"itemData":{"id":452,"type":"article-journal","title":"Thuja occidentalis L. and its active compound, α-thujone: Promising effects in the treatment of polycystic ovary syndrome without inducing osteoporosis","container-title":"Journal of Ethnopharmacology","page":"25-30","volume":"168","source":"ScienceDirect","abstract":"Ethnopharmacological relevance\nThuja occidentalis L. (Cupressaceae) has been used in folk medicine for the treatment of rheumatism, amenorrhea, cystitis, and uterine carcinomas, and as an abortifacient and contraceptive.\nAim of the study\nThe present study aimed to determine whether T. occidentalis oil and α-thujone could be beneficial in the treatment of polycystic ovary syndrome (PCOS).\nMaterials and methods\nT. occidentalis oil and α-thujone were administered to rats with letrozole-induced PCOS for 21 days. At the end of 21 days, the rats were sacrificed and blood samples were taken by cardiac puncture. The levels of serum gonadotropins, steroids, blood lipid, leptin, and glucose and the values of antioxidant parameters were measured.\nResults\nThe results demonstrated that estradiol and progesterone levels significantly increased, while luteinizing hormone (LH) and testosterone levels decreased in the T. occidentalis- and α-thujone-administered groups. The plasma low-density lipoprotein-cholesterol (LDL-C), leptin, and glucose concentrations were also significantly decreased in the T. occidentalis and α-thujone groups when compared to the control group. Histopathological findings demonstrated that the T. occidentalis and α-thujone groups displayed good healing. According to the phytochemical analyses, 25 compounds were identified in the T. occidentalis oil. The main constituents of the oil were the monoterpene ketones α- and β-thujone, fenchone, and sabinene, as well as the diterpenes beyerene and rimuene.\nConclusion\nT. occidentalis essential oil and its active component, α-thujone, can be used for the treatment of PCOS without inducing osteoporosis.","DOI":"10.1016/j.jep.2015.03.029","ISSN":"0378-8741","shortTitle":"Thuja occidentalis L. and its active compound, α-thujone","journalAbbreviation":"Journal of Ethnopharmacology","author":[{"family":"Küpeli Akkol","given":"Esra"},{"family":"İlhan","given":"Mert"},{"family":"Ayşe Demirel","given":"Mürşide"},{"family":"Keleş","given":"Hikmet"},{"family":"Tümen","given":"Ibrahim"},{"family":"Süntar","given":"İpek"}],"issued":{"date-parts":[["2015",6,20]]}}}],"schema":"https://github.com/citation-style-language/schema/raw/master/csl-citation.json"}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w:t>
      </w:r>
      <w:r w:rsidRPr="008C51C9">
        <w:rPr>
          <w:rFonts w:ascii="Times New Roman" w:hAnsi="Times New Roman" w:cs="Times New Roman"/>
          <w:sz w:val="24"/>
          <w:szCs w:val="24"/>
          <w:vertAlign w:val="superscript"/>
        </w:rPr>
        <w:t>4</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cinnamon oil (of </w:t>
      </w:r>
      <w:r w:rsidRPr="008C51C9">
        <w:rPr>
          <w:rFonts w:ascii="Times New Roman" w:hAnsi="Times New Roman" w:cs="Times New Roman"/>
          <w:i/>
          <w:sz w:val="24"/>
          <w:szCs w:val="24"/>
        </w:rPr>
        <w:t>Cinnamomum cassia</w:t>
      </w:r>
      <w:r w:rsidRPr="008C51C9">
        <w:rPr>
          <w:rFonts w:ascii="Times New Roman" w:hAnsi="Times New Roman" w:cs="Times New Roman"/>
          <w:sz w:val="24"/>
          <w:szCs w:val="24"/>
        </w:rPr>
        <w:t>)</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{"citationID":"2pf3kfpq6g","properties":{"formattedCitation":"{\\rtf \\super 135,150\\nosupersub{}}","plainCitation":"135,150"},"citationItems":[{"id":808,"uris":["http://zotero.org/users/4133246/items/U8J2KSB7"],"uri":["http://zotero.org/users/4133246/items/U8J2KSB7"],"itemData":{"id":808,"type":"article-journal","title":"The effect of cinnamon extract on insulin resistance parameters in polycystic ovary syndrome: a pilot study","container-title":"Fertility and Sterility","page":"240-243","volume":"88","issue":"1","source":"PubMed","abstract":"Cinnamon extract has been shown to reduce insulin resistance in in vitro and in vivo studies by increasing phosphatidylinositol 3-kinase activity in the insulin signaling pathway and thus potentiating insulin action. Fifteen women with polycystic ovary syndrome (PCOS) were randomized to daily oral cinnamon and placebo for 8 weeks. Comparisons of post-treatment to baseline insulin sensitivity indices using fasting and 2-hour oral glucose tolerance tests showed significant reductions in insulin resistance in the cinnamon group but not in the placebo group. A larger trial is needed to confirm the findings of this pilot study and to evaluate the effect of cinnamon extract on menstrual cyclicity.","DOI":"10.1016/j.fertnstert.2006.11.082","ISSN":"1556-5653","note":"PMID: 17296187","shortTitle":"The effect of cinnamon extract on insulin resistance parameters in polycystic ovary syndrome","journalAbbreviation":"Fertil. Steril.","language":"eng","author":[{"family":"Wang","given":"Jeff G."},{"family":"Anderson","given":"Richard A."},{"family":"Graham","given":"George M."},{"family":"Chu","given":"Micheline C."},{"family":"Sauer","given":"Mark V."},{"family":"Guarnaccia","given":"Michael M."},{"family":"Lobo","given":"Rogerio A."}],"issued":{"date-parts":[["2007",7]]}},"label":"page"},{"id":460,"uris":["http://zotero.org/users/4133246/items/3MZBUN9D"],"uri":["http://zotero.org/users/4133246/items/3MZBUN9D"],"itemData":{"id":460,"type":"post-weblog","title":"The Benefits of Cinnamon for PCOS","URL":"http://naumesnd.com/2015/09/10/cinnamon/","language":"en-US","accessed":{"date-parts":[["2018",2,25]]}},"label":"page"}],"schema":"https://github.com/citation-style-language/schema/raw/master/csl-citation.json"}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35</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Other essential oils such as ylangylang, geranium, lavender and clary sage, also claim to be beneficial in treatment of PCOS, but have not been scientifically researched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{"citationID":"nO4WzafE","properties":{"formattedCitation":"{\\rtf \\super 145\\nosupersub{}}","plainCitation":"145"},"citationItems":[{"id":462,"uris":["http://zotero.org/users/4133246/items/T9U2H326"],"uri":["http://zotero.org/users/4133246/items/T9U2H326"],"itemData":{"id":462,"type":"webpage","title":"Top 5 Essential Oils for PCOS","container-title":"PCOS Diva","abstract":"Essential oils are powerful healers. Women with PCOS can especially benefit. Here are my top 5 favorite essential oils for PCOS.","URL":"https://pcosdiva.com/2017/01/top-5-essential-oils-for-pcos/","language":"en-US","issued":{"date-parts":[["2017",1,23]]},"accessed":{"date-parts":[["2018",2,25]]}}}],"schema":"https://github.com/citation-style-language/schema/raw/master/csl-citation.json"}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w:t>
      </w:r>
    </w:p>
    <w:p w14:paraId="7B4F9172" w14:textId="77777777" w:rsidR="00A34012" w:rsidRPr="008C51C9" w:rsidRDefault="00A34012" w:rsidP="00E45B54">
      <w:pPr>
        <w:jc w:val="both"/>
        <w:rPr>
          <w:rFonts w:ascii="Times New Roman" w:hAnsi="Times New Roman" w:cs="Times New Roman"/>
          <w:sz w:val="24"/>
          <w:szCs w:val="24"/>
        </w:rPr>
      </w:pPr>
      <w:r w:rsidRPr="008C51C9">
        <w:rPr>
          <w:rFonts w:ascii="Times New Roman" w:hAnsi="Times New Roman" w:cs="Times New Roman"/>
          <w:sz w:val="24"/>
          <w:szCs w:val="24"/>
        </w:rPr>
        <w:lastRenderedPageBreak/>
        <w:t>Herbal medicines, 100% natural plant extract based formulations, have demonstrated positive effects in management of PCOS, similar to their pharmacological counterparts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{"citationID":"1qki510shh","properties":{"formattedCitation":"{\\rtf \\super 117,125\\nosupersub{}}","plainCitation":"117,125"},"citationItems":[{"id":780,"uris":["http://zotero.org/users/4133246/items/BEA5BB67"],"uri":["http://zotero.org/users/4133246/items/BEA5BB67"],"itemData":{"id":780,"type":"article-journal","title":"The physiological basis of complementary and alternative medicines for polycystic ovary syndrome","container-title":"American Journal of Physiology - Endocrinology and Metabolism","page":"E1-E10","volume":"301","issue":"1","source":"PubMed Central","abstract":"Polycystic ovary syndrome (PCOS) is a common endocrine disorder that is characterized by chronic hyperandrogenic anovulation leading to symptoms of hirsutism, acne, irregular menses, and infertility. Multiple metabolic and cardiovascular risk factors are associated with PCOS, including insulin resistance, obesity, type 2 diabetes, hypertension, inflammation, and subclinical atherosclerosis. However, current treatments for PCOS are only moderately effective at controlling symptoms and preventing complications. This article describes how the physiological effects of major complementary and alternative medicine (CAM) treatments could reduce the severity of PCOS and its complications. Acupuncture reduces hyperandrogenism and improves menstrual frequency in PCOS. Acupuncture's clinical effects are mediated via activation of somatic afferent nerves innervating the skin and muscle, which, via modulation of the activity in the somatic and autonomic nervous system, may modulate endocrine and metabolic functions in PCOS. Chinese herbal medicines and dietary supplements may also exert beneficial physiological effects in PCOS, but there is minimal evidence that these CAM treatments are safe and effective. Mindfulness has not been investigated in PCOS, but it has been shown to reduce psychological distress and exert positive effects on the central and autonomic nervous systems, hypothalamic-pituitary-adrenal axis, and immune system, leading to reductions in blood pressure, glucose, and inflammation. In conclusion, CAM treatments may have beneficial endocrine, cardiometabolic, and reproductive effects in PCOS. However, most studies of CAM treatments for PCOS are small, nonrandomized, or uncontrolled. Future well-designed studies are needed to further evaluate the safety, effectiveness, and mechanisms of CAM treatments for PCOS.","DOI":"10.1152/ajpendo.00667.2010","ISSN":"0193-1849","note":"PMID: 21487075\nPMCID: PMC4459923","journalAbbreviation":"Am J Physiol Endocrinol Metab","author":[{"family":"Raja-Khan","given":"Nazia"},{"family":"Stener-Victorin","given":"Elisabet"},{"family":"Wu","given":"XiaoKe"},{"family":"Legro","given":"Richard S."}],"issued":{"date-parts":[["2011",7]]}},"label":"page"},{"id":782,"uris":["http://zotero.org/users/4133246/items/TKKJF5MS"],"uri":["http://zotero.org/users/4133246/items/TKKJF5MS"],"itemData":{"id":782,"type":"article-journal","title":"Herbal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2</w:t>
      </w:r>
      <w:r w:rsidRPr="008C51C9">
        <w:rPr>
          <w:rFonts w:ascii="Times New Roman" w:hAnsi="Times New Roman" w:cs="Times New Roman"/>
          <w:sz w:val="24"/>
          <w:szCs w:val="24"/>
          <w:vertAlign w:val="superscript"/>
        </w:rPr>
        <w:t>7,2</w:t>
      </w:r>
      <w:r w:rsidR="00F362D3"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Several herbal medicines, ayurvedic products and essential oils are available in the markets that claim to have a beneficial effect in </w:t>
      </w:r>
      <w:r w:rsidR="007D7481" w:rsidRPr="008C51C9">
        <w:rPr>
          <w:rFonts w:ascii="Times New Roman" w:hAnsi="Times New Roman" w:cs="Times New Roman"/>
          <w:sz w:val="24"/>
          <w:szCs w:val="24"/>
        </w:rPr>
        <w:t>pati</w:t>
      </w:r>
      <w:r w:rsidR="00230B9F" w:rsidRPr="008C51C9">
        <w:rPr>
          <w:rFonts w:ascii="Times New Roman" w:hAnsi="Times New Roman" w:cs="Times New Roman"/>
          <w:sz w:val="24"/>
          <w:szCs w:val="24"/>
        </w:rPr>
        <w:t>ents</w:t>
      </w:r>
      <w:r w:rsidRPr="008C51C9">
        <w:rPr>
          <w:rFonts w:ascii="Times New Roman" w:hAnsi="Times New Roman" w:cs="Times New Roman"/>
          <w:sz w:val="24"/>
          <w:szCs w:val="24"/>
        </w:rPr>
        <w:t xml:space="preserve"> of PCOS, but only few claims have been validated through laboratory and clinical evidences and most studies are small, nonrandomized, or uncontrolled</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{"citationID":"SMpEMTaY","properties":{"formattedCitation":"{\\rtf \\super 125\\nosupersub{}}","plainCitation":"125"},"citationItems":[{"id":782,"uris":["http://zotero.org/users/4133246/items/TKKJF5MS"],"uri":["http://zotero.org/users/4133246/items/TKKJF5MS"],"itemData":{"id":782,"type":"article-journal","title":"Herbal medicine for the management of polycystic ovary syndrome (PCOS) and associated oligo/amenorrhoea and hyperandrogenism; a review of the laboratory evidence for effects with corroborative clinical findings","container-title":"BMC Complementary and Alternative Medicine","page":"511","volume":"14","issue":"1","source":"bmccomplementalternmed.biomedcentral.com","abstract":"Polycystic ovary syndrome (PCOS) is a prevalent, complex endocrine disorder characterised by polycystic ovaries, chronic anovulation and hyperandrogenism leading to symptoms of irregular menstrual cycles, hirsutism, acne and infertility. Evidence based medical management emphasises a multidisciplinary approach for PCOS, as conventional pharmaceutical treatment addresses single symptoms, may be contra-indicated, is often associated with side effects and not effective in some cases. In addition women with PCOS have expressed a strong desire for alternative treatments. This review examines the reproductive endocrine effects in PCOS for an alternative treatment, herbal medicine. The aim of this review was to identify consistent evidence from both pre-clinical and clinical research, to add to the evidence base for herbal medicine in PCOS (and associated oligo/amenorrhoea and hyperandrogenism) and to inform herbal selection in the provision clinical care for these common conditions. We undertook two searches of the scientific literature. The first search sought pre-clinical studies which explained the reproductive endocrine effects of whole herbal extracts in oligo/amenorrhoea, hyperandrogenism and PCOS. Herbal medicines from the first search informed key words for the second search. The second search sought clinical studies, which corroborated laboratory findings. Subjects included women with PCOS, menstrual irregularities and hyperandrogenism. A total of 33 studies were included in this review. Eighteen pre-clinical studies reported mechanisms of effect and fifteen clinical studies corroborated pre-clinical findings, including eight randomised controlled trials, and 762 women with menstrual irregularities, hyperandrogenism and/or PCOS. Interventions included herbal extracts of Vitex agnus-castus, Cimicifuga racemosa, Tribulus terrestris, Glycyrrhiza spp., Paeonia lactiflora and Cinnamomum cassia. Endocrine outcomes included reduced luteinising hormone (LH), prolactin, fasting insulin and testosterone. There was evidence for the regulation of ovulation, improved metabolic hormone profile and improved fertility outcomes in PCOS. There was evidence for an equivalent effect of two herbal medicines and the pharmaceutical agents bromocriptine (and Vitex agnus-castus) and clomiphene citrate (and Cimicifuga racemosa). There was less robust evidence for the complementary combination of spirinolactone and Glycyrrhiza spp. for hyperandrogenism. Preclinical and clinical studies provide evidence that six herbal medicines may have beneficial effects for women with oligo/amenorrhea, hyperandrogenism and PCOS. However the quantity of pre-clinical data was limited, and the quality of clinical evidence was variable. Further pre-clinical studies are needed to explain the effects of herbal medicines not included in this review with current clinical evidence but an absence of pre-clinical data.","DOI":"10.1186/1472-6882-14-511","ISSN":"1472-6882","language":"En","author":[{"family":"Arentz","given":"Susan"},{"family":"Abbott","given":"Jason Anthony"},{"family":"Smith","given":"Caroline Anne"},{"family":"Bensoussan","given":"Alan"}],"issued":{"date-parts":[["2014",12]]}}}],"schema":"https://github.com/citation-style-language/schema/raw/master/csl-citation.json"} </w:instrText>
      </w:r>
      <w:r w:rsidRPr="008C51C9">
        <w:rPr>
          <w:rFonts w:ascii="Times New Roman" w:hAnsi="Times New Roman" w:cs="Times New Roman"/>
          <w:sz w:val="24"/>
          <w:szCs w:val="24"/>
        </w:rPr>
        <w:fldChar w:fldCharType="separate"/>
      </w:r>
      <w:r w:rsidRPr="008C51C9">
        <w:rPr>
          <w:rFonts w:ascii="Times New Roman" w:hAnsi="Times New Roman" w:cs="Times New Roman"/>
          <w:sz w:val="24"/>
          <w:szCs w:val="24"/>
          <w:vertAlign w:val="superscript"/>
        </w:rPr>
        <w:t>2</w:t>
      </w:r>
      <w:r w:rsidR="00F362D3" w:rsidRPr="008C51C9">
        <w:rPr>
          <w:rFonts w:ascii="Times New Roman" w:hAnsi="Times New Roman" w:cs="Times New Roman"/>
          <w:sz w:val="24"/>
          <w:szCs w:val="24"/>
          <w:vertAlign w:val="superscript"/>
        </w:rPr>
        <w:t>9</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Till date, role of essential oil in management of PCOS has mainly been studie</w:t>
      </w:r>
      <w:r w:rsidR="00230B9F" w:rsidRPr="008C51C9">
        <w:rPr>
          <w:rFonts w:ascii="Times New Roman" w:hAnsi="Times New Roman" w:cs="Times New Roman"/>
          <w:sz w:val="24"/>
          <w:szCs w:val="24"/>
        </w:rPr>
        <w:t>d</w:t>
      </w:r>
      <w:r w:rsidRPr="008C51C9">
        <w:rPr>
          <w:rFonts w:ascii="Times New Roman" w:hAnsi="Times New Roman" w:cs="Times New Roman"/>
          <w:sz w:val="24"/>
          <w:szCs w:val="24"/>
        </w:rPr>
        <w:t xml:space="preserve"> on rat models</w:t>
      </w:r>
      <w:r w:rsidRPr="008C51C9">
        <w:rPr>
          <w:rFonts w:ascii="Times New Roman" w:hAnsi="Times New Roman" w:cs="Times New Roman"/>
          <w:sz w:val="24"/>
          <w:szCs w:val="24"/>
        </w:rPr>
        <w:fldChar w:fldCharType="begin"/>
      </w:r>
      <w:r w:rsidRPr="008C51C9">
        <w:rPr>
          <w:rFonts w:ascii="Times New Roman" w:hAnsi="Times New Roman" w:cs="Times New Roman"/>
          <w:sz w:val="24"/>
          <w:szCs w:val="24"/>
        </w:rPr>
        <w:instrText xml:space="preserve"> ADDIN ZOTERO_ITEM CSL_CITATION {"citationID":"a1lmDnWS","properties":{"formattedCitation":"{\\rtf \\super 130,136,147,148\\nosupersub{}}","plainCitation":"130,136,147,148"},"citationItems":[{"id":800,"uris":["http://zotero.org/users/4133246/items/RVTR87U8"],"uri":["http://zotero.org/users/4133246/items/RVTR87U8"],"itemData":{"id":800,"type":"article-journal","title":"Alternative treatment of ovarian cysts with Tribulus terrestris extract: a rat model","container-title":"Reproduction in Domestic Animals = Zuchthygiene","page":"e12-15","volume":"47","issue":"1","source":"PubMed","abstract":"Tribulus terrestris has long been used in traditional medicine to treat impotency and improve sexual functions in man. The aim of this study was to evaluate the efficiency of T. terrestris extract in the treatment of polycystic ovary (PCO) in Wistar rat. Estradiol valerate was injected to 15 mature Wistar rats to induce PCO. Rats were randomly divided into three groups (control, low-dose and high-dose groups) of five each and received 0, 5 and 10 mg of T. terrestris extract, respectively.Treatments began on days 50 and 61 after estradiol injection; at the same time, vaginal smear was prepared. The ovaries were removed on day 62, and histological sections were prepared accordingly. The number and diameter of corpora lutea, thickness of the theca interna layer and the number of all follicles were evaluated in both ovaries. In comparison with the control group, the number of corpora lutea and primary and secondary follicles significantly increased following T. terrestris treatment; however, the number of ovarian cysts significantly decreased. It can be concluded that T. terrestris have a luteinizing effect on ovarian cysts, which may relate to its gonadotropin-like activity; also, a high dose of the extract can efficiently remove ovarian cysts and resume ovarian activity.","DOI":"10.1111/j.1439-0531.2011.01877.x","ISSN":"1439-0531","note":"PMID: 21883512","shortTitle":"Alternative treatment of ovarian cysts with Tribulus terrestris extract","journalAbbreviation":"Reprod. Domest. Anim.","language":"eng","author":[{"family":"Dehghan","given":"A."},{"family":"Esfandiari","given":"A."},{"family":"Bigdeli","given":"S. Momeni"}],"issued":{"date-parts":[["2012",2]]}},"label":"page"},{"id":449,"uris":["http://zotero.org/users/4133246/items/5MXFK5QU"],"uri":["http://zotero.org/users/4133246/items/5MXFK5QU"],"itemData":{"id":449,"type":"article-journal","title":"Role of Essential Oil of Mentha Spicata (Spearmint) in Addressing Reverse Hormonal and Folliculogenesis Disturbances in a Polycystic Ovarian Syndrome in a Rat Model","container-title":"Advanced Pharmaceutical Bulletin","page":"651-654","volume":"7","issue":"4","source":"PubMed Central","abstract":"Purpose: Given the antiandrogenic effects of spearmint, in this study we evaluated the effects of its essential oil on polycystic ovarian syndrome in a rat model., Methods: Female rats were treated as follows: Control, normal rats which received 150 mg/kg spearmint oil or 300 mg/kg spearmint oil, or sesame oil; and PCOS-induced rats which received 150 mg/kg spearmint oil or 300 mg/kg spearmint oil, or sesame oil. Then the animals were killed and the levels of LH, FSH, testosterone and ovarian folliculogenesis were evaluated., Results: Spearmint oil reduced body weight, testosterone level, ovarian cysts and atretic follicles and increased Graafian follicles in PCOS rats., Conclusion: Spearmint has treatment potential on PCOS through inhibition of testosterone and restoration of follicular development in ovarian tissue.","DOI":"10.15171/apb.2017.078","ISSN":"2228-5881","note":"PMID: 29399556\nPMCID: PMC5788221","journalAbbreviation":"Adv Pharm Bull","author":[{"family":"Sadeghi Ataabadi","given":"Mahmood"},{"family":"Alaee","given":"Sanaz"},{"family":"Bagheri","given":"Mohammad Jafar"},{"family":"Bahmanpoor","given":"Soghra"}],"issued":{"date-parts":[["2017",12]]}},"label":"page"},{"id":454,"uris":["http://zotero.org/users/4133246/items/8V63RHZ8"],"uri":["http://zotero.org/users/4133246/items/8V63RHZ8"],"itemData":{"id":454,"type":"article-journal","title":"Effects of Chamomile Extract on Biochemical and Clinical Parameters in a Rat Model of Polycystic Ovary Syndrome","container-title":"Journal of Reproduction &amp; Infertility","page":"169-174","volume":"11","issue":"3","source":"PubMed Central","abstract":"Introduction\nPolycystic ovary syndrome (PCOS) is a complex endocrine and metabolic disorder associated with ovulatory dysfunction. Presently, little is known about the primary factors that initiate PCOS. Chamomile flowers are used in alternative medicine for its anti-spasmolytic and anti-inflammatory effects. Antispasmodic properties of chamomile ease menstrual cramps and lessen the possibility of premature labor. This medicinal herb also stimulates menstruation. In this study, we evaluated the effects of Chamomile alcoholic-extract on the biochemical and clinical parameters in a rat model of PCOS.\n\nMaterials and Methods\nEstrous cyclicity of 30 virgin adult cycling rats was monitored by vaginal smears obtained between 0800 and 1200 hours. After about 4 days, each rat received an i.m. injection of Estradiol Valerate (Aburaihan Co., Iran), 2 mg in 0.2 ml of corn oil, to induce PCO. Corn oil was injected to the rats in the control group. All the rats in the experimental group were evaluated for follicular cysts 60 days after the injection. Rats with PCOS were treated by multiple doses (25, 50, 75 mg/kg) of intraperitoneal injections of Chamomile alcoholic-extract for ten days. The data were statistically analyzed at a significance level of p&lt;0.05 by ANOVA, followed by the Student Newman-Keuls post hoc test.\n\nResults\nThe histological and hormonal results showed that Chamomile can decrease the signs of PCOS in the ovarian tissue and help LH secretion in rats (p&lt;0.05).\n\nConclusion\nThe alcoholic-extract of dried Matricaria chamomilla L. flowers can not only induce recovery from a PCO induced state in rats, but also increase dominant follicles. Additionally better endometrial tissue arrangements can be regarded as another therapeutic effect of Chamomile.","ISSN":"2228-5482","note":"PMID: 23926485\nPMCID: PMC3719301","journalAbbreviation":"J Reprod Infertil","author":[{"family":"Zafari Zangeneh","given":"Farideh"},{"family":"Minaee","given":"Bagher"},{"family":"Amirzargar","given":"Ashraf"},{"family":"Ahangarpour","given":"Akram"},{"family":"Mousavizadeh","given":"Kazem"}],"issued":{"date-parts":[["2010"]]}},"label":"page"},{"id":815,"uris":["http://zotero.org/users/4133246/items/8K8XGJG3"],"uri":["http://zotero.org/users/4133246/items/8K8XGJG3"],"itemData":{"id":815,"type":"article-journal","title":"Effect of Dill (Anethum graveolens) on the severity of primary dysmenorrhea in compared with mefenamic acid: A randomized, double-blind trial","container-title":"Journal of Research in Medical Sciences : The Official Journal of Isfahan University of Medical Sciences","page":"326-330","volume":"19","issue":"4","source":"PubMed Central","abstract":"Background:\nDysmenorrhea has negative effects on women's life. Due to side-effects of chemical drugs, there is growing trend toward herbal medicine. The aim of this study was to assess the effect of Dill compared to mefenamic acid on primary dysmenorrhea.\n\nMaterials and Methods:\nThis double-blind, randomized, clinical trial study was conducted on 75 single female students between 18 and 28 years old educating in Nursing and Midwifery School and Paramedical Faculty of Qom University of Medical Sciences of Iran in 2011. They were allocated randomly into one of the three groups: In Dill group, they took 1000 mg of Dill powder q12h for 5 days from 2 days before the beginning of menstruation for two cycles. Other groups received 250 mg mefenamic acid or 500 mg starch capsule as placebo, respectively. Dysmenorrhea severity was determined by a verbal multidimensional scoring system and a visual analog scale (VAS). Students with mild dysmenorrhea were excluded. Data were analyzed by SPSS using the descriptive statistic, paired-samples t-test, Wilcoxon signed-rank test, Mann-Whitney test, and Kruskal-Wallis test.\n\nResults:\nThere were no significant differences between three groups for demographic or descriptive variables. Comprising the VAS showed that the participants of Dill and mefenamic acid groups had lower significant pain in the 1st and the 2nd months after treatment, whereas in the placebo group this was only significant in the 2nd month (P &lt; 0.05).\n\nConclusion:\nDill was as effective as mefenamic acid in reducing the pain severity in primary dysmenorrhea. Further studies regarding side-effects of Dill and its interactivity are recommended.","ISSN":"1735-1995","note":"PMID: 25097605\nPMCID: PMC4115348","shortTitle":"Effect of Dill (Anethum graveolens) on the severity of primary dysmenorrhea in compared with mefenamic acid","journalAbbreviation":"J Res Med Sci","author":[{"family":"Heidarifar","given":"Reza"},{"family":"Mehran","given":"Nahid"},{"family":"Heidari","given":"Akram"},{"family":"Tehran","given":"Hoda Ahmari"},{"family":"Koohbor","given":"Mohammad"},{"family":"Mansourabad","given":"Mostafa Kazemian"}],"issued":{"date-parts":[["2014",4]]}},"label":"page"}],"schema":"https://github.com/citation-style-language/schema/raw/master/csl-citation.json"} </w:instrText>
      </w:r>
      <w:r w:rsidRPr="008C51C9">
        <w:rPr>
          <w:rFonts w:ascii="Times New Roman" w:hAnsi="Times New Roman" w:cs="Times New Roman"/>
          <w:sz w:val="24"/>
          <w:szCs w:val="24"/>
        </w:rPr>
        <w:fldChar w:fldCharType="separate"/>
      </w:r>
      <w:r w:rsidR="00F362D3" w:rsidRPr="008C51C9">
        <w:rPr>
          <w:rFonts w:ascii="Times New Roman" w:hAnsi="Times New Roman" w:cs="Times New Roman"/>
          <w:sz w:val="24"/>
          <w:szCs w:val="24"/>
          <w:vertAlign w:val="superscript"/>
        </w:rPr>
        <w:t>32,3</w:t>
      </w:r>
      <w:r w:rsidR="00006B69">
        <w:rPr>
          <w:rFonts w:ascii="Times New Roman" w:hAnsi="Times New Roman" w:cs="Times New Roman"/>
          <w:sz w:val="24"/>
          <w:szCs w:val="24"/>
          <w:vertAlign w:val="superscript"/>
        </w:rPr>
        <w:t>5</w:t>
      </w:r>
      <w:r w:rsidR="00F362D3" w:rsidRPr="008C51C9">
        <w:rPr>
          <w:rFonts w:ascii="Times New Roman" w:hAnsi="Times New Roman" w:cs="Times New Roman"/>
          <w:sz w:val="24"/>
          <w:szCs w:val="24"/>
          <w:vertAlign w:val="superscript"/>
        </w:rPr>
        <w:t>,3</w:t>
      </w:r>
      <w:r w:rsidR="000F4FEC">
        <w:rPr>
          <w:rFonts w:ascii="Times New Roman" w:hAnsi="Times New Roman" w:cs="Times New Roman"/>
          <w:sz w:val="24"/>
          <w:szCs w:val="24"/>
          <w:vertAlign w:val="superscript"/>
        </w:rPr>
        <w:t>6</w:t>
      </w:r>
      <w:r w:rsidRPr="008C51C9">
        <w:rPr>
          <w:rFonts w:ascii="Times New Roman" w:hAnsi="Times New Roman" w:cs="Times New Roman"/>
          <w:sz w:val="24"/>
          <w:szCs w:val="24"/>
        </w:rPr>
        <w:fldChar w:fldCharType="end"/>
      </w:r>
      <w:r w:rsidRPr="008C51C9">
        <w:rPr>
          <w:rFonts w:ascii="Times New Roman" w:hAnsi="Times New Roman" w:cs="Times New Roman"/>
          <w:sz w:val="24"/>
          <w:szCs w:val="24"/>
        </w:rPr>
        <w:t xml:space="preserve"> and there are no clinical trials proving beneficial effect of topical application of essential oil and its safety in treatment of PCOS. </w:t>
      </w:r>
    </w:p>
    <w:p w14:paraId="368BAC10" w14:textId="77777777" w:rsidR="00A34012" w:rsidRPr="008C51C9" w:rsidRDefault="007E228B" w:rsidP="00E45B54">
      <w:pPr>
        <w:jc w:val="both"/>
        <w:rPr>
          <w:rFonts w:ascii="Times New Roman" w:hAnsi="Times New Roman" w:cs="Times New Roman"/>
          <w:sz w:val="24"/>
          <w:szCs w:val="24"/>
        </w:rPr>
      </w:pPr>
      <w:r w:rsidRPr="008C51C9">
        <w:rPr>
          <w:rFonts w:ascii="Times New Roman" w:hAnsi="Times New Roman" w:cs="Times New Roman"/>
          <w:sz w:val="24"/>
          <w:szCs w:val="24"/>
        </w:rPr>
        <w:t>The test product</w:t>
      </w:r>
      <w:r w:rsidR="00D24B26" w:rsidRPr="008C51C9">
        <w:rPr>
          <w:rFonts w:ascii="Times New Roman" w:hAnsi="Times New Roman" w:cs="Times New Roman"/>
          <w:sz w:val="24"/>
          <w:szCs w:val="24"/>
        </w:rPr>
        <w:t>, a therapeutic blend of oils, is</w:t>
      </w:r>
      <w:r w:rsidRPr="008C51C9">
        <w:rPr>
          <w:rFonts w:ascii="Times New Roman" w:hAnsi="Times New Roman" w:cs="Times New Roman"/>
          <w:sz w:val="24"/>
          <w:szCs w:val="24"/>
        </w:rPr>
        <w:t xml:space="preserve"> </w:t>
      </w:r>
      <w:r w:rsidR="00A34012" w:rsidRPr="008C51C9">
        <w:rPr>
          <w:rFonts w:ascii="Times New Roman" w:hAnsi="Times New Roman" w:cs="Times New Roman"/>
          <w:sz w:val="24"/>
          <w:szCs w:val="24"/>
        </w:rPr>
        <w:t xml:space="preserve">prepared using </w:t>
      </w:r>
      <w:r w:rsidR="00D24B26" w:rsidRPr="008C51C9">
        <w:rPr>
          <w:rFonts w:ascii="Times New Roman" w:hAnsi="Times New Roman" w:cs="Times New Roman"/>
          <w:sz w:val="24"/>
          <w:szCs w:val="24"/>
        </w:rPr>
        <w:t xml:space="preserve">traditional principles of Ayurveda </w:t>
      </w:r>
      <w:r w:rsidR="00843113" w:rsidRPr="008C51C9">
        <w:rPr>
          <w:rFonts w:ascii="Times New Roman" w:hAnsi="Times New Roman" w:cs="Times New Roman"/>
          <w:sz w:val="24"/>
          <w:szCs w:val="24"/>
        </w:rPr>
        <w:t>by blending plants extracts with volatile oils. This blend helps support the body’s intrinsic healing processes.</w:t>
      </w:r>
      <w:r w:rsidR="00A34012" w:rsidRPr="008C51C9">
        <w:rPr>
          <w:rFonts w:ascii="Times New Roman" w:hAnsi="Times New Roman" w:cs="Times New Roman"/>
          <w:sz w:val="24"/>
          <w:szCs w:val="24"/>
        </w:rPr>
        <w:t xml:space="preserve"> The proprietary composition of </w:t>
      </w:r>
      <w:r w:rsidR="006B3305" w:rsidRPr="008C51C9">
        <w:rPr>
          <w:rFonts w:ascii="Times New Roman" w:hAnsi="Times New Roman" w:cs="Times New Roman"/>
          <w:sz w:val="24"/>
          <w:szCs w:val="24"/>
        </w:rPr>
        <w:t xml:space="preserve">the </w:t>
      </w:r>
      <w:r w:rsidR="00A34012" w:rsidRPr="008C51C9">
        <w:rPr>
          <w:rFonts w:ascii="Times New Roman" w:hAnsi="Times New Roman" w:cs="Times New Roman"/>
          <w:sz w:val="24"/>
          <w:szCs w:val="24"/>
        </w:rPr>
        <w:t>oil blend i</w:t>
      </w:r>
      <w:r w:rsidR="00F663D9" w:rsidRPr="008C51C9">
        <w:rPr>
          <w:rFonts w:ascii="Times New Roman" w:hAnsi="Times New Roman" w:cs="Times New Roman"/>
          <w:sz w:val="24"/>
          <w:szCs w:val="24"/>
        </w:rPr>
        <w:t>s given in Table</w:t>
      </w:r>
      <w:r w:rsidR="00A477D4" w:rsidRPr="008C51C9">
        <w:rPr>
          <w:rFonts w:ascii="Times New Roman" w:hAnsi="Times New Roman" w:cs="Times New Roman"/>
          <w:sz w:val="24"/>
          <w:szCs w:val="24"/>
        </w:rPr>
        <w:t>1</w:t>
      </w:r>
      <w:r w:rsidR="00D354A4" w:rsidRPr="008C51C9">
        <w:rPr>
          <w:rFonts w:ascii="Times New Roman" w:hAnsi="Times New Roman" w:cs="Times New Roman"/>
          <w:sz w:val="24"/>
          <w:szCs w:val="24"/>
        </w:rPr>
        <w:t xml:space="preserve">. The placebo oil used is </w:t>
      </w:r>
      <w:r w:rsidR="00E779C7">
        <w:rPr>
          <w:rFonts w:ascii="Times New Roman" w:hAnsi="Times New Roman" w:cs="Times New Roman"/>
          <w:sz w:val="24"/>
          <w:szCs w:val="24"/>
        </w:rPr>
        <w:t xml:space="preserve">a blend of </w:t>
      </w:r>
      <w:r w:rsidR="00D354A4" w:rsidRPr="008C51C9">
        <w:rPr>
          <w:rFonts w:ascii="Times New Roman" w:hAnsi="Times New Roman" w:cs="Times New Roman"/>
          <w:sz w:val="24"/>
          <w:szCs w:val="24"/>
        </w:rPr>
        <w:t>oil</w:t>
      </w:r>
      <w:r w:rsidR="00E779C7">
        <w:rPr>
          <w:rFonts w:ascii="Times New Roman" w:hAnsi="Times New Roman" w:cs="Times New Roman"/>
          <w:sz w:val="24"/>
          <w:szCs w:val="24"/>
        </w:rPr>
        <w:t>s soyabean, sunflower and musturd</w:t>
      </w:r>
      <w:r w:rsidR="00D354A4" w:rsidRPr="008C51C9">
        <w:rPr>
          <w:rFonts w:ascii="Times New Roman" w:hAnsi="Times New Roman" w:cs="Times New Roman"/>
          <w:sz w:val="24"/>
          <w:szCs w:val="24"/>
        </w:rPr>
        <w:t>.</w:t>
      </w:r>
    </w:p>
    <w:p w14:paraId="2754C026" w14:textId="77777777" w:rsidR="00F663D9" w:rsidRPr="008C51C9" w:rsidRDefault="00F663D9" w:rsidP="00E45B54">
      <w:pPr>
        <w:jc w:val="both"/>
        <w:rPr>
          <w:rFonts w:ascii="Times New Roman" w:hAnsi="Times New Roman" w:cs="Times New Roman"/>
          <w:sz w:val="24"/>
          <w:szCs w:val="24"/>
        </w:rPr>
      </w:pPr>
    </w:p>
    <w:tbl>
      <w:tblPr>
        <w:tblW w:w="8815" w:type="dxa"/>
        <w:tblLook w:val="04A0" w:firstRow="1" w:lastRow="0" w:firstColumn="1" w:lastColumn="0" w:noHBand="0" w:noVBand="1"/>
      </w:tblPr>
      <w:tblGrid>
        <w:gridCol w:w="1315"/>
        <w:gridCol w:w="2550"/>
        <w:gridCol w:w="854"/>
        <w:gridCol w:w="1126"/>
        <w:gridCol w:w="2160"/>
        <w:gridCol w:w="810"/>
      </w:tblGrid>
      <w:tr w:rsidR="006B3305" w:rsidRPr="008C51C9" w14:paraId="11F72A1B" w14:textId="77777777" w:rsidTr="007576C1">
        <w:trPr>
          <w:trHeight w:val="300"/>
        </w:trPr>
        <w:tc>
          <w:tcPr>
            <w:tcW w:w="38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C3F94" w14:textId="77777777" w:rsidR="006B3305" w:rsidRPr="008C51C9" w:rsidRDefault="006B3305" w:rsidP="006B3305">
            <w:pPr>
              <w:spacing w:after="0" w:line="240" w:lineRule="auto"/>
              <w:jc w:val="center"/>
              <w:rPr>
                <w:rFonts w:ascii="Calibri" w:eastAsia="Times New Roman" w:hAnsi="Calibri" w:cs="Calibri"/>
                <w:b/>
                <w:bCs/>
                <w:color w:val="000000"/>
                <w:lang w:val="en-US"/>
              </w:rPr>
            </w:pPr>
            <w:r w:rsidRPr="008C51C9">
              <w:rPr>
                <w:rFonts w:ascii="Calibri" w:eastAsia="Times New Roman" w:hAnsi="Calibri" w:cs="Calibri"/>
                <w:b/>
                <w:bCs/>
                <w:color w:val="000000"/>
                <w:lang w:val="en-US"/>
              </w:rPr>
              <w:t>Plant Extracts from</w:t>
            </w:r>
          </w:p>
        </w:tc>
        <w:tc>
          <w:tcPr>
            <w:tcW w:w="495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2FFFF6F" w14:textId="77777777" w:rsidR="006B3305" w:rsidRPr="008C51C9" w:rsidRDefault="006B3305" w:rsidP="006B3305">
            <w:pPr>
              <w:spacing w:after="0" w:line="240" w:lineRule="auto"/>
              <w:jc w:val="center"/>
              <w:rPr>
                <w:rFonts w:ascii="Calibri" w:eastAsia="Times New Roman" w:hAnsi="Calibri" w:cs="Calibri"/>
                <w:b/>
                <w:bCs/>
                <w:color w:val="000000"/>
                <w:lang w:val="en-US"/>
              </w:rPr>
            </w:pPr>
            <w:r w:rsidRPr="008C51C9">
              <w:rPr>
                <w:rFonts w:ascii="Calibri" w:eastAsia="Times New Roman" w:hAnsi="Calibri" w:cs="Calibri"/>
                <w:b/>
                <w:bCs/>
                <w:color w:val="000000"/>
                <w:lang w:val="en-US"/>
              </w:rPr>
              <w:t xml:space="preserve">Base Oil </w:t>
            </w:r>
          </w:p>
        </w:tc>
      </w:tr>
      <w:tr w:rsidR="007576C1" w:rsidRPr="008C51C9" w14:paraId="33C450A0" w14:textId="77777777" w:rsidTr="007576C1">
        <w:trPr>
          <w:trHeight w:val="600"/>
        </w:trPr>
        <w:tc>
          <w:tcPr>
            <w:tcW w:w="1315" w:type="dxa"/>
            <w:tcBorders>
              <w:top w:val="nil"/>
              <w:left w:val="single" w:sz="4" w:space="0" w:color="auto"/>
              <w:bottom w:val="single" w:sz="4" w:space="0" w:color="auto"/>
              <w:right w:val="single" w:sz="4" w:space="0" w:color="auto"/>
            </w:tcBorders>
            <w:shd w:val="clear" w:color="000000" w:fill="FFFFFF"/>
            <w:vAlign w:val="center"/>
            <w:hideMark/>
          </w:tcPr>
          <w:p w14:paraId="52170D0C"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English Name</w:t>
            </w:r>
          </w:p>
        </w:tc>
        <w:tc>
          <w:tcPr>
            <w:tcW w:w="2550" w:type="dxa"/>
            <w:tcBorders>
              <w:top w:val="nil"/>
              <w:left w:val="nil"/>
              <w:bottom w:val="single" w:sz="4" w:space="0" w:color="auto"/>
              <w:right w:val="single" w:sz="4" w:space="0" w:color="auto"/>
            </w:tcBorders>
            <w:shd w:val="clear" w:color="000000" w:fill="FFFFFF"/>
            <w:vAlign w:val="center"/>
            <w:hideMark/>
          </w:tcPr>
          <w:p w14:paraId="595C6AE3"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Latin Name</w:t>
            </w:r>
          </w:p>
        </w:tc>
        <w:tc>
          <w:tcPr>
            <w:tcW w:w="854" w:type="dxa"/>
            <w:tcBorders>
              <w:top w:val="nil"/>
              <w:left w:val="nil"/>
              <w:bottom w:val="single" w:sz="4" w:space="0" w:color="auto"/>
              <w:right w:val="single" w:sz="4" w:space="0" w:color="auto"/>
            </w:tcBorders>
            <w:shd w:val="clear" w:color="000000" w:fill="FFFFFF"/>
            <w:vAlign w:val="center"/>
            <w:hideMark/>
          </w:tcPr>
          <w:p w14:paraId="497D6506"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%age</w:t>
            </w:r>
          </w:p>
        </w:tc>
        <w:tc>
          <w:tcPr>
            <w:tcW w:w="1126" w:type="dxa"/>
            <w:tcBorders>
              <w:top w:val="nil"/>
              <w:left w:val="nil"/>
              <w:bottom w:val="single" w:sz="4" w:space="0" w:color="auto"/>
              <w:right w:val="single" w:sz="4" w:space="0" w:color="auto"/>
            </w:tcBorders>
            <w:shd w:val="clear" w:color="000000" w:fill="FFFFFF"/>
            <w:vAlign w:val="center"/>
            <w:hideMark/>
          </w:tcPr>
          <w:p w14:paraId="6A9979DC"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English Name</w:t>
            </w:r>
          </w:p>
        </w:tc>
        <w:tc>
          <w:tcPr>
            <w:tcW w:w="2160" w:type="dxa"/>
            <w:tcBorders>
              <w:top w:val="nil"/>
              <w:left w:val="nil"/>
              <w:bottom w:val="single" w:sz="4" w:space="0" w:color="auto"/>
              <w:right w:val="single" w:sz="4" w:space="0" w:color="auto"/>
            </w:tcBorders>
            <w:shd w:val="clear" w:color="000000" w:fill="FFFFFF"/>
            <w:vAlign w:val="center"/>
            <w:hideMark/>
          </w:tcPr>
          <w:p w14:paraId="1CE4CF3B"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Latin Name</w:t>
            </w:r>
          </w:p>
        </w:tc>
        <w:tc>
          <w:tcPr>
            <w:tcW w:w="810" w:type="dxa"/>
            <w:tcBorders>
              <w:top w:val="nil"/>
              <w:left w:val="nil"/>
              <w:bottom w:val="single" w:sz="4" w:space="0" w:color="auto"/>
              <w:right w:val="single" w:sz="4" w:space="0" w:color="auto"/>
            </w:tcBorders>
            <w:shd w:val="clear" w:color="000000" w:fill="FFFFFF"/>
            <w:vAlign w:val="center"/>
            <w:hideMark/>
          </w:tcPr>
          <w:p w14:paraId="10EEC9E7" w14:textId="77777777" w:rsidR="006B3305" w:rsidRPr="008C51C9" w:rsidRDefault="006B3305" w:rsidP="006B3305">
            <w:pPr>
              <w:spacing w:after="0" w:line="240" w:lineRule="auto"/>
              <w:jc w:val="center"/>
              <w:rPr>
                <w:rFonts w:ascii="Calibri" w:eastAsia="Times New Roman" w:hAnsi="Calibri" w:cs="Calibri"/>
                <w:b/>
                <w:bCs/>
                <w:color w:val="000000"/>
                <w:sz w:val="24"/>
                <w:szCs w:val="24"/>
                <w:lang w:val="en-US"/>
              </w:rPr>
            </w:pPr>
            <w:r w:rsidRPr="008C51C9">
              <w:rPr>
                <w:rFonts w:ascii="Calibri" w:eastAsia="Times New Roman" w:hAnsi="Calibri" w:cs="Calibri"/>
                <w:b/>
                <w:bCs/>
                <w:color w:val="000000"/>
                <w:sz w:val="24"/>
                <w:szCs w:val="24"/>
                <w:lang w:val="en-US"/>
              </w:rPr>
              <w:t>%age</w:t>
            </w:r>
          </w:p>
        </w:tc>
      </w:tr>
      <w:tr w:rsidR="007576C1" w:rsidRPr="008C51C9" w14:paraId="7B7D6B9C"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D55DC5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Oregano</w:t>
            </w:r>
          </w:p>
        </w:tc>
        <w:tc>
          <w:tcPr>
            <w:tcW w:w="2550" w:type="dxa"/>
            <w:tcBorders>
              <w:top w:val="nil"/>
              <w:left w:val="nil"/>
              <w:bottom w:val="single" w:sz="4" w:space="0" w:color="auto"/>
              <w:right w:val="single" w:sz="4" w:space="0" w:color="auto"/>
            </w:tcBorders>
            <w:shd w:val="clear" w:color="auto" w:fill="auto"/>
            <w:noWrap/>
            <w:vAlign w:val="bottom"/>
            <w:hideMark/>
          </w:tcPr>
          <w:p w14:paraId="31F2199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Origanum vulgare var.Carvacrol</w:t>
            </w:r>
          </w:p>
        </w:tc>
        <w:tc>
          <w:tcPr>
            <w:tcW w:w="854" w:type="dxa"/>
            <w:vMerge w:val="restart"/>
            <w:tcBorders>
              <w:top w:val="nil"/>
              <w:left w:val="single" w:sz="4" w:space="0" w:color="auto"/>
              <w:bottom w:val="single" w:sz="4" w:space="0" w:color="auto"/>
              <w:right w:val="single" w:sz="4" w:space="0" w:color="auto"/>
            </w:tcBorders>
            <w:shd w:val="clear" w:color="auto" w:fill="auto"/>
            <w:vAlign w:val="center"/>
            <w:hideMark/>
          </w:tcPr>
          <w:p w14:paraId="2FCCB3F6" w14:textId="3DA5CDE1" w:rsidR="006B3305" w:rsidRPr="008C51C9" w:rsidRDefault="006B3305" w:rsidP="006B3305">
            <w:pPr>
              <w:spacing w:after="0" w:line="240" w:lineRule="auto"/>
              <w:jc w:val="center"/>
              <w:rPr>
                <w:rFonts w:ascii="Calibri" w:eastAsia="Times New Roman" w:hAnsi="Calibri" w:cs="Calibri"/>
                <w:color w:val="000000"/>
                <w:lang w:val="en-US"/>
              </w:rPr>
            </w:pPr>
            <w:r w:rsidRPr="008C51C9">
              <w:rPr>
                <w:rFonts w:ascii="Calibri" w:eastAsia="Times New Roman" w:hAnsi="Calibri" w:cs="Calibri"/>
                <w:color w:val="000000"/>
                <w:lang w:val="en-US"/>
              </w:rPr>
              <w:t xml:space="preserve">Total </w:t>
            </w:r>
            <w:r w:rsidRPr="001F0E37">
              <w:rPr>
                <w:rFonts w:ascii="Calibri" w:eastAsia="Times New Roman" w:hAnsi="Calibri" w:cs="Calibri"/>
                <w:color w:val="000000"/>
                <w:lang w:val="en-US"/>
              </w:rPr>
              <w:t>8%</w:t>
            </w:r>
          </w:p>
        </w:tc>
        <w:tc>
          <w:tcPr>
            <w:tcW w:w="1126" w:type="dxa"/>
            <w:tcBorders>
              <w:top w:val="nil"/>
              <w:left w:val="nil"/>
              <w:bottom w:val="single" w:sz="4" w:space="0" w:color="auto"/>
              <w:right w:val="single" w:sz="4" w:space="0" w:color="auto"/>
            </w:tcBorders>
            <w:shd w:val="clear" w:color="000000" w:fill="FFFFFF"/>
            <w:noWrap/>
            <w:vAlign w:val="center"/>
            <w:hideMark/>
          </w:tcPr>
          <w:p w14:paraId="5B20B2B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Almond</w:t>
            </w:r>
          </w:p>
        </w:tc>
        <w:tc>
          <w:tcPr>
            <w:tcW w:w="2160" w:type="dxa"/>
            <w:tcBorders>
              <w:top w:val="nil"/>
              <w:left w:val="nil"/>
              <w:bottom w:val="single" w:sz="4" w:space="0" w:color="auto"/>
              <w:right w:val="single" w:sz="4" w:space="0" w:color="auto"/>
            </w:tcBorders>
            <w:shd w:val="clear" w:color="auto" w:fill="auto"/>
            <w:noWrap/>
            <w:vAlign w:val="bottom"/>
            <w:hideMark/>
          </w:tcPr>
          <w:p w14:paraId="1075FCB7"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Prunus dulcis</w:t>
            </w:r>
          </w:p>
        </w:tc>
        <w:tc>
          <w:tcPr>
            <w:tcW w:w="810" w:type="dxa"/>
            <w:vMerge w:val="restart"/>
            <w:tcBorders>
              <w:top w:val="nil"/>
              <w:left w:val="single" w:sz="4" w:space="0" w:color="auto"/>
              <w:bottom w:val="single" w:sz="4" w:space="0" w:color="auto"/>
              <w:right w:val="single" w:sz="4" w:space="0" w:color="auto"/>
            </w:tcBorders>
            <w:shd w:val="clear" w:color="auto" w:fill="auto"/>
            <w:vAlign w:val="center"/>
            <w:hideMark/>
          </w:tcPr>
          <w:p w14:paraId="196CBC38" w14:textId="1AB37EBE" w:rsidR="006B3305" w:rsidRPr="008C51C9" w:rsidRDefault="006B3305" w:rsidP="006B3305">
            <w:pPr>
              <w:spacing w:after="0" w:line="240" w:lineRule="auto"/>
              <w:jc w:val="center"/>
              <w:rPr>
                <w:rFonts w:ascii="Calibri" w:eastAsia="Times New Roman" w:hAnsi="Calibri" w:cs="Calibri"/>
                <w:color w:val="000000"/>
                <w:lang w:val="en-US"/>
              </w:rPr>
            </w:pPr>
            <w:r w:rsidRPr="008C51C9">
              <w:rPr>
                <w:rFonts w:ascii="Calibri" w:eastAsia="Times New Roman" w:hAnsi="Calibri" w:cs="Calibri"/>
                <w:color w:val="000000"/>
                <w:lang w:val="en-US"/>
              </w:rPr>
              <w:t xml:space="preserve">Total </w:t>
            </w:r>
            <w:r w:rsidR="00D96F85">
              <w:rPr>
                <w:rFonts w:ascii="Calibri" w:eastAsia="Times New Roman" w:hAnsi="Calibri" w:cs="Calibri"/>
                <w:color w:val="000000"/>
                <w:lang w:val="en-US"/>
              </w:rPr>
              <w:t>9</w:t>
            </w:r>
            <w:r w:rsidRPr="001F0E37">
              <w:rPr>
                <w:rFonts w:ascii="Calibri" w:eastAsia="Times New Roman" w:hAnsi="Calibri" w:cs="Calibri"/>
                <w:color w:val="000000"/>
                <w:lang w:val="en-US"/>
              </w:rPr>
              <w:t>2%</w:t>
            </w:r>
          </w:p>
        </w:tc>
      </w:tr>
      <w:tr w:rsidR="007576C1" w:rsidRPr="008C51C9" w14:paraId="4731F17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5963384"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Sandalwood</w:t>
            </w:r>
          </w:p>
        </w:tc>
        <w:tc>
          <w:tcPr>
            <w:tcW w:w="2550" w:type="dxa"/>
            <w:tcBorders>
              <w:top w:val="nil"/>
              <w:left w:val="nil"/>
              <w:bottom w:val="single" w:sz="4" w:space="0" w:color="auto"/>
              <w:right w:val="single" w:sz="4" w:space="0" w:color="auto"/>
            </w:tcBorders>
            <w:shd w:val="clear" w:color="auto" w:fill="auto"/>
            <w:noWrap/>
            <w:vAlign w:val="bottom"/>
            <w:hideMark/>
          </w:tcPr>
          <w:p w14:paraId="3E42FB8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Santalum album</w:t>
            </w:r>
          </w:p>
        </w:tc>
        <w:tc>
          <w:tcPr>
            <w:tcW w:w="854" w:type="dxa"/>
            <w:vMerge/>
            <w:tcBorders>
              <w:top w:val="nil"/>
              <w:left w:val="single" w:sz="4" w:space="0" w:color="auto"/>
              <w:bottom w:val="single" w:sz="4" w:space="0" w:color="auto"/>
              <w:right w:val="single" w:sz="4" w:space="0" w:color="auto"/>
            </w:tcBorders>
            <w:vAlign w:val="center"/>
            <w:hideMark/>
          </w:tcPr>
          <w:p w14:paraId="2AB89388"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06009D4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Olive</w:t>
            </w:r>
          </w:p>
        </w:tc>
        <w:tc>
          <w:tcPr>
            <w:tcW w:w="2160" w:type="dxa"/>
            <w:tcBorders>
              <w:top w:val="nil"/>
              <w:left w:val="nil"/>
              <w:bottom w:val="single" w:sz="4" w:space="0" w:color="auto"/>
              <w:right w:val="single" w:sz="4" w:space="0" w:color="auto"/>
            </w:tcBorders>
            <w:shd w:val="clear" w:color="auto" w:fill="auto"/>
            <w:noWrap/>
            <w:vAlign w:val="bottom"/>
            <w:hideMark/>
          </w:tcPr>
          <w:p w14:paraId="609F651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Olea europaea</w:t>
            </w:r>
          </w:p>
        </w:tc>
        <w:tc>
          <w:tcPr>
            <w:tcW w:w="810" w:type="dxa"/>
            <w:vMerge/>
            <w:tcBorders>
              <w:top w:val="nil"/>
              <w:left w:val="single" w:sz="4" w:space="0" w:color="auto"/>
              <w:bottom w:val="single" w:sz="4" w:space="0" w:color="auto"/>
              <w:right w:val="single" w:sz="4" w:space="0" w:color="auto"/>
            </w:tcBorders>
            <w:vAlign w:val="center"/>
            <w:hideMark/>
          </w:tcPr>
          <w:p w14:paraId="5DF6268E"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335F018D"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620896C7"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Myrrh</w:t>
            </w:r>
          </w:p>
        </w:tc>
        <w:tc>
          <w:tcPr>
            <w:tcW w:w="2550" w:type="dxa"/>
            <w:tcBorders>
              <w:top w:val="nil"/>
              <w:left w:val="nil"/>
              <w:bottom w:val="single" w:sz="4" w:space="0" w:color="auto"/>
              <w:right w:val="single" w:sz="4" w:space="0" w:color="auto"/>
            </w:tcBorders>
            <w:shd w:val="clear" w:color="auto" w:fill="auto"/>
            <w:noWrap/>
            <w:vAlign w:val="bottom"/>
            <w:hideMark/>
          </w:tcPr>
          <w:p w14:paraId="7E8D2D8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Commiphora myrrha</w:t>
            </w:r>
          </w:p>
        </w:tc>
        <w:tc>
          <w:tcPr>
            <w:tcW w:w="854" w:type="dxa"/>
            <w:vMerge/>
            <w:tcBorders>
              <w:top w:val="nil"/>
              <w:left w:val="single" w:sz="4" w:space="0" w:color="auto"/>
              <w:bottom w:val="single" w:sz="4" w:space="0" w:color="auto"/>
              <w:right w:val="single" w:sz="4" w:space="0" w:color="auto"/>
            </w:tcBorders>
            <w:vAlign w:val="center"/>
            <w:hideMark/>
          </w:tcPr>
          <w:p w14:paraId="09178635"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668458B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Coconut</w:t>
            </w:r>
          </w:p>
        </w:tc>
        <w:tc>
          <w:tcPr>
            <w:tcW w:w="2160" w:type="dxa"/>
            <w:tcBorders>
              <w:top w:val="nil"/>
              <w:left w:val="nil"/>
              <w:bottom w:val="single" w:sz="4" w:space="0" w:color="auto"/>
              <w:right w:val="single" w:sz="4" w:space="0" w:color="auto"/>
            </w:tcBorders>
            <w:shd w:val="clear" w:color="auto" w:fill="auto"/>
            <w:noWrap/>
            <w:vAlign w:val="bottom"/>
            <w:hideMark/>
          </w:tcPr>
          <w:p w14:paraId="7E4C9742"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Cocos </w:t>
            </w:r>
            <w:r w:rsidR="00296994" w:rsidRPr="008C51C9">
              <w:rPr>
                <w:rFonts w:ascii="Calibri" w:eastAsia="Times New Roman" w:hAnsi="Calibri" w:cs="Calibri"/>
                <w:color w:val="000000"/>
                <w:lang w:val="en-US"/>
              </w:rPr>
              <w:t>n</w:t>
            </w:r>
            <w:r w:rsidRPr="008C51C9">
              <w:rPr>
                <w:rFonts w:ascii="Calibri" w:eastAsia="Times New Roman" w:hAnsi="Calibri" w:cs="Calibri"/>
                <w:color w:val="000000"/>
                <w:lang w:val="en-US"/>
              </w:rPr>
              <w:t>ucifera</w:t>
            </w:r>
          </w:p>
        </w:tc>
        <w:tc>
          <w:tcPr>
            <w:tcW w:w="810" w:type="dxa"/>
            <w:vMerge/>
            <w:tcBorders>
              <w:top w:val="nil"/>
              <w:left w:val="single" w:sz="4" w:space="0" w:color="auto"/>
              <w:bottom w:val="single" w:sz="4" w:space="0" w:color="auto"/>
              <w:right w:val="single" w:sz="4" w:space="0" w:color="auto"/>
            </w:tcBorders>
            <w:vAlign w:val="center"/>
            <w:hideMark/>
          </w:tcPr>
          <w:p w14:paraId="5B53A7F3"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5A9437F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ECB43C1"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Basil</w:t>
            </w:r>
          </w:p>
        </w:tc>
        <w:tc>
          <w:tcPr>
            <w:tcW w:w="2550" w:type="dxa"/>
            <w:tcBorders>
              <w:top w:val="nil"/>
              <w:left w:val="nil"/>
              <w:bottom w:val="single" w:sz="4" w:space="0" w:color="auto"/>
              <w:right w:val="single" w:sz="4" w:space="0" w:color="auto"/>
            </w:tcBorders>
            <w:shd w:val="clear" w:color="auto" w:fill="auto"/>
            <w:noWrap/>
            <w:vAlign w:val="bottom"/>
            <w:hideMark/>
          </w:tcPr>
          <w:p w14:paraId="36F3328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Ocimum basilicum var.Linalool</w:t>
            </w:r>
          </w:p>
        </w:tc>
        <w:tc>
          <w:tcPr>
            <w:tcW w:w="854" w:type="dxa"/>
            <w:vMerge/>
            <w:tcBorders>
              <w:top w:val="nil"/>
              <w:left w:val="single" w:sz="4" w:space="0" w:color="auto"/>
              <w:bottom w:val="single" w:sz="4" w:space="0" w:color="auto"/>
              <w:right w:val="single" w:sz="4" w:space="0" w:color="auto"/>
            </w:tcBorders>
            <w:vAlign w:val="center"/>
            <w:hideMark/>
          </w:tcPr>
          <w:p w14:paraId="2AE6691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64598CF6"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Til</w:t>
            </w:r>
          </w:p>
        </w:tc>
        <w:tc>
          <w:tcPr>
            <w:tcW w:w="2160" w:type="dxa"/>
            <w:tcBorders>
              <w:top w:val="nil"/>
              <w:left w:val="nil"/>
              <w:bottom w:val="single" w:sz="4" w:space="0" w:color="auto"/>
              <w:right w:val="single" w:sz="4" w:space="0" w:color="auto"/>
            </w:tcBorders>
            <w:shd w:val="clear" w:color="auto" w:fill="auto"/>
            <w:noWrap/>
            <w:vAlign w:val="bottom"/>
            <w:hideMark/>
          </w:tcPr>
          <w:p w14:paraId="5A81A6C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Sesamum indicum L.</w:t>
            </w:r>
          </w:p>
        </w:tc>
        <w:tc>
          <w:tcPr>
            <w:tcW w:w="810" w:type="dxa"/>
            <w:vMerge/>
            <w:tcBorders>
              <w:top w:val="nil"/>
              <w:left w:val="single" w:sz="4" w:space="0" w:color="auto"/>
              <w:bottom w:val="single" w:sz="4" w:space="0" w:color="auto"/>
              <w:right w:val="single" w:sz="4" w:space="0" w:color="auto"/>
            </w:tcBorders>
            <w:vAlign w:val="center"/>
            <w:hideMark/>
          </w:tcPr>
          <w:p w14:paraId="3AE7682C"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5A6D53E3"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333489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Geranium</w:t>
            </w:r>
          </w:p>
        </w:tc>
        <w:tc>
          <w:tcPr>
            <w:tcW w:w="2550" w:type="dxa"/>
            <w:tcBorders>
              <w:top w:val="nil"/>
              <w:left w:val="nil"/>
              <w:bottom w:val="single" w:sz="4" w:space="0" w:color="auto"/>
              <w:right w:val="single" w:sz="4" w:space="0" w:color="auto"/>
            </w:tcBorders>
            <w:shd w:val="clear" w:color="auto" w:fill="auto"/>
            <w:noWrap/>
            <w:vAlign w:val="bottom"/>
            <w:hideMark/>
          </w:tcPr>
          <w:p w14:paraId="61736346"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Pelargonium graveolens</w:t>
            </w:r>
          </w:p>
        </w:tc>
        <w:tc>
          <w:tcPr>
            <w:tcW w:w="854" w:type="dxa"/>
            <w:vMerge/>
            <w:tcBorders>
              <w:top w:val="nil"/>
              <w:left w:val="single" w:sz="4" w:space="0" w:color="auto"/>
              <w:bottom w:val="single" w:sz="4" w:space="0" w:color="auto"/>
              <w:right w:val="single" w:sz="4" w:space="0" w:color="auto"/>
            </w:tcBorders>
            <w:vAlign w:val="center"/>
            <w:hideMark/>
          </w:tcPr>
          <w:p w14:paraId="22B45FA8"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7CC677B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Apricot</w:t>
            </w:r>
          </w:p>
        </w:tc>
        <w:tc>
          <w:tcPr>
            <w:tcW w:w="2160" w:type="dxa"/>
            <w:tcBorders>
              <w:top w:val="nil"/>
              <w:left w:val="nil"/>
              <w:bottom w:val="single" w:sz="4" w:space="0" w:color="auto"/>
              <w:right w:val="single" w:sz="4" w:space="0" w:color="auto"/>
            </w:tcBorders>
            <w:shd w:val="clear" w:color="auto" w:fill="auto"/>
            <w:noWrap/>
            <w:vAlign w:val="bottom"/>
            <w:hideMark/>
          </w:tcPr>
          <w:p w14:paraId="64EC60FA"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Prunus </w:t>
            </w:r>
            <w:r w:rsidR="00296994" w:rsidRPr="008C51C9">
              <w:rPr>
                <w:rFonts w:ascii="Calibri" w:eastAsia="Times New Roman" w:hAnsi="Calibri" w:cs="Calibri"/>
                <w:color w:val="000000"/>
                <w:lang w:val="en-US"/>
              </w:rPr>
              <w:t>a</w:t>
            </w:r>
            <w:r w:rsidRPr="008C51C9">
              <w:rPr>
                <w:rFonts w:ascii="Calibri" w:eastAsia="Times New Roman" w:hAnsi="Calibri" w:cs="Calibri"/>
                <w:color w:val="000000"/>
                <w:lang w:val="en-US"/>
              </w:rPr>
              <w:t>rmeniaca</w:t>
            </w:r>
          </w:p>
        </w:tc>
        <w:tc>
          <w:tcPr>
            <w:tcW w:w="810" w:type="dxa"/>
            <w:vMerge/>
            <w:tcBorders>
              <w:top w:val="nil"/>
              <w:left w:val="single" w:sz="4" w:space="0" w:color="auto"/>
              <w:bottom w:val="single" w:sz="4" w:space="0" w:color="auto"/>
              <w:right w:val="single" w:sz="4" w:space="0" w:color="auto"/>
            </w:tcBorders>
            <w:vAlign w:val="center"/>
            <w:hideMark/>
          </w:tcPr>
          <w:p w14:paraId="5B51566C"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35CE60D1"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2F37FF76"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Grapeseed</w:t>
            </w:r>
          </w:p>
        </w:tc>
        <w:tc>
          <w:tcPr>
            <w:tcW w:w="2550" w:type="dxa"/>
            <w:tcBorders>
              <w:top w:val="nil"/>
              <w:left w:val="nil"/>
              <w:bottom w:val="single" w:sz="4" w:space="0" w:color="auto"/>
              <w:right w:val="single" w:sz="4" w:space="0" w:color="auto"/>
            </w:tcBorders>
            <w:shd w:val="clear" w:color="auto" w:fill="auto"/>
            <w:noWrap/>
            <w:vAlign w:val="bottom"/>
            <w:hideMark/>
          </w:tcPr>
          <w:p w14:paraId="12501D1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Citrus paradisii</w:t>
            </w:r>
          </w:p>
        </w:tc>
        <w:tc>
          <w:tcPr>
            <w:tcW w:w="854" w:type="dxa"/>
            <w:vMerge/>
            <w:tcBorders>
              <w:top w:val="nil"/>
              <w:left w:val="single" w:sz="4" w:space="0" w:color="auto"/>
              <w:bottom w:val="single" w:sz="4" w:space="0" w:color="auto"/>
              <w:right w:val="single" w:sz="4" w:space="0" w:color="auto"/>
            </w:tcBorders>
            <w:vAlign w:val="center"/>
            <w:hideMark/>
          </w:tcPr>
          <w:p w14:paraId="267909A5"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0C73D65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Sunflower</w:t>
            </w:r>
          </w:p>
        </w:tc>
        <w:tc>
          <w:tcPr>
            <w:tcW w:w="2160" w:type="dxa"/>
            <w:tcBorders>
              <w:top w:val="nil"/>
              <w:left w:val="nil"/>
              <w:bottom w:val="single" w:sz="4" w:space="0" w:color="auto"/>
              <w:right w:val="single" w:sz="4" w:space="0" w:color="auto"/>
            </w:tcBorders>
            <w:shd w:val="clear" w:color="auto" w:fill="auto"/>
            <w:noWrap/>
            <w:vAlign w:val="bottom"/>
            <w:hideMark/>
          </w:tcPr>
          <w:p w14:paraId="52F1669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Helianthus annuus</w:t>
            </w:r>
          </w:p>
        </w:tc>
        <w:tc>
          <w:tcPr>
            <w:tcW w:w="810" w:type="dxa"/>
            <w:vMerge/>
            <w:tcBorders>
              <w:top w:val="nil"/>
              <w:left w:val="single" w:sz="4" w:space="0" w:color="auto"/>
              <w:bottom w:val="single" w:sz="4" w:space="0" w:color="auto"/>
              <w:right w:val="single" w:sz="4" w:space="0" w:color="auto"/>
            </w:tcBorders>
            <w:vAlign w:val="center"/>
            <w:hideMark/>
          </w:tcPr>
          <w:p w14:paraId="11F9C384"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100E93BE"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4964FECD"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Clary Sage</w:t>
            </w:r>
          </w:p>
        </w:tc>
        <w:tc>
          <w:tcPr>
            <w:tcW w:w="2550" w:type="dxa"/>
            <w:tcBorders>
              <w:top w:val="nil"/>
              <w:left w:val="nil"/>
              <w:bottom w:val="single" w:sz="4" w:space="0" w:color="auto"/>
              <w:right w:val="single" w:sz="4" w:space="0" w:color="auto"/>
            </w:tcBorders>
            <w:shd w:val="clear" w:color="auto" w:fill="auto"/>
            <w:noWrap/>
            <w:vAlign w:val="bottom"/>
            <w:hideMark/>
          </w:tcPr>
          <w:p w14:paraId="428FE64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Salvia sclarea</w:t>
            </w:r>
          </w:p>
        </w:tc>
        <w:tc>
          <w:tcPr>
            <w:tcW w:w="854" w:type="dxa"/>
            <w:vMerge/>
            <w:tcBorders>
              <w:top w:val="nil"/>
              <w:left w:val="single" w:sz="4" w:space="0" w:color="auto"/>
              <w:bottom w:val="single" w:sz="4" w:space="0" w:color="auto"/>
              <w:right w:val="single" w:sz="4" w:space="0" w:color="auto"/>
            </w:tcBorders>
            <w:vAlign w:val="center"/>
            <w:hideMark/>
          </w:tcPr>
          <w:p w14:paraId="2580EEAF"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single" w:sz="4" w:space="0" w:color="auto"/>
              <w:right w:val="single" w:sz="4" w:space="0" w:color="auto"/>
            </w:tcBorders>
            <w:shd w:val="clear" w:color="000000" w:fill="FFFFFF"/>
            <w:noWrap/>
            <w:vAlign w:val="center"/>
            <w:hideMark/>
          </w:tcPr>
          <w:p w14:paraId="5E51635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Castor</w:t>
            </w:r>
          </w:p>
        </w:tc>
        <w:tc>
          <w:tcPr>
            <w:tcW w:w="2160" w:type="dxa"/>
            <w:tcBorders>
              <w:top w:val="nil"/>
              <w:left w:val="nil"/>
              <w:bottom w:val="single" w:sz="4" w:space="0" w:color="auto"/>
              <w:right w:val="single" w:sz="4" w:space="0" w:color="auto"/>
            </w:tcBorders>
            <w:shd w:val="clear" w:color="auto" w:fill="auto"/>
            <w:noWrap/>
            <w:vAlign w:val="bottom"/>
            <w:hideMark/>
          </w:tcPr>
          <w:p w14:paraId="735D3AE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Ricinus communis</w:t>
            </w:r>
          </w:p>
        </w:tc>
        <w:tc>
          <w:tcPr>
            <w:tcW w:w="810" w:type="dxa"/>
            <w:vMerge/>
            <w:tcBorders>
              <w:top w:val="nil"/>
              <w:left w:val="single" w:sz="4" w:space="0" w:color="auto"/>
              <w:bottom w:val="single" w:sz="4" w:space="0" w:color="auto"/>
              <w:right w:val="single" w:sz="4" w:space="0" w:color="auto"/>
            </w:tcBorders>
            <w:vAlign w:val="center"/>
            <w:hideMark/>
          </w:tcPr>
          <w:p w14:paraId="5AA892A4" w14:textId="77777777" w:rsidR="006B3305" w:rsidRPr="008C51C9" w:rsidRDefault="006B3305" w:rsidP="006B3305">
            <w:pPr>
              <w:spacing w:after="0" w:line="240" w:lineRule="auto"/>
              <w:rPr>
                <w:rFonts w:ascii="Calibri" w:eastAsia="Times New Roman" w:hAnsi="Calibri" w:cs="Calibri"/>
                <w:color w:val="000000"/>
                <w:lang w:val="en-US"/>
              </w:rPr>
            </w:pPr>
          </w:p>
        </w:tc>
      </w:tr>
      <w:tr w:rsidR="007576C1" w:rsidRPr="008C51C9" w14:paraId="4F9F6A1E"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A46A4A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Cedarwood</w:t>
            </w:r>
          </w:p>
        </w:tc>
        <w:tc>
          <w:tcPr>
            <w:tcW w:w="2550" w:type="dxa"/>
            <w:tcBorders>
              <w:top w:val="nil"/>
              <w:left w:val="nil"/>
              <w:bottom w:val="single" w:sz="4" w:space="0" w:color="auto"/>
              <w:right w:val="single" w:sz="4" w:space="0" w:color="auto"/>
            </w:tcBorders>
            <w:shd w:val="clear" w:color="auto" w:fill="auto"/>
            <w:noWrap/>
            <w:vAlign w:val="bottom"/>
            <w:hideMark/>
          </w:tcPr>
          <w:p w14:paraId="2327A98F"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Cedrus atlantica</w:t>
            </w:r>
          </w:p>
        </w:tc>
        <w:tc>
          <w:tcPr>
            <w:tcW w:w="854" w:type="dxa"/>
            <w:vMerge/>
            <w:tcBorders>
              <w:top w:val="nil"/>
              <w:left w:val="single" w:sz="4" w:space="0" w:color="auto"/>
              <w:bottom w:val="single" w:sz="4" w:space="0" w:color="auto"/>
              <w:right w:val="single" w:sz="4" w:space="0" w:color="auto"/>
            </w:tcBorders>
            <w:vAlign w:val="center"/>
            <w:hideMark/>
          </w:tcPr>
          <w:p w14:paraId="43A09556"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28DDB8A"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72BE1B3"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097E5C16"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4113DDA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31B6EE98"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Peppermint</w:t>
            </w:r>
          </w:p>
        </w:tc>
        <w:tc>
          <w:tcPr>
            <w:tcW w:w="2550" w:type="dxa"/>
            <w:tcBorders>
              <w:top w:val="nil"/>
              <w:left w:val="nil"/>
              <w:bottom w:val="single" w:sz="4" w:space="0" w:color="auto"/>
              <w:right w:val="single" w:sz="4" w:space="0" w:color="auto"/>
            </w:tcBorders>
            <w:shd w:val="clear" w:color="auto" w:fill="auto"/>
            <w:noWrap/>
            <w:vAlign w:val="bottom"/>
            <w:hideMark/>
          </w:tcPr>
          <w:p w14:paraId="51EC140F"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Mentha piperita</w:t>
            </w:r>
          </w:p>
        </w:tc>
        <w:tc>
          <w:tcPr>
            <w:tcW w:w="854" w:type="dxa"/>
            <w:vMerge/>
            <w:tcBorders>
              <w:top w:val="nil"/>
              <w:left w:val="single" w:sz="4" w:space="0" w:color="auto"/>
              <w:bottom w:val="single" w:sz="4" w:space="0" w:color="auto"/>
              <w:right w:val="single" w:sz="4" w:space="0" w:color="auto"/>
            </w:tcBorders>
            <w:vAlign w:val="center"/>
            <w:hideMark/>
          </w:tcPr>
          <w:p w14:paraId="68CA714B"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39692F06"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33DDEC9"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4798842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385CBCC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322A7289"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Ylang Ylang</w:t>
            </w:r>
          </w:p>
        </w:tc>
        <w:tc>
          <w:tcPr>
            <w:tcW w:w="2550" w:type="dxa"/>
            <w:tcBorders>
              <w:top w:val="nil"/>
              <w:left w:val="nil"/>
              <w:bottom w:val="single" w:sz="4" w:space="0" w:color="auto"/>
              <w:right w:val="single" w:sz="4" w:space="0" w:color="auto"/>
            </w:tcBorders>
            <w:shd w:val="clear" w:color="auto" w:fill="auto"/>
            <w:noWrap/>
            <w:vAlign w:val="bottom"/>
            <w:hideMark/>
          </w:tcPr>
          <w:p w14:paraId="2178ADB7"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Cananga odorata var.Genuana</w:t>
            </w:r>
          </w:p>
        </w:tc>
        <w:tc>
          <w:tcPr>
            <w:tcW w:w="854" w:type="dxa"/>
            <w:vMerge/>
            <w:tcBorders>
              <w:top w:val="nil"/>
              <w:left w:val="single" w:sz="4" w:space="0" w:color="auto"/>
              <w:bottom w:val="single" w:sz="4" w:space="0" w:color="auto"/>
              <w:right w:val="single" w:sz="4" w:space="0" w:color="auto"/>
            </w:tcBorders>
            <w:vAlign w:val="center"/>
            <w:hideMark/>
          </w:tcPr>
          <w:p w14:paraId="2DAD04F2"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61A38BFB"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5A3E14BE"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1AAEA0D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633A8086"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8C22CDA"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Rose</w:t>
            </w:r>
          </w:p>
        </w:tc>
        <w:tc>
          <w:tcPr>
            <w:tcW w:w="2550" w:type="dxa"/>
            <w:tcBorders>
              <w:top w:val="nil"/>
              <w:left w:val="nil"/>
              <w:bottom w:val="single" w:sz="4" w:space="0" w:color="auto"/>
              <w:right w:val="single" w:sz="4" w:space="0" w:color="auto"/>
            </w:tcBorders>
            <w:shd w:val="clear" w:color="auto" w:fill="auto"/>
            <w:noWrap/>
            <w:vAlign w:val="bottom"/>
            <w:hideMark/>
          </w:tcPr>
          <w:p w14:paraId="2C3F80E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Rosa </w:t>
            </w:r>
            <w:r w:rsidR="007501ED" w:rsidRPr="008C51C9">
              <w:rPr>
                <w:rFonts w:ascii="Calibri" w:eastAsia="Times New Roman" w:hAnsi="Calibri" w:cs="Calibri"/>
                <w:color w:val="000000"/>
                <w:lang w:val="en-US"/>
              </w:rPr>
              <w:t>damascene</w:t>
            </w:r>
          </w:p>
        </w:tc>
        <w:tc>
          <w:tcPr>
            <w:tcW w:w="854" w:type="dxa"/>
            <w:vMerge/>
            <w:tcBorders>
              <w:top w:val="nil"/>
              <w:left w:val="single" w:sz="4" w:space="0" w:color="auto"/>
              <w:bottom w:val="single" w:sz="4" w:space="0" w:color="auto"/>
              <w:right w:val="single" w:sz="4" w:space="0" w:color="auto"/>
            </w:tcBorders>
            <w:vAlign w:val="center"/>
            <w:hideMark/>
          </w:tcPr>
          <w:p w14:paraId="1B404834"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C1EAE2A"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00C2860"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3D75974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57193A3B"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566171D1"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Cypress</w:t>
            </w:r>
          </w:p>
        </w:tc>
        <w:tc>
          <w:tcPr>
            <w:tcW w:w="2550" w:type="dxa"/>
            <w:tcBorders>
              <w:top w:val="nil"/>
              <w:left w:val="nil"/>
              <w:bottom w:val="single" w:sz="4" w:space="0" w:color="auto"/>
              <w:right w:val="single" w:sz="4" w:space="0" w:color="auto"/>
            </w:tcBorders>
            <w:shd w:val="clear" w:color="auto" w:fill="auto"/>
            <w:noWrap/>
            <w:vAlign w:val="bottom"/>
            <w:hideMark/>
          </w:tcPr>
          <w:p w14:paraId="7358304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Cupressus sempervirens</w:t>
            </w:r>
          </w:p>
        </w:tc>
        <w:tc>
          <w:tcPr>
            <w:tcW w:w="854" w:type="dxa"/>
            <w:vMerge/>
            <w:tcBorders>
              <w:top w:val="nil"/>
              <w:left w:val="single" w:sz="4" w:space="0" w:color="auto"/>
              <w:bottom w:val="single" w:sz="4" w:space="0" w:color="auto"/>
              <w:right w:val="single" w:sz="4" w:space="0" w:color="auto"/>
            </w:tcBorders>
            <w:vAlign w:val="center"/>
            <w:hideMark/>
          </w:tcPr>
          <w:p w14:paraId="1941B77E"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9291533"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081EF064"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25F8DBE9"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1D71061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7DDBD94C"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Fennel</w:t>
            </w:r>
          </w:p>
        </w:tc>
        <w:tc>
          <w:tcPr>
            <w:tcW w:w="2550" w:type="dxa"/>
            <w:tcBorders>
              <w:top w:val="nil"/>
              <w:left w:val="nil"/>
              <w:bottom w:val="single" w:sz="4" w:space="0" w:color="auto"/>
              <w:right w:val="single" w:sz="4" w:space="0" w:color="auto"/>
            </w:tcBorders>
            <w:shd w:val="clear" w:color="auto" w:fill="auto"/>
            <w:noWrap/>
            <w:vAlign w:val="bottom"/>
            <w:hideMark/>
          </w:tcPr>
          <w:p w14:paraId="762C4014"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Foeniculum vulgare</w:t>
            </w:r>
          </w:p>
        </w:tc>
        <w:tc>
          <w:tcPr>
            <w:tcW w:w="854" w:type="dxa"/>
            <w:vMerge/>
            <w:tcBorders>
              <w:top w:val="nil"/>
              <w:left w:val="single" w:sz="4" w:space="0" w:color="auto"/>
              <w:bottom w:val="single" w:sz="4" w:space="0" w:color="auto"/>
              <w:right w:val="single" w:sz="4" w:space="0" w:color="auto"/>
            </w:tcBorders>
            <w:vAlign w:val="center"/>
            <w:hideMark/>
          </w:tcPr>
          <w:p w14:paraId="1AA328B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005CD7A9"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04CA1B3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58826532"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3FE00522"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4029824"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Myrtle</w:t>
            </w:r>
          </w:p>
        </w:tc>
        <w:tc>
          <w:tcPr>
            <w:tcW w:w="2550" w:type="dxa"/>
            <w:tcBorders>
              <w:top w:val="nil"/>
              <w:left w:val="nil"/>
              <w:bottom w:val="single" w:sz="4" w:space="0" w:color="auto"/>
              <w:right w:val="single" w:sz="4" w:space="0" w:color="auto"/>
            </w:tcBorders>
            <w:shd w:val="clear" w:color="auto" w:fill="auto"/>
            <w:noWrap/>
            <w:vAlign w:val="bottom"/>
            <w:hideMark/>
          </w:tcPr>
          <w:p w14:paraId="42934803"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Myrtus communis</w:t>
            </w:r>
          </w:p>
        </w:tc>
        <w:tc>
          <w:tcPr>
            <w:tcW w:w="854" w:type="dxa"/>
            <w:vMerge/>
            <w:tcBorders>
              <w:top w:val="nil"/>
              <w:left w:val="single" w:sz="4" w:space="0" w:color="auto"/>
              <w:bottom w:val="single" w:sz="4" w:space="0" w:color="auto"/>
              <w:right w:val="single" w:sz="4" w:space="0" w:color="auto"/>
            </w:tcBorders>
            <w:vAlign w:val="center"/>
            <w:hideMark/>
          </w:tcPr>
          <w:p w14:paraId="273E7801"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28E7AD5"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4F0B0742"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75224C8F"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67D8C9C1"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1031B482"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Avacado</w:t>
            </w:r>
          </w:p>
        </w:tc>
        <w:tc>
          <w:tcPr>
            <w:tcW w:w="2550" w:type="dxa"/>
            <w:tcBorders>
              <w:top w:val="nil"/>
              <w:left w:val="nil"/>
              <w:bottom w:val="single" w:sz="4" w:space="0" w:color="auto"/>
              <w:right w:val="single" w:sz="4" w:space="0" w:color="auto"/>
            </w:tcBorders>
            <w:shd w:val="clear" w:color="000000" w:fill="FFFFFF"/>
            <w:noWrap/>
            <w:vAlign w:val="center"/>
            <w:hideMark/>
          </w:tcPr>
          <w:p w14:paraId="5DE699D2"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 xml:space="preserve">Persea </w:t>
            </w:r>
            <w:r w:rsidR="003F3381" w:rsidRPr="008C51C9">
              <w:rPr>
                <w:rFonts w:ascii="Calibri" w:eastAsia="Times New Roman" w:hAnsi="Calibri" w:cs="Calibri"/>
                <w:color w:val="000000"/>
                <w:lang w:val="en-US"/>
              </w:rPr>
              <w:t>Americana</w:t>
            </w:r>
          </w:p>
        </w:tc>
        <w:tc>
          <w:tcPr>
            <w:tcW w:w="854" w:type="dxa"/>
            <w:vMerge/>
            <w:tcBorders>
              <w:top w:val="nil"/>
              <w:left w:val="single" w:sz="4" w:space="0" w:color="auto"/>
              <w:bottom w:val="single" w:sz="4" w:space="0" w:color="auto"/>
              <w:right w:val="single" w:sz="4" w:space="0" w:color="auto"/>
            </w:tcBorders>
            <w:vAlign w:val="center"/>
            <w:hideMark/>
          </w:tcPr>
          <w:p w14:paraId="72A7E8C6"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E99EBD1"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61F87C60"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14C86BB5"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r w:rsidR="007576C1" w:rsidRPr="008C51C9" w14:paraId="53F54959" w14:textId="77777777" w:rsidTr="007576C1">
        <w:trPr>
          <w:trHeight w:val="320"/>
        </w:trPr>
        <w:tc>
          <w:tcPr>
            <w:tcW w:w="1315" w:type="dxa"/>
            <w:tcBorders>
              <w:top w:val="nil"/>
              <w:left w:val="single" w:sz="4" w:space="0" w:color="auto"/>
              <w:bottom w:val="single" w:sz="4" w:space="0" w:color="auto"/>
              <w:right w:val="single" w:sz="4" w:space="0" w:color="auto"/>
            </w:tcBorders>
            <w:shd w:val="clear" w:color="auto" w:fill="auto"/>
            <w:noWrap/>
            <w:vAlign w:val="bottom"/>
            <w:hideMark/>
          </w:tcPr>
          <w:p w14:paraId="02C0EA80"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Thyme</w:t>
            </w:r>
          </w:p>
        </w:tc>
        <w:tc>
          <w:tcPr>
            <w:tcW w:w="2550" w:type="dxa"/>
            <w:tcBorders>
              <w:top w:val="nil"/>
              <w:left w:val="nil"/>
              <w:bottom w:val="single" w:sz="4" w:space="0" w:color="auto"/>
              <w:right w:val="single" w:sz="4" w:space="0" w:color="auto"/>
            </w:tcBorders>
            <w:shd w:val="clear" w:color="auto" w:fill="auto"/>
            <w:noWrap/>
            <w:vAlign w:val="bottom"/>
            <w:hideMark/>
          </w:tcPr>
          <w:p w14:paraId="3DF0EDDE" w14:textId="77777777" w:rsidR="006B3305" w:rsidRPr="008C51C9" w:rsidRDefault="006B3305" w:rsidP="006B3305">
            <w:pPr>
              <w:spacing w:after="0" w:line="240" w:lineRule="auto"/>
              <w:rPr>
                <w:rFonts w:ascii="Calibri" w:eastAsia="Times New Roman" w:hAnsi="Calibri" w:cs="Calibri"/>
                <w:color w:val="000000"/>
                <w:lang w:val="en-US"/>
              </w:rPr>
            </w:pPr>
            <w:r w:rsidRPr="008C51C9">
              <w:rPr>
                <w:rFonts w:ascii="Calibri" w:eastAsia="Times New Roman" w:hAnsi="Calibri" w:cs="Calibri"/>
                <w:color w:val="000000"/>
                <w:lang w:val="en-US"/>
              </w:rPr>
              <w:t>Thymus vulgaris var.Linalool</w:t>
            </w:r>
          </w:p>
        </w:tc>
        <w:tc>
          <w:tcPr>
            <w:tcW w:w="854" w:type="dxa"/>
            <w:vMerge/>
            <w:tcBorders>
              <w:top w:val="nil"/>
              <w:left w:val="single" w:sz="4" w:space="0" w:color="auto"/>
              <w:bottom w:val="single" w:sz="4" w:space="0" w:color="auto"/>
              <w:right w:val="single" w:sz="4" w:space="0" w:color="auto"/>
            </w:tcBorders>
            <w:vAlign w:val="center"/>
            <w:hideMark/>
          </w:tcPr>
          <w:p w14:paraId="5EE22E6C" w14:textId="77777777" w:rsidR="006B3305" w:rsidRPr="008C51C9" w:rsidRDefault="006B3305" w:rsidP="006B3305">
            <w:pPr>
              <w:spacing w:after="0" w:line="240" w:lineRule="auto"/>
              <w:rPr>
                <w:rFonts w:ascii="Calibri" w:eastAsia="Times New Roman" w:hAnsi="Calibri" w:cs="Calibri"/>
                <w:color w:val="000000"/>
                <w:lang w:val="en-US"/>
              </w:rPr>
            </w:pPr>
          </w:p>
        </w:tc>
        <w:tc>
          <w:tcPr>
            <w:tcW w:w="1126" w:type="dxa"/>
            <w:tcBorders>
              <w:top w:val="nil"/>
              <w:left w:val="nil"/>
              <w:bottom w:val="nil"/>
              <w:right w:val="nil"/>
            </w:tcBorders>
            <w:shd w:val="clear" w:color="auto" w:fill="auto"/>
            <w:noWrap/>
            <w:vAlign w:val="bottom"/>
            <w:hideMark/>
          </w:tcPr>
          <w:p w14:paraId="261BCEBC" w14:textId="77777777" w:rsidR="006B3305" w:rsidRPr="008C51C9" w:rsidRDefault="006B3305" w:rsidP="006B3305">
            <w:pPr>
              <w:spacing w:after="0" w:line="240" w:lineRule="auto"/>
              <w:rPr>
                <w:rFonts w:ascii="Calibri" w:eastAsia="Times New Roman" w:hAnsi="Calibri" w:cs="Calibri"/>
                <w:color w:val="000000"/>
                <w:lang w:val="en-US"/>
              </w:rPr>
            </w:pPr>
          </w:p>
        </w:tc>
        <w:tc>
          <w:tcPr>
            <w:tcW w:w="2160" w:type="dxa"/>
            <w:tcBorders>
              <w:top w:val="nil"/>
              <w:left w:val="nil"/>
              <w:bottom w:val="nil"/>
              <w:right w:val="nil"/>
            </w:tcBorders>
            <w:shd w:val="clear" w:color="auto" w:fill="auto"/>
            <w:noWrap/>
            <w:vAlign w:val="bottom"/>
            <w:hideMark/>
          </w:tcPr>
          <w:p w14:paraId="13D6D28C"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c>
          <w:tcPr>
            <w:tcW w:w="810" w:type="dxa"/>
            <w:tcBorders>
              <w:top w:val="nil"/>
              <w:left w:val="nil"/>
              <w:bottom w:val="nil"/>
              <w:right w:val="nil"/>
            </w:tcBorders>
            <w:shd w:val="clear" w:color="auto" w:fill="auto"/>
            <w:noWrap/>
            <w:vAlign w:val="bottom"/>
            <w:hideMark/>
          </w:tcPr>
          <w:p w14:paraId="33580CF1" w14:textId="77777777" w:rsidR="006B3305" w:rsidRPr="008C51C9" w:rsidRDefault="006B3305" w:rsidP="006B3305">
            <w:pPr>
              <w:spacing w:after="0" w:line="240" w:lineRule="auto"/>
              <w:rPr>
                <w:rFonts w:ascii="Times New Roman" w:eastAsia="Times New Roman" w:hAnsi="Times New Roman" w:cs="Times New Roman"/>
                <w:sz w:val="20"/>
                <w:szCs w:val="20"/>
                <w:lang w:val="en-US"/>
              </w:rPr>
            </w:pPr>
          </w:p>
        </w:tc>
      </w:tr>
    </w:tbl>
    <w:p w14:paraId="040BC655" w14:textId="77777777" w:rsidR="006B3305" w:rsidRPr="008C51C9" w:rsidRDefault="000822CD" w:rsidP="00E45B54">
      <w:pPr>
        <w:jc w:val="both"/>
        <w:rPr>
          <w:rFonts w:ascii="Times New Roman" w:hAnsi="Times New Roman" w:cs="Times New Roman"/>
          <w:sz w:val="24"/>
          <w:szCs w:val="24"/>
        </w:rPr>
      </w:pPr>
      <w:r w:rsidRPr="008C51C9">
        <w:rPr>
          <w:rFonts w:ascii="Times New Roman" w:hAnsi="Times New Roman" w:cs="Times New Roman"/>
          <w:sz w:val="24"/>
          <w:szCs w:val="24"/>
        </w:rPr>
        <w:t xml:space="preserve">Table1: Plant names used for the test oil preparation  </w:t>
      </w:r>
    </w:p>
    <w:p w14:paraId="52C46D0A" w14:textId="77777777" w:rsidR="000B42F5" w:rsidRDefault="000B42F5" w:rsidP="00E45B54">
      <w:pPr>
        <w:jc w:val="both"/>
        <w:rPr>
          <w:rFonts w:ascii="Times New Roman" w:hAnsi="Times New Roman" w:cs="Times New Roman"/>
          <w:sz w:val="24"/>
          <w:szCs w:val="24"/>
        </w:rPr>
      </w:pPr>
    </w:p>
    <w:p w14:paraId="54980162" w14:textId="77777777" w:rsidR="005F7150" w:rsidRPr="008C51C9" w:rsidRDefault="00A34012" w:rsidP="00E45B54">
      <w:pPr>
        <w:jc w:val="both"/>
        <w:rPr>
          <w:rFonts w:ascii="Times New Roman" w:hAnsi="Times New Roman" w:cs="Times New Roman"/>
          <w:bCs/>
          <w:sz w:val="24"/>
          <w:szCs w:val="24"/>
        </w:rPr>
      </w:pPr>
      <w:r w:rsidRPr="008C51C9">
        <w:rPr>
          <w:rFonts w:ascii="Times New Roman" w:hAnsi="Times New Roman" w:cs="Times New Roman"/>
          <w:sz w:val="24"/>
          <w:szCs w:val="24"/>
        </w:rPr>
        <w:t xml:space="preserve">Given the absence of any clinical study on the use of </w:t>
      </w:r>
      <w:r w:rsidR="00C9710D" w:rsidRPr="008C51C9">
        <w:rPr>
          <w:rFonts w:ascii="Times New Roman" w:hAnsi="Times New Roman" w:cs="Times New Roman"/>
          <w:sz w:val="24"/>
          <w:szCs w:val="24"/>
        </w:rPr>
        <w:t xml:space="preserve">volatile </w:t>
      </w:r>
      <w:r w:rsidRPr="008C51C9">
        <w:rPr>
          <w:rFonts w:ascii="Times New Roman" w:hAnsi="Times New Roman" w:cs="Times New Roman"/>
          <w:sz w:val="24"/>
          <w:szCs w:val="24"/>
        </w:rPr>
        <w:t xml:space="preserve">essential oils in </w:t>
      </w:r>
      <w:r w:rsidR="00C9710D" w:rsidRPr="008C51C9">
        <w:rPr>
          <w:rFonts w:ascii="Times New Roman" w:hAnsi="Times New Roman" w:cs="Times New Roman"/>
          <w:sz w:val="24"/>
          <w:szCs w:val="24"/>
        </w:rPr>
        <w:t>the management</w:t>
      </w:r>
      <w:r w:rsidRPr="008C51C9">
        <w:rPr>
          <w:rFonts w:ascii="Times New Roman" w:hAnsi="Times New Roman" w:cs="Times New Roman"/>
          <w:sz w:val="24"/>
          <w:szCs w:val="24"/>
        </w:rPr>
        <w:t xml:space="preserve"> of PCOS, </w:t>
      </w:r>
      <w:r w:rsidR="00DA2FAD" w:rsidRPr="008C51C9">
        <w:rPr>
          <w:rFonts w:ascii="Times New Roman" w:hAnsi="Times New Roman" w:cs="Times New Roman"/>
          <w:sz w:val="24"/>
          <w:szCs w:val="24"/>
        </w:rPr>
        <w:t>the objective of this study is to</w:t>
      </w:r>
      <w:r w:rsidRPr="008C51C9">
        <w:rPr>
          <w:rFonts w:ascii="Times New Roman" w:hAnsi="Times New Roman" w:cs="Times New Roman"/>
          <w:sz w:val="24"/>
          <w:szCs w:val="24"/>
        </w:rPr>
        <w:t xml:space="preserve"> scientifically establish</w:t>
      </w:r>
      <w:r w:rsidR="00DA2FAD" w:rsidRPr="008C51C9">
        <w:rPr>
          <w:rFonts w:ascii="Times New Roman" w:hAnsi="Times New Roman" w:cs="Times New Roman"/>
          <w:sz w:val="24"/>
          <w:szCs w:val="24"/>
        </w:rPr>
        <w:t xml:space="preserve"> and validate the clinical </w:t>
      </w:r>
      <w:r w:rsidRPr="008C51C9">
        <w:rPr>
          <w:rFonts w:ascii="Times New Roman" w:hAnsi="Times New Roman" w:cs="Times New Roman"/>
          <w:sz w:val="24"/>
          <w:szCs w:val="24"/>
        </w:rPr>
        <w:t xml:space="preserve">efficacy </w:t>
      </w:r>
      <w:r w:rsidR="005F7150" w:rsidRPr="008C51C9">
        <w:rPr>
          <w:rFonts w:ascii="Times New Roman" w:hAnsi="Times New Roman" w:cs="Times New Roman"/>
          <w:bCs/>
          <w:sz w:val="24"/>
          <w:szCs w:val="24"/>
        </w:rPr>
        <w:t>of plant extract based natural oil</w:t>
      </w:r>
      <w:r w:rsidR="000D28DD">
        <w:rPr>
          <w:rFonts w:ascii="Times New Roman" w:hAnsi="Times New Roman" w:cs="Times New Roman"/>
          <w:bCs/>
          <w:sz w:val="24"/>
          <w:szCs w:val="24"/>
        </w:rPr>
        <w:t>-</w:t>
      </w:r>
      <w:r w:rsidR="00A8228D" w:rsidRPr="008C51C9">
        <w:rPr>
          <w:rFonts w:ascii="Times New Roman" w:hAnsi="Times New Roman" w:cs="Times New Roman"/>
          <w:bCs/>
          <w:sz w:val="24"/>
          <w:szCs w:val="24"/>
        </w:rPr>
        <w:t>blend</w:t>
      </w:r>
      <w:r w:rsidR="009B622D" w:rsidRPr="008C51C9">
        <w:rPr>
          <w:rFonts w:ascii="Times New Roman" w:hAnsi="Times New Roman" w:cs="Times New Roman"/>
          <w:bCs/>
          <w:sz w:val="24"/>
          <w:szCs w:val="24"/>
        </w:rPr>
        <w:t xml:space="preserve"> (referred as test product</w:t>
      </w:r>
      <w:r w:rsidR="00DF1BC9" w:rsidRPr="008C51C9">
        <w:rPr>
          <w:rFonts w:ascii="Times New Roman" w:hAnsi="Times New Roman" w:cs="Times New Roman"/>
          <w:bCs/>
          <w:sz w:val="24"/>
          <w:szCs w:val="24"/>
        </w:rPr>
        <w:t>/test oil</w:t>
      </w:r>
      <w:r w:rsidR="009B622D" w:rsidRPr="008C51C9">
        <w:rPr>
          <w:rFonts w:ascii="Times New Roman" w:hAnsi="Times New Roman" w:cs="Times New Roman"/>
          <w:bCs/>
          <w:sz w:val="24"/>
          <w:szCs w:val="24"/>
        </w:rPr>
        <w:t>)</w:t>
      </w:r>
      <w:r w:rsidR="005F7150" w:rsidRPr="008C51C9">
        <w:rPr>
          <w:rFonts w:ascii="Times New Roman" w:hAnsi="Times New Roman" w:cs="Times New Roman"/>
          <w:bCs/>
          <w:sz w:val="24"/>
          <w:szCs w:val="24"/>
        </w:rPr>
        <w:t xml:space="preserve"> on management of PCOS</w:t>
      </w:r>
      <w:r w:rsidR="002A76B9">
        <w:rPr>
          <w:rFonts w:ascii="Times New Roman" w:hAnsi="Times New Roman" w:cs="Times New Roman"/>
          <w:bCs/>
          <w:sz w:val="24"/>
          <w:szCs w:val="24"/>
        </w:rPr>
        <w:t xml:space="preserve"> by addressing the subjective (viz., irregular menstruation, menstrual cycle duration, bleeding quantity, pain during menses) and objective (viz., hirsutism, ovarian </w:t>
      </w:r>
      <w:r w:rsidR="002A76B9">
        <w:rPr>
          <w:rFonts w:ascii="Times New Roman" w:hAnsi="Times New Roman" w:cs="Times New Roman"/>
          <w:bCs/>
          <w:sz w:val="24"/>
          <w:szCs w:val="24"/>
        </w:rPr>
        <w:lastRenderedPageBreak/>
        <w:t>volume, number of follicular cysts, number of mature follicles) PCOS symptoms</w:t>
      </w:r>
      <w:r w:rsidR="005F7150" w:rsidRPr="008C51C9">
        <w:rPr>
          <w:rFonts w:ascii="Times New Roman" w:hAnsi="Times New Roman" w:cs="Times New Roman"/>
          <w:bCs/>
          <w:sz w:val="24"/>
          <w:szCs w:val="24"/>
        </w:rPr>
        <w:t xml:space="preserve">. </w:t>
      </w:r>
      <w:r w:rsidR="004549E7" w:rsidRPr="008C51C9">
        <w:rPr>
          <w:rFonts w:ascii="Times New Roman" w:hAnsi="Times New Roman" w:cs="Times New Roman"/>
          <w:bCs/>
          <w:sz w:val="24"/>
          <w:szCs w:val="24"/>
        </w:rPr>
        <w:t>I</w:t>
      </w:r>
      <w:r w:rsidR="00DA2FAD" w:rsidRPr="008C51C9">
        <w:rPr>
          <w:rFonts w:ascii="Times New Roman" w:hAnsi="Times New Roman" w:cs="Times New Roman"/>
          <w:bCs/>
          <w:sz w:val="24"/>
          <w:szCs w:val="24"/>
        </w:rPr>
        <w:t xml:space="preserve">t is aimed </w:t>
      </w:r>
      <w:r w:rsidR="005F7150" w:rsidRPr="008C51C9">
        <w:rPr>
          <w:rFonts w:ascii="Times New Roman" w:hAnsi="Times New Roman" w:cs="Times New Roman"/>
          <w:bCs/>
          <w:sz w:val="24"/>
          <w:szCs w:val="24"/>
        </w:rPr>
        <w:t xml:space="preserve">to provide a safe, cost-effective, non-surgical treatment </w:t>
      </w:r>
      <w:r w:rsidR="00DA2FAD" w:rsidRPr="008C51C9">
        <w:rPr>
          <w:rFonts w:ascii="Times New Roman" w:hAnsi="Times New Roman" w:cs="Times New Roman"/>
          <w:bCs/>
          <w:sz w:val="24"/>
          <w:szCs w:val="24"/>
        </w:rPr>
        <w:t>for PCOS management.</w:t>
      </w:r>
    </w:p>
    <w:p w14:paraId="7D35A1DE" w14:textId="77777777" w:rsidR="008F71E9" w:rsidRDefault="008F71E9" w:rsidP="005C3BF2">
      <w:pPr>
        <w:spacing w:after="0" w:line="240" w:lineRule="auto"/>
        <w:rPr>
          <w:rFonts w:ascii="Times New Roman" w:hAnsi="Times New Roman" w:cs="Times New Roman"/>
          <w:b/>
          <w:bCs/>
          <w:sz w:val="28"/>
          <w:szCs w:val="28"/>
        </w:rPr>
      </w:pPr>
    </w:p>
    <w:p w14:paraId="6679E3E4" w14:textId="573A9366"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Methods</w:t>
      </w:r>
    </w:p>
    <w:p w14:paraId="6D28931E" w14:textId="77777777" w:rsidR="00FD2913" w:rsidRDefault="00FD2913" w:rsidP="005C3BF2">
      <w:pPr>
        <w:spacing w:after="0" w:line="240" w:lineRule="auto"/>
        <w:rPr>
          <w:rFonts w:ascii="Times New Roman" w:hAnsi="Times New Roman" w:cs="Times New Roman"/>
          <w:b/>
          <w:bCs/>
          <w:sz w:val="24"/>
          <w:szCs w:val="24"/>
        </w:rPr>
      </w:pPr>
    </w:p>
    <w:p w14:paraId="48A0D850"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Study Design and participants</w:t>
      </w:r>
    </w:p>
    <w:p w14:paraId="5D975CFD" w14:textId="77777777" w:rsidR="00D54A2E" w:rsidRPr="008C51C9" w:rsidRDefault="00D54A2E" w:rsidP="00D54A2E">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This is a two-arm parallel group, </w:t>
      </w:r>
      <w:r w:rsidR="00A477D4" w:rsidRPr="008C51C9">
        <w:rPr>
          <w:rFonts w:ascii="Times New Roman" w:hAnsi="Times New Roman" w:cs="Times New Roman"/>
          <w:sz w:val="24"/>
          <w:szCs w:val="24"/>
        </w:rPr>
        <w:t xml:space="preserve">prospective, </w:t>
      </w:r>
      <w:r w:rsidRPr="008C51C9">
        <w:rPr>
          <w:rFonts w:ascii="Times New Roman" w:hAnsi="Times New Roman" w:cs="Times New Roman"/>
          <w:sz w:val="24"/>
          <w:szCs w:val="24"/>
        </w:rPr>
        <w:t xml:space="preserve">randomized, </w:t>
      </w:r>
      <w:r w:rsidR="005F7150" w:rsidRPr="008C51C9">
        <w:rPr>
          <w:rFonts w:ascii="Times New Roman" w:hAnsi="Times New Roman" w:cs="Times New Roman"/>
          <w:sz w:val="24"/>
          <w:szCs w:val="24"/>
        </w:rPr>
        <w:t>double</w:t>
      </w:r>
      <w:r w:rsidRPr="008C51C9">
        <w:rPr>
          <w:rFonts w:ascii="Times New Roman" w:hAnsi="Times New Roman" w:cs="Times New Roman"/>
          <w:sz w:val="24"/>
          <w:szCs w:val="24"/>
        </w:rPr>
        <w:t>-</w:t>
      </w:r>
      <w:r w:rsidR="005F7150" w:rsidRPr="008C51C9">
        <w:rPr>
          <w:rFonts w:ascii="Times New Roman" w:hAnsi="Times New Roman" w:cs="Times New Roman"/>
          <w:sz w:val="24"/>
          <w:szCs w:val="24"/>
        </w:rPr>
        <w:t>blind, placebo-controlled study</w:t>
      </w:r>
      <w:r w:rsidRPr="008C51C9">
        <w:rPr>
          <w:rFonts w:ascii="Times New Roman" w:hAnsi="Times New Roman" w:cs="Times New Roman"/>
          <w:sz w:val="24"/>
          <w:szCs w:val="24"/>
        </w:rPr>
        <w:t xml:space="preserve"> at a single centre </w:t>
      </w:r>
      <w:r w:rsidR="006E6943" w:rsidRPr="008C51C9">
        <w:rPr>
          <w:rFonts w:ascii="Times New Roman" w:hAnsi="Times New Roman" w:cs="Times New Roman"/>
          <w:sz w:val="24"/>
          <w:szCs w:val="24"/>
        </w:rPr>
        <w:t>with</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diagnosed with PCOS.</w:t>
      </w:r>
      <w:r w:rsidR="005F7150" w:rsidRPr="008C51C9">
        <w:rPr>
          <w:rFonts w:ascii="Times New Roman" w:hAnsi="Times New Roman" w:cs="Times New Roman"/>
          <w:sz w:val="24"/>
          <w:szCs w:val="24"/>
        </w:rPr>
        <w:t xml:space="preserve"> </w:t>
      </w:r>
      <w:r w:rsidR="00C97169" w:rsidRPr="008C51C9">
        <w:rPr>
          <w:rFonts w:ascii="Times New Roman" w:hAnsi="Times New Roman" w:cs="Times New Roman"/>
          <w:sz w:val="24"/>
          <w:szCs w:val="24"/>
        </w:rPr>
        <w:t xml:space="preserve">This study was conducted at </w:t>
      </w:r>
      <w:r w:rsidR="00DE1E59" w:rsidRPr="008C51C9">
        <w:rPr>
          <w:rFonts w:ascii="Times New Roman" w:hAnsi="Times New Roman" w:cs="Times New Roman"/>
          <w:sz w:val="24"/>
          <w:szCs w:val="24"/>
        </w:rPr>
        <w:t xml:space="preserve">a medical centre which </w:t>
      </w:r>
      <w:r w:rsidR="00C97169" w:rsidRPr="008C51C9">
        <w:rPr>
          <w:rFonts w:ascii="Times New Roman" w:hAnsi="Times New Roman" w:cs="Times New Roman"/>
          <w:sz w:val="24"/>
          <w:szCs w:val="24"/>
        </w:rPr>
        <w:t>is a multi-specialty ISO certified hospital and included in the list of National Health Portal</w:t>
      </w:r>
      <w:r w:rsidR="00DE1E59" w:rsidRPr="008C51C9">
        <w:rPr>
          <w:rFonts w:ascii="Times New Roman" w:hAnsi="Times New Roman" w:cs="Times New Roman"/>
          <w:sz w:val="24"/>
          <w:szCs w:val="24"/>
        </w:rPr>
        <w:t>,</w:t>
      </w:r>
      <w:r w:rsidR="00C97169" w:rsidRPr="008C51C9">
        <w:rPr>
          <w:rFonts w:ascii="Times New Roman" w:hAnsi="Times New Roman" w:cs="Times New Roman"/>
          <w:sz w:val="24"/>
          <w:szCs w:val="24"/>
        </w:rPr>
        <w:t xml:space="preserve"> Government of India. </w:t>
      </w:r>
      <w:r w:rsidR="00FF2AAA" w:rsidRPr="008C51C9">
        <w:rPr>
          <w:rFonts w:ascii="Times New Roman" w:hAnsi="Times New Roman" w:cs="Times New Roman"/>
          <w:sz w:val="24"/>
          <w:szCs w:val="24"/>
        </w:rPr>
        <w:t xml:space="preserve">The required pre-approvals were reviewed and approved by the investigational centres’ Independent Ethics Committee and Institutional Review Board. </w:t>
      </w:r>
      <w:r w:rsidRPr="008C51C9">
        <w:rPr>
          <w:rFonts w:ascii="Times New Roman" w:hAnsi="Times New Roman" w:cs="Times New Roman"/>
          <w:sz w:val="24"/>
          <w:szCs w:val="24"/>
        </w:rPr>
        <w:t>This study was conducted in accordance with ethical principles in the Declaration of Helsinki (2013)</w:t>
      </w:r>
      <w:r w:rsidR="00DA2FAD" w:rsidRPr="008C51C9">
        <w:rPr>
          <w:rFonts w:ascii="Times New Roman" w:hAnsi="Times New Roman" w:cs="Times New Roman"/>
          <w:sz w:val="24"/>
          <w:szCs w:val="24"/>
        </w:rPr>
        <w:t>.</w:t>
      </w:r>
      <w:r w:rsidRPr="008C51C9">
        <w:rPr>
          <w:rFonts w:ascii="Times New Roman" w:hAnsi="Times New Roman" w:cs="Times New Roman"/>
          <w:sz w:val="24"/>
          <w:szCs w:val="24"/>
        </w:rPr>
        <w:t xml:space="preserve"> EC notifications were made as per Good Clinical Practice Guidelines issued by Central Drug Standard Control Organization and Ethical Guidelines for Biomedical Research on Human Subjects issued by Indian Council of Medical Research</w:t>
      </w:r>
      <w:r w:rsidR="000127AD" w:rsidRPr="008C51C9">
        <w:rPr>
          <w:rFonts w:ascii="Times New Roman" w:hAnsi="Times New Roman" w:cs="Times New Roman"/>
          <w:sz w:val="24"/>
          <w:szCs w:val="24"/>
        </w:rPr>
        <w:t>.</w:t>
      </w:r>
      <w:r w:rsidRPr="008C51C9">
        <w:rPr>
          <w:rFonts w:ascii="Times New Roman" w:hAnsi="Times New Roman" w:cs="Times New Roman"/>
          <w:sz w:val="24"/>
          <w:szCs w:val="24"/>
        </w:rPr>
        <w:t xml:space="preserve"> This trial was performed in accordance with ‘Guidelines for Clinical Trials on Pharmaceutical Products in India – GCP guidelines’ issued by the Central Drugs Standard Control Organization, Ministry of Health, Government of India. The clinical trial was registered with the Clinical Trial Registry of India (CTRI) number CTRI/2018/04/013334. </w:t>
      </w:r>
    </w:p>
    <w:p w14:paraId="12D72D48" w14:textId="77777777" w:rsidR="005F7150" w:rsidRPr="008C51C9" w:rsidRDefault="005F7150" w:rsidP="00BB4FAC">
      <w:pPr>
        <w:spacing w:after="0" w:line="240" w:lineRule="auto"/>
        <w:rPr>
          <w:rFonts w:cstheme="minorHAnsi"/>
        </w:rPr>
      </w:pPr>
    </w:p>
    <w:p w14:paraId="63F0CEB0" w14:textId="34D26D63" w:rsidR="00214C8D" w:rsidRPr="008C51C9" w:rsidRDefault="00D54A2E" w:rsidP="00A9352D">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The </w:t>
      </w:r>
      <w:r w:rsidR="005F7150" w:rsidRPr="008C51C9">
        <w:rPr>
          <w:rFonts w:ascii="Times New Roman" w:hAnsi="Times New Roman" w:cs="Times New Roman"/>
          <w:bCs/>
          <w:sz w:val="24"/>
          <w:szCs w:val="24"/>
        </w:rPr>
        <w:t>study population included adult female</w:t>
      </w:r>
      <w:r w:rsidR="008952F3" w:rsidRPr="008C51C9">
        <w:rPr>
          <w:rFonts w:ascii="Times New Roman" w:hAnsi="Times New Roman" w:cs="Times New Roman"/>
          <w:bCs/>
          <w:sz w:val="24"/>
          <w:szCs w:val="24"/>
        </w:rPr>
        <w:t>s</w:t>
      </w:r>
      <w:r w:rsidR="005F7150" w:rsidRPr="008C51C9">
        <w:rPr>
          <w:rFonts w:ascii="Times New Roman" w:hAnsi="Times New Roman" w:cs="Times New Roman"/>
          <w:bCs/>
          <w:sz w:val="24"/>
          <w:szCs w:val="24"/>
        </w:rPr>
        <w:t xml:space="preserve"> diagnosed with </w:t>
      </w:r>
      <w:r w:rsidR="004549E7" w:rsidRPr="008C51C9">
        <w:rPr>
          <w:rFonts w:ascii="Times New Roman" w:hAnsi="Times New Roman" w:cs="Times New Roman"/>
          <w:bCs/>
          <w:sz w:val="24"/>
          <w:szCs w:val="24"/>
        </w:rPr>
        <w:t>PCO</w:t>
      </w:r>
      <w:r w:rsidR="005F7150" w:rsidRPr="008C51C9">
        <w:rPr>
          <w:rFonts w:ascii="Times New Roman" w:hAnsi="Times New Roman" w:cs="Times New Roman"/>
          <w:bCs/>
          <w:sz w:val="24"/>
          <w:szCs w:val="24"/>
        </w:rPr>
        <w:t xml:space="preserve">S. 100 </w:t>
      </w:r>
      <w:r w:rsidR="008952F3" w:rsidRPr="008C51C9">
        <w:rPr>
          <w:rFonts w:ascii="Times New Roman" w:hAnsi="Times New Roman" w:cs="Times New Roman"/>
          <w:bCs/>
          <w:sz w:val="24"/>
          <w:szCs w:val="24"/>
        </w:rPr>
        <w:t xml:space="preserve">volunteer </w:t>
      </w:r>
      <w:r w:rsidR="007D7481" w:rsidRPr="008C51C9">
        <w:rPr>
          <w:rFonts w:ascii="Times New Roman" w:hAnsi="Times New Roman" w:cs="Times New Roman"/>
          <w:bCs/>
          <w:sz w:val="24"/>
          <w:szCs w:val="24"/>
        </w:rPr>
        <w:t>participants</w:t>
      </w:r>
      <w:r w:rsidR="005F7150" w:rsidRPr="008C51C9">
        <w:rPr>
          <w:rFonts w:ascii="Times New Roman" w:hAnsi="Times New Roman" w:cs="Times New Roman"/>
          <w:bCs/>
          <w:sz w:val="24"/>
          <w:szCs w:val="24"/>
        </w:rPr>
        <w:t xml:space="preserve"> (including anticipated dropout of about 10%) were recruited at the specified investigation centre, without bias</w:t>
      </w:r>
      <w:r w:rsidRPr="008C51C9">
        <w:rPr>
          <w:rFonts w:ascii="Times New Roman" w:hAnsi="Times New Roman" w:cs="Times New Roman"/>
          <w:bCs/>
          <w:sz w:val="24"/>
          <w:szCs w:val="24"/>
        </w:rPr>
        <w:t xml:space="preserve">. </w:t>
      </w:r>
      <w:r w:rsidR="001F0E37" w:rsidRPr="00057BBB">
        <w:rPr>
          <w:rFonts w:ascii="Times New Roman" w:hAnsi="Times New Roman" w:cs="Times New Roman"/>
          <w:sz w:val="24"/>
          <w:szCs w:val="24"/>
        </w:rPr>
        <w:t>The sample size was assessed at the confidence level 95% and test power 80%</w:t>
      </w:r>
      <w:r w:rsidR="001F0E37">
        <w:rPr>
          <w:rFonts w:ascii="Times New Roman" w:hAnsi="Times New Roman" w:cs="Times New Roman"/>
          <w:sz w:val="24"/>
          <w:szCs w:val="24"/>
        </w:rPr>
        <w:t>.</w:t>
      </w:r>
      <w:r w:rsidR="001F0E37" w:rsidRPr="00057BBB">
        <w:rPr>
          <w:rFonts w:ascii="Times New Roman" w:hAnsi="Times New Roman" w:cs="Times New Roman"/>
          <w:sz w:val="24"/>
          <w:szCs w:val="24"/>
        </w:rPr>
        <w:t xml:space="preserve"> </w:t>
      </w:r>
      <w:r w:rsidRPr="008C51C9">
        <w:rPr>
          <w:rFonts w:ascii="Times New Roman" w:hAnsi="Times New Roman" w:cs="Times New Roman"/>
          <w:bCs/>
          <w:sz w:val="24"/>
          <w:szCs w:val="24"/>
        </w:rPr>
        <w:t xml:space="preserve">The PCOS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informed about the study. Married female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t>
      </w:r>
      <w:r w:rsidR="00F21C2F" w:rsidRPr="008C51C9">
        <w:rPr>
          <w:rFonts w:ascii="Times New Roman" w:hAnsi="Times New Roman" w:cs="Times New Roman"/>
          <w:bCs/>
          <w:sz w:val="24"/>
          <w:szCs w:val="24"/>
        </w:rPr>
        <w:t xml:space="preserve">diagnosed with PCOS </w:t>
      </w:r>
      <w:r w:rsidRPr="008C51C9">
        <w:rPr>
          <w:rFonts w:ascii="Times New Roman" w:hAnsi="Times New Roman" w:cs="Times New Roman"/>
          <w:bCs/>
          <w:sz w:val="24"/>
          <w:szCs w:val="24"/>
        </w:rPr>
        <w:t xml:space="preserve">were eligible for inclusion if aged between </w:t>
      </w:r>
      <w:r w:rsidR="005F7150" w:rsidRPr="008C51C9">
        <w:rPr>
          <w:rFonts w:ascii="Times New Roman" w:hAnsi="Times New Roman" w:cs="Times New Roman"/>
          <w:bCs/>
          <w:sz w:val="24"/>
          <w:szCs w:val="24"/>
        </w:rPr>
        <w:t xml:space="preserve">18-40 years and suffering from primary infertility, irregular/scanty menses due to anovulatory cycles and increased </w:t>
      </w:r>
      <w:r w:rsidRPr="008C51C9">
        <w:rPr>
          <w:rFonts w:ascii="Times New Roman" w:hAnsi="Times New Roman" w:cs="Times New Roman"/>
          <w:bCs/>
          <w:sz w:val="24"/>
          <w:szCs w:val="24"/>
        </w:rPr>
        <w:t>luteinizing hormone (</w:t>
      </w:r>
      <w:r w:rsidR="005F7150" w:rsidRPr="008C51C9">
        <w:rPr>
          <w:rFonts w:ascii="Times New Roman" w:hAnsi="Times New Roman" w:cs="Times New Roman"/>
          <w:bCs/>
          <w:sz w:val="24"/>
          <w:szCs w:val="24"/>
        </w:rPr>
        <w:t>LH</w:t>
      </w:r>
      <w:r w:rsidRPr="008C51C9">
        <w:rPr>
          <w:rFonts w:ascii="Times New Roman" w:hAnsi="Times New Roman" w:cs="Times New Roman"/>
          <w:bCs/>
          <w:sz w:val="24"/>
          <w:szCs w:val="24"/>
        </w:rPr>
        <w:t>)</w:t>
      </w:r>
      <w:r w:rsidR="005F7150" w:rsidRPr="008C51C9">
        <w:rPr>
          <w:rFonts w:ascii="Times New Roman" w:hAnsi="Times New Roman" w:cs="Times New Roman"/>
          <w:bCs/>
          <w:sz w:val="24"/>
          <w:szCs w:val="24"/>
        </w:rPr>
        <w:t xml:space="preserve"> levels in blood</w:t>
      </w:r>
      <w:r w:rsidRPr="008C51C9">
        <w:rPr>
          <w:rFonts w:ascii="Times New Roman" w:hAnsi="Times New Roman" w:cs="Times New Roman"/>
          <w:bCs/>
          <w:sz w:val="24"/>
          <w:szCs w:val="24"/>
        </w:rPr>
        <w:t xml:space="preserve">. </w:t>
      </w:r>
      <w:r w:rsidR="00E067D7" w:rsidRPr="008C51C9">
        <w:rPr>
          <w:rFonts w:ascii="Times New Roman" w:hAnsi="Times New Roman" w:cs="Times New Roman"/>
          <w:bCs/>
          <w:sz w:val="24"/>
          <w:szCs w:val="24"/>
        </w:rPr>
        <w:t>P</w:t>
      </w:r>
      <w:r w:rsidR="007D7481" w:rsidRPr="008C51C9">
        <w:rPr>
          <w:rFonts w:ascii="Times New Roman" w:hAnsi="Times New Roman" w:cs="Times New Roman"/>
          <w:bCs/>
          <w:sz w:val="24"/>
          <w:szCs w:val="24"/>
        </w:rPr>
        <w:t>articipant</w:t>
      </w:r>
      <w:r w:rsidRPr="008C51C9">
        <w:rPr>
          <w:rFonts w:ascii="Times New Roman" w:hAnsi="Times New Roman" w:cs="Times New Roman"/>
          <w:bCs/>
          <w:sz w:val="24"/>
          <w:szCs w:val="24"/>
        </w:rPr>
        <w:t>s had L</w:t>
      </w:r>
      <w:r w:rsidR="005F7150" w:rsidRPr="008C51C9">
        <w:rPr>
          <w:rFonts w:ascii="Times New Roman" w:hAnsi="Times New Roman" w:cs="Times New Roman"/>
          <w:bCs/>
          <w:sz w:val="24"/>
          <w:szCs w:val="24"/>
        </w:rPr>
        <w:t xml:space="preserve">H:FSH ratio&gt;3 </w:t>
      </w:r>
      <w:r w:rsidR="00C9710D" w:rsidRPr="008C51C9">
        <w:rPr>
          <w:rFonts w:ascii="Times New Roman" w:hAnsi="Times New Roman" w:cs="Times New Roman"/>
          <w:bCs/>
          <w:sz w:val="24"/>
          <w:szCs w:val="24"/>
        </w:rPr>
        <w:t xml:space="preserve">(FSH= follicular stimulating hormone) </w:t>
      </w:r>
      <w:r w:rsidR="005F7150" w:rsidRPr="008C51C9">
        <w:rPr>
          <w:rFonts w:ascii="Times New Roman" w:hAnsi="Times New Roman" w:cs="Times New Roman"/>
          <w:bCs/>
          <w:sz w:val="24"/>
          <w:szCs w:val="24"/>
        </w:rPr>
        <w:t xml:space="preserve">confirmed </w:t>
      </w:r>
      <w:r w:rsidRPr="008C51C9">
        <w:rPr>
          <w:rFonts w:ascii="Times New Roman" w:hAnsi="Times New Roman" w:cs="Times New Roman"/>
          <w:bCs/>
          <w:sz w:val="24"/>
          <w:szCs w:val="24"/>
        </w:rPr>
        <w:t xml:space="preserve">by haematological examinations; had </w:t>
      </w:r>
      <w:r w:rsidR="005F7150" w:rsidRPr="008C51C9">
        <w:rPr>
          <w:rFonts w:ascii="Times New Roman" w:hAnsi="Times New Roman" w:cs="Times New Roman"/>
          <w:bCs/>
          <w:sz w:val="24"/>
          <w:szCs w:val="24"/>
        </w:rPr>
        <w:t xml:space="preserve">clinical or biochemical evidence of </w:t>
      </w:r>
      <w:r w:rsidR="009B622D" w:rsidRPr="008C51C9">
        <w:rPr>
          <w:rFonts w:ascii="Times New Roman" w:hAnsi="Times New Roman" w:cs="Times New Roman"/>
          <w:bCs/>
          <w:sz w:val="24"/>
          <w:szCs w:val="24"/>
        </w:rPr>
        <w:t>h</w:t>
      </w:r>
      <w:r w:rsidR="005F7150" w:rsidRPr="008C51C9">
        <w:rPr>
          <w:rFonts w:ascii="Times New Roman" w:hAnsi="Times New Roman" w:cs="Times New Roman"/>
          <w:bCs/>
          <w:sz w:val="24"/>
          <w:szCs w:val="24"/>
        </w:rPr>
        <w:t>yperandrogenism</w:t>
      </w:r>
      <w:r w:rsidRPr="008C51C9">
        <w:rPr>
          <w:rFonts w:ascii="Times New Roman" w:hAnsi="Times New Roman" w:cs="Times New Roman"/>
          <w:bCs/>
          <w:sz w:val="24"/>
          <w:szCs w:val="24"/>
        </w:rPr>
        <w:t xml:space="preserve">; </w:t>
      </w:r>
      <w:r w:rsidR="005F7150" w:rsidRPr="008C51C9">
        <w:rPr>
          <w:rFonts w:ascii="Times New Roman" w:hAnsi="Times New Roman" w:cs="Times New Roman"/>
          <w:bCs/>
          <w:sz w:val="24"/>
          <w:szCs w:val="24"/>
        </w:rPr>
        <w:t xml:space="preserve">had a negative pregnancy test. </w:t>
      </w:r>
      <w:r w:rsidR="007D7481" w:rsidRPr="008C51C9">
        <w:rPr>
          <w:rFonts w:ascii="Times New Roman" w:hAnsi="Times New Roman" w:cs="Times New Roman"/>
          <w:bCs/>
          <w:sz w:val="24"/>
          <w:szCs w:val="24"/>
        </w:rPr>
        <w:t>Participant</w:t>
      </w:r>
      <w:r w:rsidR="004A70F0" w:rsidRPr="008C51C9">
        <w:rPr>
          <w:rFonts w:ascii="Times New Roman" w:hAnsi="Times New Roman" w:cs="Times New Roman"/>
          <w:bCs/>
          <w:sz w:val="24"/>
          <w:szCs w:val="24"/>
        </w:rPr>
        <w:t xml:space="preserve">s who were unmarried; pregnant or lactating mothers; </w:t>
      </w:r>
      <w:r w:rsidR="004A70F0" w:rsidRPr="008C51C9">
        <w:rPr>
          <w:rFonts w:ascii="Times New Roman" w:hAnsi="Times New Roman" w:cs="Times New Roman"/>
          <w:sz w:val="24"/>
          <w:szCs w:val="24"/>
        </w:rPr>
        <w:t xml:space="preserve">currently on </w:t>
      </w:r>
      <w:r w:rsidR="00A008D7" w:rsidRPr="008C51C9">
        <w:rPr>
          <w:rFonts w:ascii="Times New Roman" w:hAnsi="Times New Roman" w:cs="Times New Roman"/>
          <w:sz w:val="24"/>
          <w:szCs w:val="24"/>
        </w:rPr>
        <w:t>hormone replacement therapy (</w:t>
      </w:r>
      <w:r w:rsidR="004A70F0" w:rsidRPr="008C51C9">
        <w:rPr>
          <w:rFonts w:ascii="Times New Roman" w:hAnsi="Times New Roman" w:cs="Times New Roman"/>
          <w:sz w:val="24"/>
          <w:szCs w:val="24"/>
        </w:rPr>
        <w:t>HRT</w:t>
      </w:r>
      <w:r w:rsidR="00A008D7" w:rsidRPr="008C51C9">
        <w:rPr>
          <w:rFonts w:ascii="Times New Roman" w:hAnsi="Times New Roman" w:cs="Times New Roman"/>
          <w:sz w:val="24"/>
          <w:szCs w:val="24"/>
        </w:rPr>
        <w:t>)</w:t>
      </w:r>
      <w:r w:rsidR="004A70F0" w:rsidRPr="008C51C9">
        <w:rPr>
          <w:rFonts w:ascii="Times New Roman" w:hAnsi="Times New Roman" w:cs="Times New Roman"/>
          <w:sz w:val="24"/>
          <w:szCs w:val="24"/>
        </w:rPr>
        <w:t xml:space="preserve"> or having taken any herbal medications in the last 30 days were excluded from the study. </w:t>
      </w:r>
      <w:r w:rsidR="007D7481" w:rsidRPr="008C51C9">
        <w:rPr>
          <w:rFonts w:ascii="Times New Roman" w:hAnsi="Times New Roman" w:cs="Times New Roman"/>
          <w:sz w:val="24"/>
          <w:szCs w:val="24"/>
        </w:rPr>
        <w:t>Participant</w:t>
      </w:r>
      <w:r w:rsidR="004A70F0" w:rsidRPr="008C51C9">
        <w:rPr>
          <w:rFonts w:ascii="Times New Roman" w:hAnsi="Times New Roman" w:cs="Times New Roman"/>
          <w:sz w:val="24"/>
          <w:szCs w:val="24"/>
        </w:rPr>
        <w:t xml:space="preserve">s were excluded if diagnosed with cervical tumour, polyp or cervical cancer; diagnosed with uterine fibroid, congenital anomalies in genital tract, tubercular endometritis, congenital adrenal hyperplasia; who were HIV/VDRL/HbsAg positive; and were with evidence or history of significant systemic, immunological, gynaecological disorder. </w:t>
      </w:r>
      <w:r w:rsidR="007D7481" w:rsidRPr="008C51C9">
        <w:rPr>
          <w:rFonts w:ascii="Times New Roman" w:hAnsi="Times New Roman" w:cs="Times New Roman"/>
          <w:sz w:val="24"/>
          <w:szCs w:val="24"/>
        </w:rPr>
        <w:t>Participant</w:t>
      </w:r>
      <w:r w:rsidR="004A70F0" w:rsidRPr="008C51C9">
        <w:rPr>
          <w:rFonts w:ascii="Times New Roman" w:hAnsi="Times New Roman" w:cs="Times New Roman"/>
          <w:sz w:val="24"/>
          <w:szCs w:val="24"/>
        </w:rPr>
        <w:t xml:space="preserve">s with hypothyroidism who </w:t>
      </w:r>
      <w:r w:rsidR="00992B35" w:rsidRPr="008C51C9">
        <w:rPr>
          <w:rFonts w:ascii="Times New Roman" w:hAnsi="Times New Roman" w:cs="Times New Roman"/>
          <w:sz w:val="24"/>
          <w:szCs w:val="24"/>
        </w:rPr>
        <w:t>we</w:t>
      </w:r>
      <w:r w:rsidR="004A70F0" w:rsidRPr="008C51C9">
        <w:rPr>
          <w:rFonts w:ascii="Times New Roman" w:hAnsi="Times New Roman" w:cs="Times New Roman"/>
          <w:sz w:val="24"/>
          <w:szCs w:val="24"/>
        </w:rPr>
        <w:t xml:space="preserve">re on adequate and stable thyroid replacement were not excluded. </w:t>
      </w:r>
    </w:p>
    <w:p w14:paraId="2836243C" w14:textId="77777777" w:rsidR="00214C8D" w:rsidRPr="008C51C9" w:rsidRDefault="00214C8D" w:rsidP="00A9352D">
      <w:pPr>
        <w:spacing w:after="0" w:line="240" w:lineRule="auto"/>
        <w:jc w:val="both"/>
        <w:rPr>
          <w:rFonts w:ascii="Times New Roman" w:hAnsi="Times New Roman" w:cs="Times New Roman"/>
          <w:sz w:val="24"/>
          <w:szCs w:val="24"/>
        </w:rPr>
      </w:pPr>
    </w:p>
    <w:p w14:paraId="34F589D8" w14:textId="09EC71B5" w:rsidR="00C135B0" w:rsidRPr="00057BBB" w:rsidRDefault="004A70F0" w:rsidP="001F0E37">
      <w:pPr>
        <w:spacing w:after="0" w:line="240" w:lineRule="auto"/>
        <w:jc w:val="both"/>
        <w:rPr>
          <w:rFonts w:ascii="Times New Roman" w:hAnsi="Times New Roman" w:cs="Times New Roman"/>
          <w:b/>
          <w:bCs/>
          <w:iCs/>
          <w:sz w:val="24"/>
          <w:szCs w:val="24"/>
        </w:rPr>
      </w:pPr>
      <w:r w:rsidRPr="008C51C9">
        <w:rPr>
          <w:rFonts w:ascii="Times New Roman" w:hAnsi="Times New Roman" w:cs="Times New Roman"/>
          <w:sz w:val="24"/>
          <w:szCs w:val="24"/>
        </w:rPr>
        <w:t xml:space="preserve">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were to be excluded if absent for the follow-up visit. They were to be excluded on the follow-up visit if initiate</w:t>
      </w:r>
      <w:r w:rsidR="00DF1BC9" w:rsidRPr="008C51C9">
        <w:rPr>
          <w:rFonts w:ascii="Times New Roman" w:hAnsi="Times New Roman" w:cs="Times New Roman"/>
          <w:sz w:val="24"/>
          <w:szCs w:val="24"/>
        </w:rPr>
        <w:t>d</w:t>
      </w:r>
      <w:r w:rsidRPr="008C51C9">
        <w:rPr>
          <w:rFonts w:ascii="Times New Roman" w:hAnsi="Times New Roman" w:cs="Times New Roman"/>
          <w:sz w:val="24"/>
          <w:szCs w:val="24"/>
        </w:rPr>
        <w:t xml:space="preserve"> HRT or any allopathic, herbal or any other medical treatment for the disorder without prior information to </w:t>
      </w:r>
      <w:r w:rsidR="00C97169" w:rsidRPr="008C51C9">
        <w:rPr>
          <w:rFonts w:ascii="Times New Roman" w:hAnsi="Times New Roman" w:cs="Times New Roman"/>
          <w:sz w:val="24"/>
          <w:szCs w:val="24"/>
        </w:rPr>
        <w:t>the investigator</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were informed that they were free to withdraw from the study at any time without stating the reason. The investigator could withdraw a </w:t>
      </w:r>
      <w:r w:rsidR="006E6943" w:rsidRPr="008C51C9">
        <w:rPr>
          <w:rFonts w:ascii="Times New Roman" w:hAnsi="Times New Roman" w:cs="Times New Roman"/>
          <w:sz w:val="24"/>
          <w:szCs w:val="24"/>
        </w:rPr>
        <w:t>participant fro</w:t>
      </w:r>
      <w:r w:rsidRPr="008C51C9">
        <w:rPr>
          <w:rFonts w:ascii="Times New Roman" w:hAnsi="Times New Roman" w:cs="Times New Roman"/>
          <w:sz w:val="24"/>
          <w:szCs w:val="24"/>
        </w:rPr>
        <w:t xml:space="preserve">m the study </w:t>
      </w:r>
      <w:r w:rsidR="00A9352D" w:rsidRPr="008C51C9">
        <w:rPr>
          <w:rFonts w:ascii="Times New Roman" w:hAnsi="Times New Roman" w:cs="Times New Roman"/>
          <w:sz w:val="24"/>
          <w:szCs w:val="24"/>
        </w:rPr>
        <w:t>due to any s</w:t>
      </w:r>
      <w:r w:rsidRPr="008C51C9">
        <w:rPr>
          <w:rFonts w:ascii="Times New Roman" w:hAnsi="Times New Roman" w:cs="Times New Roman"/>
          <w:sz w:val="24"/>
          <w:szCs w:val="24"/>
        </w:rPr>
        <w:t>erious adverse event</w:t>
      </w:r>
      <w:r w:rsidR="00DF1BC9" w:rsidRPr="008C51C9">
        <w:rPr>
          <w:rFonts w:ascii="Times New Roman" w:hAnsi="Times New Roman" w:cs="Times New Roman"/>
          <w:sz w:val="24"/>
          <w:szCs w:val="24"/>
        </w:rPr>
        <w:t xml:space="preserve"> (AE)</w:t>
      </w:r>
      <w:r w:rsidR="00A9352D" w:rsidRPr="008C51C9">
        <w:rPr>
          <w:rFonts w:ascii="Times New Roman" w:hAnsi="Times New Roman" w:cs="Times New Roman"/>
          <w:sz w:val="24"/>
          <w:szCs w:val="24"/>
        </w:rPr>
        <w:t>; p</w:t>
      </w:r>
      <w:r w:rsidRPr="008C51C9">
        <w:rPr>
          <w:rFonts w:ascii="Times New Roman" w:hAnsi="Times New Roman" w:cs="Times New Roman"/>
          <w:sz w:val="24"/>
          <w:szCs w:val="24"/>
        </w:rPr>
        <w:t>rotocol violation</w:t>
      </w:r>
      <w:r w:rsidR="00A9352D" w:rsidRPr="008C51C9">
        <w:rPr>
          <w:rFonts w:ascii="Times New Roman" w:hAnsi="Times New Roman" w:cs="Times New Roman"/>
          <w:sz w:val="24"/>
          <w:szCs w:val="24"/>
        </w:rPr>
        <w:t>; c</w:t>
      </w:r>
      <w:r w:rsidRPr="008C51C9">
        <w:rPr>
          <w:rFonts w:ascii="Times New Roman" w:hAnsi="Times New Roman" w:cs="Times New Roman"/>
          <w:sz w:val="24"/>
          <w:szCs w:val="24"/>
        </w:rPr>
        <w:t xml:space="preserve">onsent withdrawal not due to an </w:t>
      </w:r>
      <w:r w:rsidR="00E067D7" w:rsidRPr="008C51C9">
        <w:rPr>
          <w:rFonts w:ascii="Times New Roman" w:hAnsi="Times New Roman" w:cs="Times New Roman"/>
          <w:sz w:val="24"/>
          <w:szCs w:val="24"/>
        </w:rPr>
        <w:t>AE</w:t>
      </w:r>
      <w:r w:rsidR="00A9352D" w:rsidRPr="008C51C9">
        <w:rPr>
          <w:rFonts w:ascii="Times New Roman" w:hAnsi="Times New Roman" w:cs="Times New Roman"/>
          <w:sz w:val="24"/>
          <w:szCs w:val="24"/>
        </w:rPr>
        <w:t>; m</w:t>
      </w:r>
      <w:r w:rsidRPr="008C51C9">
        <w:rPr>
          <w:rFonts w:ascii="Times New Roman" w:hAnsi="Times New Roman" w:cs="Times New Roman"/>
          <w:sz w:val="24"/>
          <w:szCs w:val="24"/>
        </w:rPr>
        <w:t>igration from the study site</w:t>
      </w:r>
      <w:r w:rsidR="00A9352D" w:rsidRPr="008C51C9">
        <w:rPr>
          <w:rFonts w:ascii="Times New Roman" w:hAnsi="Times New Roman" w:cs="Times New Roman"/>
          <w:sz w:val="24"/>
          <w:szCs w:val="24"/>
        </w:rPr>
        <w:t>; l</w:t>
      </w:r>
      <w:r w:rsidRPr="008C51C9">
        <w:rPr>
          <w:rFonts w:ascii="Times New Roman" w:hAnsi="Times New Roman" w:cs="Times New Roman"/>
          <w:sz w:val="24"/>
          <w:szCs w:val="24"/>
        </w:rPr>
        <w:t>ost to follow-up</w:t>
      </w:r>
      <w:r w:rsidR="00A9352D" w:rsidRPr="008C51C9">
        <w:rPr>
          <w:rFonts w:ascii="Times New Roman" w:hAnsi="Times New Roman" w:cs="Times New Roman"/>
          <w:sz w:val="24"/>
          <w:szCs w:val="24"/>
        </w:rPr>
        <w:t xml:space="preserve">; and for any other appropriate reason. </w:t>
      </w:r>
      <w:r w:rsidR="005F7150" w:rsidRPr="008C51C9">
        <w:rPr>
          <w:rFonts w:ascii="Times New Roman" w:hAnsi="Times New Roman" w:cs="Times New Roman"/>
          <w:sz w:val="24"/>
          <w:szCs w:val="24"/>
        </w:rPr>
        <w:t xml:space="preserve">The </w:t>
      </w:r>
      <w:r w:rsidR="007D7481" w:rsidRPr="008C51C9">
        <w:rPr>
          <w:rFonts w:ascii="Times New Roman" w:hAnsi="Times New Roman" w:cs="Times New Roman"/>
          <w:sz w:val="24"/>
          <w:szCs w:val="24"/>
        </w:rPr>
        <w:t>participant</w:t>
      </w:r>
      <w:r w:rsidR="005F7150" w:rsidRPr="008C51C9">
        <w:rPr>
          <w:rFonts w:ascii="Times New Roman" w:hAnsi="Times New Roman" w:cs="Times New Roman"/>
          <w:sz w:val="24"/>
          <w:szCs w:val="24"/>
        </w:rPr>
        <w:t xml:space="preserve"> was followed up by the investigator after withdrawal; the cause of which was recorded in the </w:t>
      </w:r>
      <w:r w:rsidR="00A9352D" w:rsidRPr="008C51C9">
        <w:rPr>
          <w:rFonts w:ascii="Times New Roman" w:hAnsi="Times New Roman" w:cs="Times New Roman"/>
          <w:sz w:val="24"/>
          <w:szCs w:val="24"/>
        </w:rPr>
        <w:t>‘</w:t>
      </w:r>
      <w:r w:rsidR="005F7150" w:rsidRPr="008C51C9">
        <w:rPr>
          <w:rFonts w:ascii="Times New Roman" w:hAnsi="Times New Roman" w:cs="Times New Roman"/>
          <w:sz w:val="24"/>
          <w:szCs w:val="24"/>
        </w:rPr>
        <w:t xml:space="preserve">Study Completion page’ and </w:t>
      </w:r>
      <w:r w:rsidR="00A9352D" w:rsidRPr="008C51C9">
        <w:rPr>
          <w:rFonts w:ascii="Times New Roman" w:hAnsi="Times New Roman" w:cs="Times New Roman"/>
          <w:sz w:val="24"/>
          <w:szCs w:val="24"/>
        </w:rPr>
        <w:t xml:space="preserve">AE </w:t>
      </w:r>
      <w:r w:rsidR="005F7150" w:rsidRPr="008C51C9">
        <w:rPr>
          <w:rFonts w:ascii="Times New Roman" w:hAnsi="Times New Roman" w:cs="Times New Roman"/>
          <w:sz w:val="24"/>
          <w:szCs w:val="24"/>
        </w:rPr>
        <w:t xml:space="preserve">if any was recorded in the AE section of case report form. </w:t>
      </w:r>
      <w:r w:rsidR="007D7481" w:rsidRPr="008C51C9">
        <w:rPr>
          <w:rFonts w:ascii="Times New Roman" w:hAnsi="Times New Roman" w:cs="Times New Roman"/>
          <w:bCs/>
          <w:iCs/>
          <w:sz w:val="24"/>
          <w:szCs w:val="24"/>
        </w:rPr>
        <w:t>Participant</w:t>
      </w:r>
      <w:r w:rsidR="00A9352D" w:rsidRPr="008C51C9">
        <w:rPr>
          <w:rFonts w:ascii="Times New Roman" w:hAnsi="Times New Roman" w:cs="Times New Roman"/>
          <w:bCs/>
          <w:iCs/>
          <w:sz w:val="24"/>
          <w:szCs w:val="24"/>
        </w:rPr>
        <w:t xml:space="preserve">s </w:t>
      </w:r>
      <w:r w:rsidR="005F7150" w:rsidRPr="008C51C9">
        <w:rPr>
          <w:rFonts w:ascii="Times New Roman" w:hAnsi="Times New Roman" w:cs="Times New Roman"/>
          <w:bCs/>
          <w:iCs/>
          <w:sz w:val="24"/>
          <w:szCs w:val="24"/>
        </w:rPr>
        <w:t>withdrawn from the study were not replaced</w:t>
      </w:r>
      <w:r w:rsidR="005F7150" w:rsidRPr="008C51C9">
        <w:rPr>
          <w:rFonts w:ascii="Times New Roman" w:hAnsi="Times New Roman" w:cs="Times New Roman"/>
          <w:b/>
          <w:bCs/>
          <w:iCs/>
          <w:sz w:val="24"/>
          <w:szCs w:val="24"/>
        </w:rPr>
        <w:t>.</w:t>
      </w:r>
      <w:r w:rsidR="001F0E37">
        <w:rPr>
          <w:rFonts w:ascii="Times New Roman" w:hAnsi="Times New Roman" w:cs="Times New Roman"/>
          <w:b/>
          <w:bCs/>
          <w:iCs/>
          <w:sz w:val="24"/>
          <w:szCs w:val="24"/>
        </w:rPr>
        <w:t xml:space="preserve"> </w:t>
      </w:r>
    </w:p>
    <w:p w14:paraId="4AB5ECE6" w14:textId="77777777" w:rsidR="005C3BF2" w:rsidRDefault="005C3BF2" w:rsidP="005C3BF2">
      <w:pPr>
        <w:spacing w:after="0" w:line="240" w:lineRule="auto"/>
        <w:rPr>
          <w:rFonts w:ascii="Times New Roman" w:hAnsi="Times New Roman" w:cs="Times New Roman"/>
          <w:sz w:val="24"/>
          <w:szCs w:val="24"/>
        </w:rPr>
      </w:pPr>
    </w:p>
    <w:p w14:paraId="404E0DB2" w14:textId="77777777" w:rsidR="00FD2913" w:rsidRDefault="00FD2913" w:rsidP="005C3BF2">
      <w:pPr>
        <w:spacing w:after="0" w:line="240" w:lineRule="auto"/>
        <w:rPr>
          <w:rFonts w:ascii="Times New Roman" w:hAnsi="Times New Roman" w:cs="Times New Roman"/>
          <w:sz w:val="24"/>
          <w:szCs w:val="24"/>
        </w:rPr>
      </w:pPr>
    </w:p>
    <w:p w14:paraId="0D702CD9" w14:textId="77777777" w:rsidR="004716D0" w:rsidRPr="00057BBB" w:rsidRDefault="004716D0" w:rsidP="005C3BF2">
      <w:pPr>
        <w:spacing w:after="0" w:line="240" w:lineRule="auto"/>
        <w:rPr>
          <w:rFonts w:ascii="Times New Roman" w:hAnsi="Times New Roman" w:cs="Times New Roman"/>
          <w:sz w:val="24"/>
          <w:szCs w:val="24"/>
        </w:rPr>
      </w:pPr>
    </w:p>
    <w:p w14:paraId="237549BD"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Randomisation and masking</w:t>
      </w:r>
    </w:p>
    <w:p w14:paraId="659AA762" w14:textId="000291C4" w:rsidR="009471F1" w:rsidRPr="008C51C9" w:rsidRDefault="009471F1" w:rsidP="009471F1">
      <w:pPr>
        <w:jc w:val="both"/>
        <w:rPr>
          <w:rFonts w:ascii="Times New Roman" w:hAnsi="Times New Roman" w:cs="Times New Roman"/>
          <w:sz w:val="24"/>
          <w:szCs w:val="24"/>
        </w:rPr>
      </w:pPr>
      <w:r w:rsidRPr="008C51C9">
        <w:rPr>
          <w:rFonts w:ascii="Times New Roman" w:hAnsi="Times New Roman" w:cs="Times New Roman"/>
          <w:bCs/>
          <w:iCs/>
          <w:sz w:val="24"/>
          <w:szCs w:val="24"/>
        </w:rPr>
        <w:t>The study was double</w:t>
      </w:r>
      <w:r w:rsidR="009B622D" w:rsidRPr="008C51C9">
        <w:rPr>
          <w:rFonts w:ascii="Times New Roman" w:hAnsi="Times New Roman" w:cs="Times New Roman"/>
          <w:bCs/>
          <w:iCs/>
          <w:sz w:val="24"/>
          <w:szCs w:val="24"/>
        </w:rPr>
        <w:t>-</w:t>
      </w:r>
      <w:r w:rsidRPr="008C51C9">
        <w:rPr>
          <w:rFonts w:ascii="Times New Roman" w:hAnsi="Times New Roman" w:cs="Times New Roman"/>
          <w:bCs/>
          <w:iCs/>
          <w:sz w:val="24"/>
          <w:szCs w:val="24"/>
        </w:rPr>
        <w:t xml:space="preserve">blind with both the </w:t>
      </w:r>
      <w:r w:rsidR="007D7481" w:rsidRPr="008C51C9">
        <w:rPr>
          <w:rFonts w:ascii="Times New Roman" w:hAnsi="Times New Roman" w:cs="Times New Roman"/>
          <w:bCs/>
          <w:iCs/>
          <w:sz w:val="24"/>
          <w:szCs w:val="24"/>
        </w:rPr>
        <w:t>participant</w:t>
      </w:r>
      <w:r w:rsidRPr="008C51C9">
        <w:rPr>
          <w:rFonts w:ascii="Times New Roman" w:hAnsi="Times New Roman" w:cs="Times New Roman"/>
          <w:bCs/>
          <w:iCs/>
          <w:sz w:val="24"/>
          <w:szCs w:val="24"/>
        </w:rPr>
        <w:t xml:space="preserve">s and the </w:t>
      </w:r>
      <w:r w:rsidR="002A76B9">
        <w:rPr>
          <w:rFonts w:ascii="Times New Roman" w:hAnsi="Times New Roman" w:cs="Times New Roman"/>
          <w:bCs/>
          <w:iCs/>
          <w:sz w:val="24"/>
          <w:szCs w:val="24"/>
        </w:rPr>
        <w:t>physician</w:t>
      </w:r>
      <w:r w:rsidR="005B79CD">
        <w:rPr>
          <w:rFonts w:ascii="Times New Roman" w:hAnsi="Times New Roman" w:cs="Times New Roman"/>
          <w:bCs/>
          <w:iCs/>
          <w:sz w:val="24"/>
          <w:szCs w:val="24"/>
        </w:rPr>
        <w:t xml:space="preserve"> with supporting </w:t>
      </w:r>
      <w:r w:rsidRPr="008C51C9">
        <w:rPr>
          <w:rFonts w:ascii="Times New Roman" w:hAnsi="Times New Roman" w:cs="Times New Roman"/>
          <w:bCs/>
          <w:iCs/>
          <w:sz w:val="24"/>
          <w:szCs w:val="24"/>
        </w:rPr>
        <w:t xml:space="preserve">investigator not knowing the </w:t>
      </w:r>
      <w:r w:rsidR="00DF1BC9" w:rsidRPr="008C51C9">
        <w:rPr>
          <w:rFonts w:ascii="Times New Roman" w:hAnsi="Times New Roman" w:cs="Times New Roman"/>
          <w:bCs/>
          <w:iCs/>
          <w:sz w:val="24"/>
          <w:szCs w:val="24"/>
        </w:rPr>
        <w:t xml:space="preserve">study </w:t>
      </w:r>
      <w:r w:rsidRPr="008C51C9">
        <w:rPr>
          <w:rFonts w:ascii="Times New Roman" w:hAnsi="Times New Roman" w:cs="Times New Roman"/>
          <w:bCs/>
          <w:iCs/>
          <w:sz w:val="24"/>
          <w:szCs w:val="24"/>
        </w:rPr>
        <w:t xml:space="preserve">arm to which a </w:t>
      </w:r>
      <w:r w:rsidR="007D7481" w:rsidRPr="008C51C9">
        <w:rPr>
          <w:rFonts w:ascii="Times New Roman" w:hAnsi="Times New Roman" w:cs="Times New Roman"/>
          <w:bCs/>
          <w:iCs/>
          <w:sz w:val="24"/>
          <w:szCs w:val="24"/>
        </w:rPr>
        <w:t>participant</w:t>
      </w:r>
      <w:r w:rsidRPr="008C51C9">
        <w:rPr>
          <w:rFonts w:ascii="Times New Roman" w:hAnsi="Times New Roman" w:cs="Times New Roman"/>
          <w:bCs/>
          <w:iCs/>
          <w:sz w:val="24"/>
          <w:szCs w:val="24"/>
        </w:rPr>
        <w:t xml:space="preserve"> has been allocated. </w:t>
      </w:r>
      <w:r w:rsidR="00E067D7" w:rsidRPr="008C51C9">
        <w:rPr>
          <w:rFonts w:ascii="Times New Roman" w:hAnsi="Times New Roman" w:cs="Times New Roman"/>
          <w:bCs/>
          <w:sz w:val="24"/>
          <w:szCs w:val="24"/>
        </w:rPr>
        <w:t>1</w:t>
      </w:r>
      <w:r w:rsidR="005F7150" w:rsidRPr="008C51C9">
        <w:rPr>
          <w:rFonts w:ascii="Times New Roman" w:hAnsi="Times New Roman" w:cs="Times New Roman"/>
          <w:bCs/>
          <w:sz w:val="24"/>
          <w:szCs w:val="24"/>
        </w:rPr>
        <w:t xml:space="preserve">00 </w:t>
      </w:r>
      <w:r w:rsidRPr="008C51C9">
        <w:rPr>
          <w:rFonts w:ascii="Times New Roman" w:hAnsi="Times New Roman" w:cs="Times New Roman"/>
          <w:bCs/>
          <w:sz w:val="24"/>
          <w:szCs w:val="24"/>
        </w:rPr>
        <w:t>e</w:t>
      </w:r>
      <w:r w:rsidRPr="008C51C9">
        <w:rPr>
          <w:rFonts w:ascii="Times New Roman" w:hAnsi="Times New Roman" w:cs="Times New Roman"/>
          <w:sz w:val="24"/>
          <w:szCs w:val="24"/>
        </w:rPr>
        <w:t xml:space="preserve">ligible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were allocated to one of the two study arms (test or placebo) in the ratio of 1:1</w:t>
      </w:r>
      <w:r w:rsidR="00E067D7" w:rsidRPr="008C51C9">
        <w:rPr>
          <w:rFonts w:ascii="Times New Roman" w:hAnsi="Times New Roman" w:cs="Times New Roman"/>
          <w:sz w:val="24"/>
          <w:szCs w:val="24"/>
        </w:rPr>
        <w:t xml:space="preserve"> using a randomi</w:t>
      </w:r>
      <w:r w:rsidR="00DF1BC9" w:rsidRPr="008C51C9">
        <w:rPr>
          <w:rFonts w:ascii="Times New Roman" w:hAnsi="Times New Roman" w:cs="Times New Roman"/>
          <w:sz w:val="24"/>
          <w:szCs w:val="24"/>
        </w:rPr>
        <w:t>s</w:t>
      </w:r>
      <w:r w:rsidR="00E067D7" w:rsidRPr="008C51C9">
        <w:rPr>
          <w:rFonts w:ascii="Times New Roman" w:hAnsi="Times New Roman" w:cs="Times New Roman"/>
          <w:sz w:val="24"/>
          <w:szCs w:val="24"/>
        </w:rPr>
        <w:t>ation list</w:t>
      </w:r>
      <w:r w:rsidRPr="008C51C9">
        <w:rPr>
          <w:rFonts w:ascii="Times New Roman" w:hAnsi="Times New Roman" w:cs="Times New Roman"/>
          <w:sz w:val="24"/>
          <w:szCs w:val="24"/>
        </w:rPr>
        <w:t>. The randomi</w:t>
      </w:r>
      <w:r w:rsidR="00DF1BC9" w:rsidRPr="008C51C9">
        <w:rPr>
          <w:rFonts w:ascii="Times New Roman" w:hAnsi="Times New Roman" w:cs="Times New Roman"/>
          <w:sz w:val="24"/>
          <w:szCs w:val="24"/>
        </w:rPr>
        <w:t>s</w:t>
      </w:r>
      <w:r w:rsidRPr="008C51C9">
        <w:rPr>
          <w:rFonts w:ascii="Times New Roman" w:hAnsi="Times New Roman" w:cs="Times New Roman"/>
          <w:sz w:val="24"/>
          <w:szCs w:val="24"/>
        </w:rPr>
        <w:t xml:space="preserve">ation list was prepared by </w:t>
      </w:r>
      <w:r w:rsidR="001E2727" w:rsidRPr="008C51C9">
        <w:rPr>
          <w:rFonts w:ascii="Times New Roman" w:hAnsi="Times New Roman" w:cs="Times New Roman"/>
          <w:sz w:val="24"/>
          <w:szCs w:val="24"/>
        </w:rPr>
        <w:t xml:space="preserve">a </w:t>
      </w:r>
      <w:r w:rsidRPr="008C51C9">
        <w:rPr>
          <w:rFonts w:ascii="Times New Roman" w:hAnsi="Times New Roman" w:cs="Times New Roman"/>
          <w:sz w:val="24"/>
          <w:szCs w:val="24"/>
        </w:rPr>
        <w:t>biostatistician, and</w:t>
      </w:r>
      <w:r w:rsidR="00C97169" w:rsidRPr="008C51C9">
        <w:rPr>
          <w:rFonts w:ascii="Times New Roman" w:hAnsi="Times New Roman" w:cs="Times New Roman"/>
          <w:sz w:val="24"/>
          <w:szCs w:val="24"/>
        </w:rPr>
        <w:t xml:space="preserve"> the group list was</w:t>
      </w:r>
      <w:r w:rsidRPr="008C51C9">
        <w:rPr>
          <w:rFonts w:ascii="Times New Roman" w:hAnsi="Times New Roman" w:cs="Times New Roman"/>
          <w:sz w:val="24"/>
          <w:szCs w:val="24"/>
        </w:rPr>
        <w:t xml:space="preserve"> passed on to the </w:t>
      </w:r>
      <w:r w:rsidR="00C97169" w:rsidRPr="008C51C9">
        <w:rPr>
          <w:rFonts w:ascii="Times New Roman" w:hAnsi="Times New Roman" w:cs="Times New Roman"/>
          <w:sz w:val="24"/>
          <w:szCs w:val="24"/>
        </w:rPr>
        <w:t>study liaison.</w:t>
      </w:r>
      <w:r w:rsidRPr="008C51C9">
        <w:rPr>
          <w:rFonts w:ascii="Times New Roman" w:hAnsi="Times New Roman" w:cs="Times New Roman"/>
          <w:sz w:val="24"/>
          <w:szCs w:val="24"/>
        </w:rPr>
        <w:t xml:space="preserve"> The details of randomi</w:t>
      </w:r>
      <w:r w:rsidR="00DF1BC9" w:rsidRPr="008C51C9">
        <w:rPr>
          <w:rFonts w:ascii="Times New Roman" w:hAnsi="Times New Roman" w:cs="Times New Roman"/>
          <w:sz w:val="24"/>
          <w:szCs w:val="24"/>
        </w:rPr>
        <w:t>s</w:t>
      </w:r>
      <w:r w:rsidRPr="008C51C9">
        <w:rPr>
          <w:rFonts w:ascii="Times New Roman" w:hAnsi="Times New Roman" w:cs="Times New Roman"/>
          <w:sz w:val="24"/>
          <w:szCs w:val="24"/>
        </w:rPr>
        <w:t xml:space="preserve">ation list were not revealed to the </w:t>
      </w:r>
      <w:r w:rsidR="00C97169" w:rsidRPr="008C51C9">
        <w:rPr>
          <w:rFonts w:ascii="Times New Roman" w:hAnsi="Times New Roman" w:cs="Times New Roman"/>
          <w:sz w:val="24"/>
          <w:szCs w:val="24"/>
        </w:rPr>
        <w:t>study liaison</w:t>
      </w:r>
      <w:r w:rsidRPr="008C51C9">
        <w:rPr>
          <w:rFonts w:ascii="Times New Roman" w:hAnsi="Times New Roman" w:cs="Times New Roman"/>
          <w:sz w:val="24"/>
          <w:szCs w:val="24"/>
        </w:rPr>
        <w:t>.</w:t>
      </w:r>
      <w:r w:rsidR="00DF1BC9" w:rsidRPr="008C51C9">
        <w:rPr>
          <w:rFonts w:ascii="Times New Roman" w:hAnsi="Times New Roman" w:cs="Times New Roman"/>
          <w:sz w:val="24"/>
          <w:szCs w:val="24"/>
        </w:rPr>
        <w:t xml:space="preserve"> </w:t>
      </w:r>
      <w:r w:rsidR="00241C08">
        <w:rPr>
          <w:rFonts w:ascii="Times New Roman" w:hAnsi="Times New Roman" w:cs="Times New Roman"/>
          <w:sz w:val="24"/>
          <w:szCs w:val="24"/>
        </w:rPr>
        <w:t>Study Liaison has provided the bottles with sequential numbers</w:t>
      </w:r>
      <w:r w:rsidR="005C5352">
        <w:rPr>
          <w:rFonts w:ascii="Times New Roman" w:hAnsi="Times New Roman" w:cs="Times New Roman"/>
          <w:sz w:val="24"/>
          <w:szCs w:val="24"/>
        </w:rPr>
        <w:t xml:space="preserve"> and did not share any allocation information with </w:t>
      </w:r>
      <w:r w:rsidR="00870191">
        <w:rPr>
          <w:rFonts w:ascii="Times New Roman" w:hAnsi="Times New Roman" w:cs="Times New Roman"/>
          <w:sz w:val="24"/>
          <w:szCs w:val="24"/>
        </w:rPr>
        <w:t xml:space="preserve">the participants, </w:t>
      </w:r>
      <w:r w:rsidR="005C5352">
        <w:rPr>
          <w:rFonts w:ascii="Times New Roman" w:hAnsi="Times New Roman" w:cs="Times New Roman"/>
          <w:sz w:val="24"/>
          <w:szCs w:val="24"/>
        </w:rPr>
        <w:t xml:space="preserve">physician </w:t>
      </w:r>
      <w:r w:rsidR="00870191">
        <w:rPr>
          <w:rFonts w:ascii="Times New Roman" w:hAnsi="Times New Roman" w:cs="Times New Roman"/>
          <w:sz w:val="24"/>
          <w:szCs w:val="24"/>
        </w:rPr>
        <w:t xml:space="preserve">and </w:t>
      </w:r>
      <w:r w:rsidR="005C5352">
        <w:rPr>
          <w:rFonts w:ascii="Times New Roman" w:hAnsi="Times New Roman" w:cs="Times New Roman"/>
          <w:sz w:val="24"/>
          <w:szCs w:val="24"/>
        </w:rPr>
        <w:t xml:space="preserve">investigator. </w:t>
      </w:r>
      <w:r w:rsidR="00BA76B0">
        <w:rPr>
          <w:rFonts w:ascii="Times New Roman" w:hAnsi="Times New Roman" w:cs="Times New Roman"/>
          <w:sz w:val="24"/>
          <w:szCs w:val="24"/>
        </w:rPr>
        <w:t>It was re</w:t>
      </w:r>
      <w:r w:rsidR="004E3497">
        <w:rPr>
          <w:rFonts w:ascii="Times New Roman" w:hAnsi="Times New Roman" w:cs="Times New Roman"/>
          <w:sz w:val="24"/>
          <w:szCs w:val="24"/>
        </w:rPr>
        <w:t>ported</w:t>
      </w:r>
      <w:r w:rsidR="00BA76B0">
        <w:rPr>
          <w:rFonts w:ascii="Times New Roman" w:hAnsi="Times New Roman" w:cs="Times New Roman"/>
          <w:sz w:val="24"/>
          <w:szCs w:val="24"/>
        </w:rPr>
        <w:t xml:space="preserve"> by investigator </w:t>
      </w:r>
      <w:r w:rsidR="00F67D66">
        <w:rPr>
          <w:rFonts w:ascii="Times New Roman" w:hAnsi="Times New Roman" w:cs="Times New Roman"/>
          <w:sz w:val="24"/>
          <w:szCs w:val="24"/>
        </w:rPr>
        <w:t xml:space="preserve">at the end of the study </w:t>
      </w:r>
      <w:r w:rsidR="00BA76B0">
        <w:rPr>
          <w:rFonts w:ascii="Times New Roman" w:hAnsi="Times New Roman" w:cs="Times New Roman"/>
          <w:sz w:val="24"/>
          <w:szCs w:val="24"/>
        </w:rPr>
        <w:t xml:space="preserve">that blinding process was successful as no participant was able to assess </w:t>
      </w:r>
      <w:r w:rsidR="005C5352">
        <w:rPr>
          <w:rFonts w:ascii="Times New Roman" w:hAnsi="Times New Roman" w:cs="Times New Roman"/>
          <w:sz w:val="24"/>
          <w:szCs w:val="24"/>
        </w:rPr>
        <w:t xml:space="preserve">who </w:t>
      </w:r>
      <w:r w:rsidR="00BA76B0">
        <w:rPr>
          <w:rFonts w:ascii="Times New Roman" w:hAnsi="Times New Roman" w:cs="Times New Roman"/>
          <w:sz w:val="24"/>
          <w:szCs w:val="24"/>
        </w:rPr>
        <w:t xml:space="preserve">received test oil or placebo as well as there was no </w:t>
      </w:r>
      <w:r w:rsidR="005C5352">
        <w:rPr>
          <w:rFonts w:ascii="Times New Roman" w:hAnsi="Times New Roman" w:cs="Times New Roman"/>
          <w:sz w:val="24"/>
          <w:szCs w:val="24"/>
        </w:rPr>
        <w:t>disclosure</w:t>
      </w:r>
      <w:r w:rsidR="00BA76B0">
        <w:rPr>
          <w:rFonts w:ascii="Times New Roman" w:hAnsi="Times New Roman" w:cs="Times New Roman"/>
          <w:sz w:val="24"/>
          <w:szCs w:val="24"/>
        </w:rPr>
        <w:t xml:space="preserve"> to the physician and the investigator.</w:t>
      </w:r>
    </w:p>
    <w:p w14:paraId="79143EA1"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Procedures</w:t>
      </w:r>
    </w:p>
    <w:p w14:paraId="18B39323" w14:textId="77777777" w:rsidR="001E2727" w:rsidRPr="008C51C9" w:rsidRDefault="001E2727" w:rsidP="00535E54">
      <w:pPr>
        <w:spacing w:after="0" w:line="240" w:lineRule="auto"/>
        <w:jc w:val="both"/>
        <w:rPr>
          <w:rFonts w:ascii="Times New Roman" w:hAnsi="Times New Roman" w:cs="Times New Roman"/>
          <w:bCs/>
          <w:sz w:val="24"/>
          <w:szCs w:val="24"/>
        </w:rPr>
      </w:pPr>
      <w:r w:rsidRPr="008C51C9">
        <w:rPr>
          <w:rFonts w:ascii="Times New Roman" w:hAnsi="Times New Roman" w:cs="Times New Roman"/>
          <w:bCs/>
          <w:sz w:val="24"/>
          <w:szCs w:val="24"/>
        </w:rPr>
        <w:t xml:space="preserve">The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informed about the study. If agreed, they signed </w:t>
      </w:r>
      <w:r w:rsidRPr="008C51C9">
        <w:rPr>
          <w:rFonts w:ascii="Times New Roman" w:hAnsi="Times New Roman" w:cs="Times New Roman"/>
          <w:sz w:val="24"/>
          <w:szCs w:val="24"/>
        </w:rPr>
        <w:t xml:space="preserve">the informed consent form, and were screened for applicable enrolment </w:t>
      </w:r>
      <w:r w:rsidR="006E6943" w:rsidRPr="008C51C9">
        <w:rPr>
          <w:rFonts w:ascii="Times New Roman" w:hAnsi="Times New Roman" w:cs="Times New Roman"/>
          <w:sz w:val="24"/>
          <w:szCs w:val="24"/>
        </w:rPr>
        <w:t>criteria</w:t>
      </w:r>
      <w:r w:rsidRPr="008C51C9">
        <w:rPr>
          <w:rFonts w:ascii="Times New Roman" w:hAnsi="Times New Roman" w:cs="Times New Roman"/>
          <w:sz w:val="24"/>
          <w:szCs w:val="24"/>
        </w:rPr>
        <w:t xml:space="preserve">. The informed consent process of individual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including the procedure of providing information to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and her understanding on such consent, were maintained by the investigator for record. </w:t>
      </w:r>
      <w:r w:rsidRPr="008C51C9">
        <w:rPr>
          <w:rFonts w:ascii="Times New Roman" w:hAnsi="Times New Roman" w:cs="Times New Roman"/>
          <w:bCs/>
          <w:sz w:val="24"/>
          <w:szCs w:val="24"/>
        </w:rPr>
        <w:t xml:space="preserve">The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s were refrained from taking any other medications for treatment of PCOS, irregular menses and infertility including HRT from the outset of the study until final evaluation (if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 insisted to take above said medicine, </w:t>
      </w:r>
      <w:r w:rsidR="007D7481" w:rsidRPr="008C51C9">
        <w:rPr>
          <w:rFonts w:ascii="Times New Roman" w:hAnsi="Times New Roman" w:cs="Times New Roman"/>
          <w:bCs/>
          <w:sz w:val="24"/>
          <w:szCs w:val="24"/>
        </w:rPr>
        <w:t>participant</w:t>
      </w:r>
      <w:r w:rsidRPr="008C51C9">
        <w:rPr>
          <w:rFonts w:ascii="Times New Roman" w:hAnsi="Times New Roman" w:cs="Times New Roman"/>
          <w:bCs/>
          <w:sz w:val="24"/>
          <w:szCs w:val="24"/>
        </w:rPr>
        <w:t xml:space="preserve"> was dropped from the study). </w:t>
      </w:r>
    </w:p>
    <w:p w14:paraId="3C2067E1" w14:textId="77777777" w:rsidR="001E2727" w:rsidRPr="008C51C9" w:rsidRDefault="001E2727" w:rsidP="00535E54">
      <w:pPr>
        <w:spacing w:after="0" w:line="240" w:lineRule="auto"/>
        <w:jc w:val="both"/>
        <w:rPr>
          <w:rFonts w:ascii="Times New Roman" w:hAnsi="Times New Roman" w:cs="Times New Roman"/>
          <w:sz w:val="24"/>
          <w:szCs w:val="24"/>
        </w:rPr>
      </w:pPr>
    </w:p>
    <w:p w14:paraId="423DE520" w14:textId="77777777" w:rsidR="00AD2028" w:rsidRPr="008C51C9" w:rsidRDefault="001E2727" w:rsidP="00535E54">
      <w:pPr>
        <w:spacing w:after="0" w:line="240" w:lineRule="auto"/>
        <w:jc w:val="both"/>
        <w:rPr>
          <w:rFonts w:ascii="Times New Roman" w:hAnsi="Times New Roman" w:cs="Times New Roman"/>
          <w:bCs/>
          <w:sz w:val="24"/>
          <w:szCs w:val="24"/>
        </w:rPr>
      </w:pPr>
      <w:r w:rsidRPr="008C51C9">
        <w:rPr>
          <w:rFonts w:ascii="Times New Roman" w:hAnsi="Times New Roman" w:cs="Times New Roman"/>
          <w:sz w:val="24"/>
          <w:szCs w:val="24"/>
        </w:rPr>
        <w:t>Participants</w:t>
      </w:r>
      <w:r w:rsidR="005F7150" w:rsidRPr="008C51C9">
        <w:rPr>
          <w:rFonts w:ascii="Times New Roman" w:hAnsi="Times New Roman" w:cs="Times New Roman"/>
          <w:sz w:val="24"/>
          <w:szCs w:val="24"/>
        </w:rPr>
        <w:t xml:space="preserve"> were screened in baseline interview (day 0) and were randomi</w:t>
      </w:r>
      <w:r w:rsidR="00341750" w:rsidRPr="008C51C9">
        <w:rPr>
          <w:rFonts w:ascii="Times New Roman" w:hAnsi="Times New Roman" w:cs="Times New Roman"/>
          <w:sz w:val="24"/>
          <w:szCs w:val="24"/>
        </w:rPr>
        <w:t>s</w:t>
      </w:r>
      <w:r w:rsidR="005F7150" w:rsidRPr="008C51C9">
        <w:rPr>
          <w:rFonts w:ascii="Times New Roman" w:hAnsi="Times New Roman" w:cs="Times New Roman"/>
          <w:sz w:val="24"/>
          <w:szCs w:val="24"/>
        </w:rPr>
        <w:t>ed into two groups to be treated either</w:t>
      </w:r>
      <w:r w:rsidR="00AD2028" w:rsidRPr="008C51C9">
        <w:rPr>
          <w:rFonts w:ascii="Times New Roman" w:hAnsi="Times New Roman" w:cs="Times New Roman"/>
          <w:sz w:val="24"/>
          <w:szCs w:val="24"/>
        </w:rPr>
        <w:t xml:space="preserve"> with</w:t>
      </w:r>
      <w:r w:rsidR="005F7150" w:rsidRPr="008C51C9">
        <w:rPr>
          <w:rFonts w:ascii="Times New Roman" w:hAnsi="Times New Roman" w:cs="Times New Roman"/>
          <w:sz w:val="24"/>
          <w:szCs w:val="24"/>
        </w:rPr>
        <w:t xml:space="preserve"> the test </w:t>
      </w:r>
      <w:r w:rsidR="00341750" w:rsidRPr="008C51C9">
        <w:rPr>
          <w:rFonts w:ascii="Times New Roman" w:hAnsi="Times New Roman" w:cs="Times New Roman"/>
          <w:sz w:val="24"/>
          <w:szCs w:val="24"/>
        </w:rPr>
        <w:t>oil</w:t>
      </w:r>
      <w:r w:rsidR="005F7150" w:rsidRPr="008C51C9">
        <w:rPr>
          <w:rFonts w:ascii="Times New Roman" w:hAnsi="Times New Roman" w:cs="Times New Roman"/>
          <w:sz w:val="24"/>
          <w:szCs w:val="24"/>
        </w:rPr>
        <w:t xml:space="preserve"> or </w:t>
      </w:r>
      <w:r w:rsidR="00AD2028" w:rsidRPr="008C51C9">
        <w:rPr>
          <w:rFonts w:ascii="Times New Roman" w:hAnsi="Times New Roman" w:cs="Times New Roman"/>
          <w:sz w:val="24"/>
          <w:szCs w:val="24"/>
        </w:rPr>
        <w:t xml:space="preserve">the </w:t>
      </w:r>
      <w:r w:rsidR="005F7150" w:rsidRPr="008C51C9">
        <w:rPr>
          <w:rFonts w:ascii="Times New Roman" w:hAnsi="Times New Roman" w:cs="Times New Roman"/>
          <w:sz w:val="24"/>
          <w:szCs w:val="24"/>
        </w:rPr>
        <w:t>placebo. The baseline interview collected demographics</w:t>
      </w:r>
      <w:r w:rsidR="000D75DB" w:rsidRPr="008C51C9">
        <w:rPr>
          <w:rFonts w:ascii="Times New Roman" w:hAnsi="Times New Roman" w:cs="Times New Roman"/>
          <w:sz w:val="24"/>
          <w:szCs w:val="24"/>
        </w:rPr>
        <w:t>; viz.</w:t>
      </w:r>
      <w:r w:rsidR="005F7150" w:rsidRPr="008C51C9">
        <w:rPr>
          <w:rFonts w:ascii="Times New Roman" w:hAnsi="Times New Roman" w:cs="Times New Roman"/>
          <w:sz w:val="24"/>
          <w:szCs w:val="24"/>
        </w:rPr>
        <w:t xml:space="preserve"> </w:t>
      </w:r>
      <w:r w:rsidR="000D75DB" w:rsidRPr="008C51C9">
        <w:rPr>
          <w:rFonts w:ascii="Times New Roman" w:hAnsi="Times New Roman" w:cs="Times New Roman"/>
          <w:sz w:val="24"/>
          <w:szCs w:val="24"/>
        </w:rPr>
        <w:t>age, height, weight, body mass index, time since diagnosis, number of cycles in past 12 years,</w:t>
      </w:r>
      <w:r w:rsidR="005F7150" w:rsidRPr="008C51C9">
        <w:rPr>
          <w:rFonts w:ascii="Times New Roman" w:hAnsi="Times New Roman" w:cs="Times New Roman"/>
          <w:sz w:val="24"/>
          <w:szCs w:val="24"/>
        </w:rPr>
        <w:t xml:space="preserve"> smoking/non-smoking as well as menstrual cycle characteristics</w:t>
      </w:r>
      <w:r w:rsidR="000D75DB" w:rsidRPr="008C51C9">
        <w:rPr>
          <w:rFonts w:ascii="Times New Roman" w:hAnsi="Times New Roman" w:cs="Times New Roman"/>
          <w:sz w:val="24"/>
          <w:szCs w:val="24"/>
        </w:rPr>
        <w:t>.</w:t>
      </w:r>
      <w:r w:rsidR="005F7150"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00CB3065" w:rsidRPr="008C51C9">
        <w:rPr>
          <w:rFonts w:ascii="Times New Roman" w:hAnsi="Times New Roman" w:cs="Times New Roman"/>
          <w:sz w:val="24"/>
          <w:szCs w:val="24"/>
        </w:rPr>
        <w:t>s</w:t>
      </w:r>
      <w:r w:rsidR="00CB3065" w:rsidRPr="008C51C9">
        <w:rPr>
          <w:rFonts w:ascii="Times New Roman" w:hAnsi="Times New Roman" w:cs="Times New Roman"/>
          <w:bCs/>
          <w:sz w:val="24"/>
          <w:szCs w:val="24"/>
        </w:rPr>
        <w:t xml:space="preserve"> were </w:t>
      </w:r>
      <w:r w:rsidR="00D354A4" w:rsidRPr="008C51C9">
        <w:rPr>
          <w:rFonts w:ascii="Times New Roman" w:hAnsi="Times New Roman" w:cs="Times New Roman"/>
          <w:bCs/>
          <w:sz w:val="24"/>
          <w:szCs w:val="24"/>
        </w:rPr>
        <w:t xml:space="preserve">individually </w:t>
      </w:r>
      <w:r w:rsidR="00AD2028" w:rsidRPr="008C51C9">
        <w:rPr>
          <w:rFonts w:ascii="Times New Roman" w:hAnsi="Times New Roman" w:cs="Times New Roman"/>
          <w:bCs/>
          <w:sz w:val="24"/>
          <w:szCs w:val="24"/>
        </w:rPr>
        <w:t xml:space="preserve">evaluated for </w:t>
      </w:r>
      <w:r w:rsidR="00CB3065" w:rsidRPr="008C51C9">
        <w:rPr>
          <w:rFonts w:ascii="Times New Roman" w:hAnsi="Times New Roman" w:cs="Times New Roman"/>
          <w:bCs/>
          <w:sz w:val="24"/>
          <w:szCs w:val="24"/>
        </w:rPr>
        <w:t>grad</w:t>
      </w:r>
      <w:r w:rsidR="00AD2028" w:rsidRPr="008C51C9">
        <w:rPr>
          <w:rFonts w:ascii="Times New Roman" w:hAnsi="Times New Roman" w:cs="Times New Roman"/>
          <w:bCs/>
          <w:sz w:val="24"/>
          <w:szCs w:val="24"/>
        </w:rPr>
        <w:t xml:space="preserve">ing (mild to severe) </w:t>
      </w:r>
      <w:r w:rsidR="00CB3065" w:rsidRPr="008C51C9">
        <w:rPr>
          <w:rFonts w:ascii="Times New Roman" w:hAnsi="Times New Roman" w:cs="Times New Roman"/>
          <w:bCs/>
          <w:sz w:val="24"/>
          <w:szCs w:val="24"/>
        </w:rPr>
        <w:t>and scor</w:t>
      </w:r>
      <w:r w:rsidR="00AD2028" w:rsidRPr="008C51C9">
        <w:rPr>
          <w:rFonts w:ascii="Times New Roman" w:hAnsi="Times New Roman" w:cs="Times New Roman"/>
          <w:bCs/>
          <w:sz w:val="24"/>
          <w:szCs w:val="24"/>
        </w:rPr>
        <w:t xml:space="preserve">ing (0 to 3) </w:t>
      </w:r>
      <w:r w:rsidR="00CB3065" w:rsidRPr="008C51C9">
        <w:rPr>
          <w:rFonts w:ascii="Times New Roman" w:hAnsi="Times New Roman" w:cs="Times New Roman"/>
          <w:bCs/>
          <w:sz w:val="24"/>
          <w:szCs w:val="24"/>
        </w:rPr>
        <w:t xml:space="preserve">by a physician </w:t>
      </w:r>
      <w:r w:rsidR="00AD2028" w:rsidRPr="008C51C9">
        <w:rPr>
          <w:rFonts w:ascii="Times New Roman" w:hAnsi="Times New Roman" w:cs="Times New Roman"/>
          <w:bCs/>
          <w:sz w:val="24"/>
          <w:szCs w:val="24"/>
        </w:rPr>
        <w:t xml:space="preserve">at day0 and day60 </w:t>
      </w:r>
      <w:r w:rsidR="00CB3065" w:rsidRPr="008C51C9">
        <w:rPr>
          <w:rFonts w:ascii="Times New Roman" w:hAnsi="Times New Roman" w:cs="Times New Roman"/>
          <w:bCs/>
          <w:sz w:val="24"/>
          <w:szCs w:val="24"/>
        </w:rPr>
        <w:t>for the subjective parameters</w:t>
      </w:r>
      <w:r w:rsidR="00B60CCF" w:rsidRPr="008C51C9">
        <w:rPr>
          <w:rFonts w:ascii="Times New Roman" w:hAnsi="Times New Roman" w:cs="Times New Roman"/>
          <w:bCs/>
          <w:sz w:val="24"/>
          <w:szCs w:val="24"/>
        </w:rPr>
        <w:t xml:space="preserve">; viz. </w:t>
      </w:r>
      <w:r w:rsidR="00830EB0" w:rsidRPr="008C51C9">
        <w:rPr>
          <w:rFonts w:ascii="Times New Roman" w:hAnsi="Times New Roman" w:cs="Times New Roman"/>
          <w:bCs/>
          <w:sz w:val="24"/>
          <w:szCs w:val="24"/>
        </w:rPr>
        <w:t>irregular menstruation, duration of menstruation bleeding, quantity of bleeding and pain during menstrual period/menses</w:t>
      </w:r>
      <w:r w:rsidR="00CB3065" w:rsidRPr="008C51C9">
        <w:rPr>
          <w:rFonts w:ascii="Times New Roman" w:hAnsi="Times New Roman" w:cs="Times New Roman"/>
          <w:bCs/>
          <w:sz w:val="24"/>
          <w:szCs w:val="24"/>
        </w:rPr>
        <w:t xml:space="preserve">. </w:t>
      </w:r>
      <w:r w:rsidR="00AD2028" w:rsidRPr="008C51C9">
        <w:rPr>
          <w:rFonts w:ascii="Times New Roman" w:hAnsi="Times New Roman" w:cs="Times New Roman"/>
          <w:sz w:val="24"/>
          <w:szCs w:val="24"/>
        </w:rPr>
        <w:t xml:space="preserve">Table2 </w:t>
      </w:r>
      <w:r w:rsidR="00341750" w:rsidRPr="008C51C9">
        <w:rPr>
          <w:rFonts w:ascii="Times New Roman" w:hAnsi="Times New Roman" w:cs="Times New Roman"/>
          <w:sz w:val="24"/>
          <w:szCs w:val="24"/>
        </w:rPr>
        <w:t>presents</w:t>
      </w:r>
      <w:r w:rsidR="00AD2028" w:rsidRPr="008C51C9">
        <w:rPr>
          <w:rFonts w:ascii="Times New Roman" w:hAnsi="Times New Roman" w:cs="Times New Roman"/>
          <w:sz w:val="24"/>
          <w:szCs w:val="24"/>
        </w:rPr>
        <w:t xml:space="preserve"> the grades and scores for the four subjective parameters. Irregular menstruation is calculated by intermediate days between menses, duration of menstrual bleeding was measured in number of days of bleeding, amount of bleeding is measured by pads used per cycle, and the level of menstrual pain was evaluated by Visual Analog Score (VAS). </w:t>
      </w:r>
      <w:r w:rsidR="00CB3065" w:rsidRPr="008C51C9">
        <w:rPr>
          <w:rFonts w:ascii="Times New Roman" w:hAnsi="Times New Roman" w:cs="Times New Roman"/>
          <w:bCs/>
          <w:sz w:val="24"/>
          <w:szCs w:val="24"/>
        </w:rPr>
        <w:t xml:space="preserve">A composite score was calculated by adding </w:t>
      </w:r>
      <w:r w:rsidR="00D354A4" w:rsidRPr="008C51C9">
        <w:rPr>
          <w:rFonts w:ascii="Times New Roman" w:hAnsi="Times New Roman" w:cs="Times New Roman"/>
          <w:bCs/>
          <w:sz w:val="24"/>
          <w:szCs w:val="24"/>
        </w:rPr>
        <w:t xml:space="preserve">all </w:t>
      </w:r>
      <w:r w:rsidR="00CB3065" w:rsidRPr="008C51C9">
        <w:rPr>
          <w:rFonts w:ascii="Times New Roman" w:hAnsi="Times New Roman" w:cs="Times New Roman"/>
          <w:bCs/>
          <w:sz w:val="24"/>
          <w:szCs w:val="24"/>
        </w:rPr>
        <w:t xml:space="preserve">scores for </w:t>
      </w:r>
      <w:r w:rsidR="00D354A4" w:rsidRPr="008C51C9">
        <w:rPr>
          <w:rFonts w:ascii="Times New Roman" w:hAnsi="Times New Roman" w:cs="Times New Roman"/>
          <w:bCs/>
          <w:sz w:val="24"/>
          <w:szCs w:val="24"/>
        </w:rPr>
        <w:t xml:space="preserve">each of </w:t>
      </w:r>
      <w:r w:rsidR="00CB3065" w:rsidRPr="008C51C9">
        <w:rPr>
          <w:rFonts w:ascii="Times New Roman" w:hAnsi="Times New Roman" w:cs="Times New Roman"/>
          <w:bCs/>
          <w:sz w:val="24"/>
          <w:szCs w:val="24"/>
        </w:rPr>
        <w:t>the subjective parameters investigated (higher score indicat</w:t>
      </w:r>
      <w:r w:rsidR="00D354A4" w:rsidRPr="008C51C9">
        <w:rPr>
          <w:rFonts w:ascii="Times New Roman" w:hAnsi="Times New Roman" w:cs="Times New Roman"/>
          <w:bCs/>
          <w:sz w:val="24"/>
          <w:szCs w:val="24"/>
        </w:rPr>
        <w:t>ed</w:t>
      </w:r>
      <w:r w:rsidR="00CB3065" w:rsidRPr="008C51C9">
        <w:rPr>
          <w:rFonts w:ascii="Times New Roman" w:hAnsi="Times New Roman" w:cs="Times New Roman"/>
          <w:bCs/>
          <w:sz w:val="24"/>
          <w:szCs w:val="24"/>
        </w:rPr>
        <w:t xml:space="preserve"> severity of the disease)</w:t>
      </w:r>
      <w:r w:rsidR="00AD2028" w:rsidRPr="008C51C9">
        <w:rPr>
          <w:rFonts w:ascii="Times New Roman" w:hAnsi="Times New Roman" w:cs="Times New Roman"/>
          <w:bCs/>
          <w:sz w:val="24"/>
          <w:szCs w:val="24"/>
        </w:rPr>
        <w:t xml:space="preserve"> </w:t>
      </w:r>
      <w:r w:rsidR="00AD2028" w:rsidRPr="008C51C9">
        <w:rPr>
          <w:rFonts w:ascii="Times New Roman" w:hAnsi="Times New Roman" w:cs="Times New Roman"/>
          <w:sz w:val="24"/>
          <w:szCs w:val="24"/>
        </w:rPr>
        <w:t>before and after the given treatment in both groups</w:t>
      </w:r>
      <w:r w:rsidR="00CB3065" w:rsidRPr="008C51C9">
        <w:rPr>
          <w:rFonts w:ascii="Times New Roman" w:hAnsi="Times New Roman" w:cs="Times New Roman"/>
          <w:bCs/>
          <w:sz w:val="24"/>
          <w:szCs w:val="24"/>
        </w:rPr>
        <w:t>.</w:t>
      </w:r>
      <w:r w:rsidR="00AD2028" w:rsidRPr="008C51C9">
        <w:rPr>
          <w:rFonts w:ascii="Times New Roman" w:hAnsi="Times New Roman" w:cs="Times New Roman"/>
          <w:bCs/>
          <w:sz w:val="24"/>
          <w:szCs w:val="24"/>
        </w:rPr>
        <w:t xml:space="preserve"> C</w:t>
      </w:r>
      <w:r w:rsidR="00AD2028" w:rsidRPr="008C51C9">
        <w:rPr>
          <w:rFonts w:ascii="Times New Roman" w:hAnsi="Times New Roman" w:cs="Times New Roman"/>
          <w:sz w:val="24"/>
          <w:szCs w:val="24"/>
        </w:rPr>
        <w:t>hange in grade or decrease in composite or individual parameter score as compared to the placebo were used to assess efficacy of the treatment.</w:t>
      </w:r>
      <w:r w:rsidR="00AD2028" w:rsidRPr="008C51C9">
        <w:rPr>
          <w:rFonts w:ascii="Times New Roman" w:hAnsi="Times New Roman" w:cs="Times New Roman"/>
          <w:bCs/>
          <w:sz w:val="24"/>
          <w:szCs w:val="24"/>
        </w:rPr>
        <w:t xml:space="preserve"> </w:t>
      </w:r>
      <w:r w:rsidR="00CB3065" w:rsidRPr="008C51C9">
        <w:rPr>
          <w:rFonts w:ascii="Times New Roman" w:hAnsi="Times New Roman" w:cs="Times New Roman"/>
          <w:bCs/>
          <w:sz w:val="24"/>
          <w:szCs w:val="24"/>
        </w:rPr>
        <w:t xml:space="preserve"> </w:t>
      </w:r>
    </w:p>
    <w:p w14:paraId="5B8BD3EA" w14:textId="77777777" w:rsidR="00AD2028" w:rsidRPr="008C51C9" w:rsidRDefault="00AD2028" w:rsidP="00535E54">
      <w:pPr>
        <w:spacing w:after="0" w:line="240" w:lineRule="auto"/>
        <w:jc w:val="both"/>
        <w:rPr>
          <w:rFonts w:ascii="Times New Roman" w:hAnsi="Times New Roman" w:cs="Times New Roman"/>
          <w:bCs/>
          <w:sz w:val="24"/>
          <w:szCs w:val="24"/>
        </w:rPr>
      </w:pPr>
    </w:p>
    <w:p w14:paraId="1E4DA94D" w14:textId="7D9EC632" w:rsidR="003B7385" w:rsidRPr="008C51C9" w:rsidRDefault="003B7385" w:rsidP="003B7385">
      <w:pPr>
        <w:jc w:val="both"/>
        <w:rPr>
          <w:rFonts w:ascii="Times New Roman" w:hAnsi="Times New Roman" w:cs="Times New Roman"/>
          <w:sz w:val="24"/>
          <w:szCs w:val="24"/>
        </w:rPr>
      </w:pPr>
      <w:r w:rsidRPr="008C51C9">
        <w:rPr>
          <w:rFonts w:ascii="Times New Roman" w:hAnsi="Times New Roman" w:cs="Times New Roman"/>
          <w:sz w:val="24"/>
          <w:szCs w:val="24"/>
        </w:rPr>
        <w:t>Objective parameters indicating the symptoms of PCOS</w:t>
      </w:r>
      <w:r w:rsidR="00AD2028" w:rsidRPr="008C51C9">
        <w:rPr>
          <w:rFonts w:ascii="Times New Roman" w:hAnsi="Times New Roman" w:cs="Times New Roman"/>
          <w:sz w:val="24"/>
          <w:szCs w:val="24"/>
        </w:rPr>
        <w:t>, viz. ovarian volume, number of mature follicles and number of follicular cysts</w:t>
      </w:r>
      <w:r w:rsidRPr="008C51C9">
        <w:rPr>
          <w:rFonts w:ascii="Times New Roman" w:hAnsi="Times New Roman" w:cs="Times New Roman"/>
          <w:sz w:val="24"/>
          <w:szCs w:val="24"/>
        </w:rPr>
        <w:t xml:space="preserve"> were measured by USG of pelvic and abdomen for each treatment group. </w:t>
      </w:r>
      <w:r w:rsidR="00AD2028" w:rsidRPr="008C51C9">
        <w:rPr>
          <w:rFonts w:ascii="Times New Roman" w:hAnsi="Times New Roman" w:cs="Times New Roman"/>
          <w:sz w:val="24"/>
          <w:szCs w:val="24"/>
        </w:rPr>
        <w:t xml:space="preserve">Hirsutism is </w:t>
      </w:r>
      <w:r w:rsidR="000822CD">
        <w:rPr>
          <w:rFonts w:ascii="Times New Roman" w:hAnsi="Times New Roman" w:cs="Times New Roman"/>
          <w:sz w:val="24"/>
          <w:szCs w:val="24"/>
        </w:rPr>
        <w:t>another</w:t>
      </w:r>
      <w:r w:rsidR="00AD2028" w:rsidRPr="008C51C9">
        <w:rPr>
          <w:rFonts w:ascii="Times New Roman" w:hAnsi="Times New Roman" w:cs="Times New Roman"/>
          <w:sz w:val="24"/>
          <w:szCs w:val="24"/>
        </w:rPr>
        <w:t xml:space="preserve"> assessed objective parameter. </w:t>
      </w:r>
    </w:p>
    <w:p w14:paraId="2464BB07" w14:textId="4F265CA2" w:rsidR="003C7798" w:rsidRPr="008C51C9" w:rsidRDefault="003C7798" w:rsidP="003C7798">
      <w:pPr>
        <w:spacing w:after="0" w:line="240" w:lineRule="auto"/>
        <w:jc w:val="both"/>
        <w:rPr>
          <w:rFonts w:ascii="Times New Roman" w:hAnsi="Times New Roman" w:cs="Times New Roman"/>
          <w:bCs/>
          <w:sz w:val="24"/>
          <w:szCs w:val="24"/>
        </w:rPr>
      </w:pPr>
      <w:r w:rsidRPr="008C51C9">
        <w:rPr>
          <w:rFonts w:ascii="Times New Roman" w:hAnsi="Times New Roman" w:cs="Times New Roman"/>
          <w:bCs/>
          <w:sz w:val="24"/>
          <w:szCs w:val="24"/>
        </w:rPr>
        <w:t>Enrolled participants received the test oil or the placebo with instructions on how and when to apply. There was only a topical application of test oil and placebo oil. Oils had to be applied locally over the lower back area, lower abdominal and pelvic area and massaged lightly into the skin till oil is absorbed.</w:t>
      </w:r>
      <w:r w:rsidRPr="008C51C9">
        <w:rPr>
          <w:rFonts w:ascii="Times New Roman" w:hAnsi="Times New Roman" w:cs="Times New Roman"/>
          <w:sz w:val="24"/>
          <w:szCs w:val="24"/>
        </w:rPr>
        <w:t xml:space="preserve"> It was required to apply 8-10 drops each time for </w:t>
      </w:r>
      <w:r w:rsidRPr="0053411B">
        <w:rPr>
          <w:rFonts w:ascii="Times New Roman" w:hAnsi="Times New Roman" w:cs="Times New Roman"/>
          <w:sz w:val="24"/>
          <w:szCs w:val="24"/>
        </w:rPr>
        <w:t>three times a day.</w:t>
      </w:r>
      <w:r w:rsidRPr="008C51C9">
        <w:rPr>
          <w:rFonts w:ascii="Times New Roman" w:hAnsi="Times New Roman" w:cs="Times New Roman"/>
          <w:sz w:val="24"/>
          <w:szCs w:val="24"/>
        </w:rPr>
        <w:t xml:space="preserve"> Participants were evaluated for change, if any, in menstrual cycle characteristics as well as objective parameters during follow-up visit at Day60. AE analyses was done at each </w:t>
      </w:r>
      <w:r w:rsidR="000822CD">
        <w:rPr>
          <w:rFonts w:ascii="Times New Roman" w:hAnsi="Times New Roman" w:cs="Times New Roman"/>
          <w:sz w:val="24"/>
          <w:szCs w:val="24"/>
        </w:rPr>
        <w:t xml:space="preserve">follow-up </w:t>
      </w:r>
      <w:r w:rsidRPr="008C51C9">
        <w:rPr>
          <w:rFonts w:ascii="Times New Roman" w:hAnsi="Times New Roman" w:cs="Times New Roman"/>
          <w:sz w:val="24"/>
          <w:szCs w:val="24"/>
        </w:rPr>
        <w:t>visit, if any. The use of any incidental medication (e.g. thyroid medication, antipyretic medication etc.) was recorded.</w:t>
      </w:r>
      <w:r w:rsidR="000B42F5">
        <w:rPr>
          <w:rFonts w:ascii="Times New Roman" w:hAnsi="Times New Roman" w:cs="Times New Roman"/>
          <w:sz w:val="24"/>
          <w:szCs w:val="24"/>
        </w:rPr>
        <w:t xml:space="preserve"> </w:t>
      </w:r>
      <w:r w:rsidR="000B42F5" w:rsidRPr="008C51C9">
        <w:rPr>
          <w:rFonts w:ascii="Times New Roman" w:hAnsi="Times New Roman" w:cs="Times New Roman"/>
          <w:sz w:val="24"/>
          <w:szCs w:val="24"/>
        </w:rPr>
        <w:t>The study was conducted between 28-04-2018 to 29-09-2018</w:t>
      </w:r>
      <w:r w:rsidR="000B42F5">
        <w:rPr>
          <w:rFonts w:ascii="Times New Roman" w:hAnsi="Times New Roman" w:cs="Times New Roman"/>
          <w:sz w:val="24"/>
          <w:szCs w:val="24"/>
        </w:rPr>
        <w:t xml:space="preserve"> </w:t>
      </w:r>
      <w:r w:rsidR="000B42F5">
        <w:rPr>
          <w:rFonts w:ascii="Times New Roman" w:hAnsi="Times New Roman" w:cs="Times New Roman"/>
          <w:sz w:val="24"/>
          <w:szCs w:val="24"/>
        </w:rPr>
        <w:lastRenderedPageBreak/>
        <w:t>and then a six-month follow-up was done with test oil participants to know incidence of pregnancy</w:t>
      </w:r>
      <w:r w:rsidR="000B42F5" w:rsidRPr="008C51C9">
        <w:rPr>
          <w:rFonts w:ascii="Times New Roman" w:hAnsi="Times New Roman" w:cs="Times New Roman"/>
          <w:sz w:val="24"/>
          <w:szCs w:val="24"/>
        </w:rPr>
        <w:t>.</w:t>
      </w:r>
    </w:p>
    <w:p w14:paraId="4767BD08" w14:textId="77777777" w:rsidR="003C7798" w:rsidRPr="008C51C9" w:rsidRDefault="003C7798" w:rsidP="003C7798">
      <w:pPr>
        <w:spacing w:after="0" w:line="240" w:lineRule="auto"/>
        <w:jc w:val="both"/>
        <w:rPr>
          <w:rFonts w:ascii="Times New Roman" w:hAnsi="Times New Roman" w:cs="Times New Roman"/>
          <w:sz w:val="24"/>
          <w:szCs w:val="24"/>
        </w:rPr>
      </w:pPr>
    </w:p>
    <w:p w14:paraId="71CBAC4D" w14:textId="723936A2" w:rsidR="003C7798" w:rsidRPr="008C51C9" w:rsidRDefault="003C7798" w:rsidP="003C7798">
      <w:pPr>
        <w:jc w:val="both"/>
        <w:rPr>
          <w:rFonts w:ascii="Times New Roman" w:hAnsi="Times New Roman" w:cs="Times New Roman"/>
          <w:sz w:val="24"/>
          <w:szCs w:val="24"/>
        </w:rPr>
      </w:pPr>
      <w:r w:rsidRPr="008C51C9">
        <w:rPr>
          <w:rFonts w:ascii="Times New Roman" w:hAnsi="Times New Roman" w:cs="Times New Roman"/>
          <w:sz w:val="24"/>
          <w:szCs w:val="24"/>
        </w:rPr>
        <w:t xml:space="preserve">The test oil as well as the placebo oil were packed in similar bottles with the same appearance like colour, shape, and size by the study liaison, who </w:t>
      </w:r>
      <w:r w:rsidR="000822CD">
        <w:rPr>
          <w:rFonts w:ascii="Times New Roman" w:hAnsi="Times New Roman" w:cs="Times New Roman"/>
          <w:sz w:val="24"/>
          <w:szCs w:val="24"/>
        </w:rPr>
        <w:t>was</w:t>
      </w:r>
      <w:r w:rsidRPr="008C51C9">
        <w:rPr>
          <w:rFonts w:ascii="Times New Roman" w:hAnsi="Times New Roman" w:cs="Times New Roman"/>
          <w:sz w:val="24"/>
          <w:szCs w:val="24"/>
        </w:rPr>
        <w:t xml:space="preserve"> the only one to identify the intervention according to the number given on each bottle. </w:t>
      </w:r>
    </w:p>
    <w:p w14:paraId="2D9E025B" w14:textId="77777777" w:rsidR="003C7798" w:rsidRPr="008C51C9" w:rsidRDefault="003C7798" w:rsidP="003C7798">
      <w:pPr>
        <w:jc w:val="both"/>
        <w:rPr>
          <w:rFonts w:ascii="Times New Roman" w:hAnsi="Times New Roman" w:cs="Times New Roman"/>
          <w:bCs/>
          <w:sz w:val="24"/>
          <w:szCs w:val="24"/>
        </w:rPr>
      </w:pPr>
      <w:r w:rsidRPr="008C51C9">
        <w:rPr>
          <w:rFonts w:ascii="Times New Roman" w:hAnsi="Times New Roman" w:cs="Times New Roman"/>
          <w:sz w:val="24"/>
          <w:szCs w:val="24"/>
        </w:rPr>
        <w:t xml:space="preserve">An AE is defined as any unfavourable and unintended sign, symptom or disease, whatever their nature, severity, seriousness, and the supposed role (causality) of the product administered or the experimental procedure. Vital examination (axillary temperature, heart rate and respiratory rate) and clinical examination (including general physical and systemic examination) were done on each visit day and on any unsolicited follow up visit or at any time during the conduct of study, if deemed necessary. </w:t>
      </w:r>
      <w:r w:rsidRPr="008C51C9">
        <w:rPr>
          <w:rFonts w:ascii="Times New Roman" w:hAnsi="Times New Roman" w:cs="Times New Roman"/>
          <w:bCs/>
          <w:sz w:val="24"/>
          <w:szCs w:val="24"/>
        </w:rPr>
        <w:t xml:space="preserve">Incidences of local and systemic solicited and unsolicited AEs occurring were noted, if any. </w:t>
      </w:r>
    </w:p>
    <w:p w14:paraId="21CD249E" w14:textId="77777777" w:rsidR="005B0486" w:rsidRDefault="005B0486" w:rsidP="003B7385">
      <w:pPr>
        <w:jc w:val="both"/>
        <w:rPr>
          <w:rFonts w:ascii="Times New Roman" w:hAnsi="Times New Roman" w:cs="Times New Roman"/>
          <w:sz w:val="24"/>
          <w:szCs w:val="24"/>
        </w:rPr>
      </w:pPr>
    </w:p>
    <w:tbl>
      <w:tblPr>
        <w:tblStyle w:val="TableGrid"/>
        <w:tblW w:w="0" w:type="auto"/>
        <w:tblInd w:w="895" w:type="dxa"/>
        <w:tblLook w:val="04A0" w:firstRow="1" w:lastRow="0" w:firstColumn="1" w:lastColumn="0" w:noHBand="0" w:noVBand="1"/>
      </w:tblPr>
      <w:tblGrid>
        <w:gridCol w:w="1470"/>
        <w:gridCol w:w="1615"/>
        <w:gridCol w:w="1659"/>
        <w:gridCol w:w="1700"/>
        <w:gridCol w:w="1677"/>
      </w:tblGrid>
      <w:tr w:rsidR="003B7385" w:rsidRPr="008C51C9" w14:paraId="332F1F05" w14:textId="77777777" w:rsidTr="005B0486">
        <w:tc>
          <w:tcPr>
            <w:tcW w:w="1470" w:type="dxa"/>
          </w:tcPr>
          <w:p w14:paraId="560286C8"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Grade</w:t>
            </w:r>
          </w:p>
        </w:tc>
        <w:tc>
          <w:tcPr>
            <w:tcW w:w="1615" w:type="dxa"/>
          </w:tcPr>
          <w:p w14:paraId="39F98823"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Nil</w:t>
            </w:r>
          </w:p>
        </w:tc>
        <w:tc>
          <w:tcPr>
            <w:tcW w:w="1659" w:type="dxa"/>
          </w:tcPr>
          <w:p w14:paraId="34E88C9E"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Mild</w:t>
            </w:r>
          </w:p>
        </w:tc>
        <w:tc>
          <w:tcPr>
            <w:tcW w:w="1700" w:type="dxa"/>
          </w:tcPr>
          <w:p w14:paraId="5867646F"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Moderate</w:t>
            </w:r>
          </w:p>
        </w:tc>
        <w:tc>
          <w:tcPr>
            <w:tcW w:w="1677" w:type="dxa"/>
          </w:tcPr>
          <w:p w14:paraId="1184EAC4"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Severe</w:t>
            </w:r>
          </w:p>
        </w:tc>
      </w:tr>
      <w:tr w:rsidR="003B7385" w:rsidRPr="008C51C9" w14:paraId="2BCF028E" w14:textId="77777777" w:rsidTr="005B0486">
        <w:tc>
          <w:tcPr>
            <w:tcW w:w="1470" w:type="dxa"/>
          </w:tcPr>
          <w:p w14:paraId="31C5D709"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Score</w:t>
            </w:r>
          </w:p>
        </w:tc>
        <w:tc>
          <w:tcPr>
            <w:tcW w:w="1615" w:type="dxa"/>
          </w:tcPr>
          <w:p w14:paraId="0DD75468"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0</w:t>
            </w:r>
          </w:p>
        </w:tc>
        <w:tc>
          <w:tcPr>
            <w:tcW w:w="1659" w:type="dxa"/>
          </w:tcPr>
          <w:p w14:paraId="18CDCEFC"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1</w:t>
            </w:r>
          </w:p>
        </w:tc>
        <w:tc>
          <w:tcPr>
            <w:tcW w:w="1700" w:type="dxa"/>
          </w:tcPr>
          <w:p w14:paraId="2A8A4BAD"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2</w:t>
            </w:r>
          </w:p>
        </w:tc>
        <w:tc>
          <w:tcPr>
            <w:tcW w:w="1677" w:type="dxa"/>
          </w:tcPr>
          <w:p w14:paraId="1685F32F" w14:textId="77777777" w:rsidR="003B7385" w:rsidRPr="008C51C9" w:rsidRDefault="003B7385" w:rsidP="000D47C5">
            <w:pPr>
              <w:jc w:val="center"/>
              <w:rPr>
                <w:rFonts w:ascii="Times New Roman" w:hAnsi="Times New Roman" w:cs="Times New Roman"/>
                <w:sz w:val="24"/>
                <w:szCs w:val="24"/>
              </w:rPr>
            </w:pPr>
            <w:r w:rsidRPr="008C51C9">
              <w:rPr>
                <w:rFonts w:ascii="Times New Roman" w:hAnsi="Times New Roman" w:cs="Times New Roman"/>
                <w:sz w:val="24"/>
                <w:szCs w:val="24"/>
              </w:rPr>
              <w:t>3</w:t>
            </w:r>
          </w:p>
        </w:tc>
      </w:tr>
      <w:tr w:rsidR="003B7385" w:rsidRPr="008C51C9" w14:paraId="18D8F73F" w14:textId="77777777" w:rsidTr="005B0486">
        <w:trPr>
          <w:trHeight w:val="368"/>
        </w:trPr>
        <w:tc>
          <w:tcPr>
            <w:tcW w:w="1470" w:type="dxa"/>
          </w:tcPr>
          <w:p w14:paraId="3FA1C911"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Parameters</w:t>
            </w:r>
          </w:p>
        </w:tc>
        <w:tc>
          <w:tcPr>
            <w:tcW w:w="6651" w:type="dxa"/>
            <w:gridSpan w:val="4"/>
          </w:tcPr>
          <w:p w14:paraId="3CAB75F4" w14:textId="77777777" w:rsidR="003B7385" w:rsidRPr="008C51C9" w:rsidRDefault="003B7385" w:rsidP="000D47C5">
            <w:pPr>
              <w:jc w:val="center"/>
              <w:rPr>
                <w:rFonts w:ascii="Times New Roman" w:hAnsi="Times New Roman" w:cs="Times New Roman"/>
                <w:b/>
                <w:bCs/>
                <w:sz w:val="24"/>
                <w:szCs w:val="24"/>
              </w:rPr>
            </w:pPr>
            <w:r w:rsidRPr="008C51C9">
              <w:rPr>
                <w:rFonts w:ascii="Times New Roman" w:hAnsi="Times New Roman" w:cs="Times New Roman"/>
                <w:b/>
                <w:bCs/>
                <w:sz w:val="24"/>
                <w:szCs w:val="24"/>
              </w:rPr>
              <w:t>Assessment criteria to grade and score for the given parameter</w:t>
            </w:r>
          </w:p>
        </w:tc>
      </w:tr>
      <w:tr w:rsidR="003B7385" w:rsidRPr="008C51C9" w14:paraId="2EF6CF95" w14:textId="77777777" w:rsidTr="005B0486">
        <w:tc>
          <w:tcPr>
            <w:tcW w:w="1470" w:type="dxa"/>
          </w:tcPr>
          <w:p w14:paraId="5691EB0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Irregular menstruation </w:t>
            </w:r>
          </w:p>
        </w:tc>
        <w:tc>
          <w:tcPr>
            <w:tcW w:w="1615" w:type="dxa"/>
          </w:tcPr>
          <w:p w14:paraId="36F33048"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 days</w:t>
            </w:r>
          </w:p>
        </w:tc>
        <w:tc>
          <w:tcPr>
            <w:tcW w:w="1659" w:type="dxa"/>
          </w:tcPr>
          <w:p w14:paraId="2A901CD7"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28-45 days</w:t>
            </w:r>
          </w:p>
        </w:tc>
        <w:tc>
          <w:tcPr>
            <w:tcW w:w="1700" w:type="dxa"/>
          </w:tcPr>
          <w:p w14:paraId="75AF200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45-60 days</w:t>
            </w:r>
          </w:p>
        </w:tc>
        <w:tc>
          <w:tcPr>
            <w:tcW w:w="1677" w:type="dxa"/>
          </w:tcPr>
          <w:p w14:paraId="5A6D5230"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Above 60 days</w:t>
            </w:r>
          </w:p>
        </w:tc>
      </w:tr>
      <w:tr w:rsidR="003B7385" w:rsidRPr="008C51C9" w14:paraId="26F18071" w14:textId="77777777" w:rsidTr="005B0486">
        <w:tc>
          <w:tcPr>
            <w:tcW w:w="1470" w:type="dxa"/>
          </w:tcPr>
          <w:p w14:paraId="4D86604B" w14:textId="77777777" w:rsidR="003B7385" w:rsidRPr="008C51C9" w:rsidRDefault="006048AA" w:rsidP="000D47C5">
            <w:pPr>
              <w:rPr>
                <w:rFonts w:ascii="Times New Roman" w:hAnsi="Times New Roman" w:cs="Times New Roman"/>
                <w:sz w:val="24"/>
                <w:szCs w:val="24"/>
              </w:rPr>
            </w:pPr>
            <w:r w:rsidRPr="008C51C9">
              <w:rPr>
                <w:rFonts w:ascii="Times New Roman" w:hAnsi="Times New Roman" w:cs="Times New Roman"/>
                <w:sz w:val="24"/>
                <w:szCs w:val="24"/>
              </w:rPr>
              <w:t>Menstrual Cycle</w:t>
            </w:r>
            <w:r w:rsidR="003B7385" w:rsidRPr="008C51C9">
              <w:rPr>
                <w:rFonts w:ascii="Times New Roman" w:hAnsi="Times New Roman" w:cs="Times New Roman"/>
                <w:sz w:val="24"/>
                <w:szCs w:val="24"/>
              </w:rPr>
              <w:t xml:space="preserve"> duration</w:t>
            </w:r>
          </w:p>
        </w:tc>
        <w:tc>
          <w:tcPr>
            <w:tcW w:w="1615" w:type="dxa"/>
          </w:tcPr>
          <w:p w14:paraId="3728FCE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3-5 days</w:t>
            </w:r>
          </w:p>
        </w:tc>
        <w:tc>
          <w:tcPr>
            <w:tcW w:w="1659" w:type="dxa"/>
          </w:tcPr>
          <w:p w14:paraId="3A7C0E9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1-2/6-7 days</w:t>
            </w:r>
          </w:p>
        </w:tc>
        <w:tc>
          <w:tcPr>
            <w:tcW w:w="1700" w:type="dxa"/>
          </w:tcPr>
          <w:p w14:paraId="44480E9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1/8-9 days</w:t>
            </w:r>
          </w:p>
        </w:tc>
        <w:tc>
          <w:tcPr>
            <w:tcW w:w="1677" w:type="dxa"/>
          </w:tcPr>
          <w:p w14:paraId="1B65AED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Spotting &gt;9 days</w:t>
            </w:r>
          </w:p>
        </w:tc>
      </w:tr>
      <w:tr w:rsidR="003B7385" w:rsidRPr="008C51C9" w14:paraId="3FB28336" w14:textId="77777777" w:rsidTr="005B0486">
        <w:tc>
          <w:tcPr>
            <w:tcW w:w="1470" w:type="dxa"/>
          </w:tcPr>
          <w:p w14:paraId="19D93F1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Bleeding quantity (no. of pads per cycle)</w:t>
            </w:r>
          </w:p>
        </w:tc>
        <w:tc>
          <w:tcPr>
            <w:tcW w:w="1615" w:type="dxa"/>
          </w:tcPr>
          <w:p w14:paraId="3E559571"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&lt;15</w:t>
            </w:r>
          </w:p>
        </w:tc>
        <w:tc>
          <w:tcPr>
            <w:tcW w:w="1659" w:type="dxa"/>
          </w:tcPr>
          <w:p w14:paraId="7452EC36"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15-19</w:t>
            </w:r>
          </w:p>
        </w:tc>
        <w:tc>
          <w:tcPr>
            <w:tcW w:w="1700" w:type="dxa"/>
          </w:tcPr>
          <w:p w14:paraId="2C3CBD7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20-25</w:t>
            </w:r>
          </w:p>
        </w:tc>
        <w:tc>
          <w:tcPr>
            <w:tcW w:w="1677" w:type="dxa"/>
          </w:tcPr>
          <w:p w14:paraId="313E579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&gt;25</w:t>
            </w:r>
          </w:p>
        </w:tc>
      </w:tr>
      <w:tr w:rsidR="003B7385" w:rsidRPr="008C51C9" w14:paraId="13F358AB" w14:textId="77777777" w:rsidTr="005B0486">
        <w:tc>
          <w:tcPr>
            <w:tcW w:w="1470" w:type="dxa"/>
          </w:tcPr>
          <w:p w14:paraId="3E607C2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Pain during menses</w:t>
            </w:r>
          </w:p>
        </w:tc>
        <w:tc>
          <w:tcPr>
            <w:tcW w:w="1615" w:type="dxa"/>
          </w:tcPr>
          <w:p w14:paraId="1688576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No pain</w:t>
            </w:r>
          </w:p>
        </w:tc>
        <w:tc>
          <w:tcPr>
            <w:tcW w:w="1659" w:type="dxa"/>
          </w:tcPr>
          <w:p w14:paraId="078D3BA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Painful but daily activities are not affected, no need for analgesic</w:t>
            </w:r>
          </w:p>
        </w:tc>
        <w:tc>
          <w:tcPr>
            <w:tcW w:w="1700" w:type="dxa"/>
          </w:tcPr>
          <w:p w14:paraId="5036ECA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Daily activities are affected, need to take analgesic </w:t>
            </w:r>
          </w:p>
        </w:tc>
        <w:tc>
          <w:tcPr>
            <w:tcW w:w="1677" w:type="dxa"/>
          </w:tcPr>
          <w:p w14:paraId="6620D0B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 xml:space="preserve">Daily activities are inhibited, pain continue after taking analgesic </w:t>
            </w:r>
          </w:p>
        </w:tc>
      </w:tr>
    </w:tbl>
    <w:p w14:paraId="799D5256" w14:textId="77777777" w:rsidR="000822CD" w:rsidRDefault="000822CD" w:rsidP="000822CD">
      <w:pPr>
        <w:jc w:val="both"/>
        <w:rPr>
          <w:rFonts w:ascii="Times New Roman" w:hAnsi="Times New Roman" w:cs="Times New Roman"/>
          <w:sz w:val="24"/>
          <w:szCs w:val="24"/>
        </w:rPr>
      </w:pPr>
      <w:r w:rsidRPr="008C51C9">
        <w:rPr>
          <w:rFonts w:ascii="Times New Roman" w:hAnsi="Times New Roman" w:cs="Times New Roman"/>
          <w:sz w:val="24"/>
          <w:szCs w:val="24"/>
        </w:rPr>
        <w:t xml:space="preserve">Table2: Grades and Scores with assessment criteria for measuring the four subjective parameters </w:t>
      </w:r>
    </w:p>
    <w:p w14:paraId="236CB29E" w14:textId="77777777" w:rsidR="0049249B" w:rsidRDefault="0049249B" w:rsidP="00AF4EC2">
      <w:pPr>
        <w:jc w:val="both"/>
        <w:rPr>
          <w:rFonts w:ascii="Times New Roman" w:hAnsi="Times New Roman" w:cs="Times New Roman"/>
          <w:bCs/>
          <w:sz w:val="24"/>
          <w:szCs w:val="24"/>
        </w:rPr>
      </w:pPr>
    </w:p>
    <w:p w14:paraId="1C0D172A" w14:textId="77777777" w:rsidR="00CC113A" w:rsidRPr="008C51C9" w:rsidRDefault="00CC113A" w:rsidP="00AF4EC2">
      <w:pPr>
        <w:jc w:val="both"/>
        <w:rPr>
          <w:rFonts w:ascii="Times New Roman" w:hAnsi="Times New Roman" w:cs="Times New Roman"/>
          <w:bCs/>
          <w:sz w:val="24"/>
          <w:szCs w:val="24"/>
        </w:rPr>
      </w:pPr>
      <w:r w:rsidRPr="008C51C9">
        <w:rPr>
          <w:rFonts w:ascii="Times New Roman" w:hAnsi="Times New Roman" w:cs="Times New Roman"/>
          <w:bCs/>
          <w:sz w:val="24"/>
          <w:szCs w:val="24"/>
        </w:rPr>
        <w:t>Before proceeding on the study, a safety and skin toxicology study was conducted</w:t>
      </w:r>
      <w:r w:rsidRPr="008C51C9">
        <w:rPr>
          <w:rFonts w:ascii="Times New Roman" w:hAnsi="Times New Roman" w:cs="Times New Roman"/>
          <w:sz w:val="24"/>
          <w:szCs w:val="24"/>
        </w:rPr>
        <w:t xml:space="preserve"> at </w:t>
      </w:r>
      <w:r w:rsidR="00BA2237" w:rsidRPr="008C51C9">
        <w:rPr>
          <w:rFonts w:ascii="Times New Roman" w:hAnsi="Times New Roman" w:cs="Times New Roman"/>
          <w:sz w:val="24"/>
          <w:szCs w:val="24"/>
        </w:rPr>
        <w:t>an N</w:t>
      </w:r>
      <w:r w:rsidRPr="008C51C9">
        <w:rPr>
          <w:rFonts w:ascii="Times New Roman" w:hAnsi="Times New Roman" w:cs="Times New Roman"/>
          <w:sz w:val="24"/>
          <w:szCs w:val="24"/>
        </w:rPr>
        <w:t>ABL (National Accreditation Board of Testing and Calibration of Laboratories) certified</w:t>
      </w:r>
      <w:r w:rsidR="00BA2237" w:rsidRPr="008C51C9">
        <w:rPr>
          <w:rFonts w:ascii="Times New Roman" w:hAnsi="Times New Roman" w:cs="Times New Roman"/>
          <w:sz w:val="24"/>
          <w:szCs w:val="24"/>
        </w:rPr>
        <w:t xml:space="preserve"> laboratory</w:t>
      </w:r>
      <w:r w:rsidRPr="008C51C9">
        <w:rPr>
          <w:rFonts w:ascii="Times New Roman" w:hAnsi="Times New Roman" w:cs="Times New Roman"/>
          <w:sz w:val="24"/>
          <w:szCs w:val="24"/>
        </w:rPr>
        <w:t>. It was reported that the test oil is safe to use</w:t>
      </w:r>
      <w:r w:rsidR="00533B42" w:rsidRPr="008C51C9">
        <w:rPr>
          <w:rFonts w:ascii="Times New Roman" w:hAnsi="Times New Roman" w:cs="Times New Roman"/>
          <w:sz w:val="24"/>
          <w:szCs w:val="24"/>
        </w:rPr>
        <w:t xml:space="preserve"> for topical application </w:t>
      </w:r>
      <w:r w:rsidR="00BA2237" w:rsidRPr="008C51C9">
        <w:rPr>
          <w:rFonts w:ascii="Times New Roman" w:hAnsi="Times New Roman" w:cs="Times New Roman"/>
          <w:sz w:val="24"/>
          <w:szCs w:val="24"/>
        </w:rPr>
        <w:t>free from</w:t>
      </w:r>
      <w:r w:rsidR="00533B42" w:rsidRPr="008C51C9">
        <w:rPr>
          <w:rFonts w:ascii="Times New Roman" w:hAnsi="Times New Roman" w:cs="Times New Roman"/>
          <w:sz w:val="24"/>
          <w:szCs w:val="24"/>
        </w:rPr>
        <w:t xml:space="preserve"> </w:t>
      </w:r>
      <w:r w:rsidR="00BA2237" w:rsidRPr="008C51C9">
        <w:rPr>
          <w:rFonts w:ascii="Times New Roman" w:hAnsi="Times New Roman" w:cs="Times New Roman"/>
          <w:sz w:val="24"/>
          <w:szCs w:val="24"/>
        </w:rPr>
        <w:t xml:space="preserve">steroids, heavy metals and any other </w:t>
      </w:r>
      <w:r w:rsidR="00533B42" w:rsidRPr="008C51C9">
        <w:rPr>
          <w:rFonts w:ascii="Times New Roman" w:hAnsi="Times New Roman" w:cs="Times New Roman"/>
          <w:sz w:val="24"/>
          <w:szCs w:val="24"/>
        </w:rPr>
        <w:t>toxic elements</w:t>
      </w:r>
      <w:r w:rsidR="00BA2237" w:rsidRPr="008C51C9">
        <w:rPr>
          <w:rFonts w:ascii="Times New Roman" w:hAnsi="Times New Roman" w:cs="Times New Roman"/>
          <w:sz w:val="24"/>
          <w:szCs w:val="24"/>
        </w:rPr>
        <w:t>/ impurities</w:t>
      </w:r>
      <w:r w:rsidRPr="008C51C9">
        <w:rPr>
          <w:rFonts w:ascii="Times New Roman" w:hAnsi="Times New Roman" w:cs="Times New Roman"/>
          <w:sz w:val="24"/>
          <w:szCs w:val="24"/>
        </w:rPr>
        <w:t>. The test reports are identified with numbers DTRLAF-260617034 and DTRLAF-260617042.</w:t>
      </w:r>
    </w:p>
    <w:p w14:paraId="3D3E6FD7" w14:textId="77777777" w:rsidR="00216B54" w:rsidRDefault="00216B54" w:rsidP="005C3BF2">
      <w:pPr>
        <w:spacing w:after="0" w:line="240" w:lineRule="auto"/>
        <w:rPr>
          <w:rFonts w:ascii="Times New Roman" w:hAnsi="Times New Roman" w:cs="Times New Roman"/>
          <w:b/>
          <w:bCs/>
          <w:sz w:val="24"/>
          <w:szCs w:val="24"/>
        </w:rPr>
      </w:pPr>
    </w:p>
    <w:p w14:paraId="1F554CD2"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Outcomes</w:t>
      </w:r>
    </w:p>
    <w:p w14:paraId="2670D33B" w14:textId="77777777" w:rsidR="003B7385" w:rsidRPr="008C51C9" w:rsidRDefault="000A42B7" w:rsidP="00EB665D">
      <w:pPr>
        <w:jc w:val="both"/>
        <w:rPr>
          <w:rFonts w:ascii="Times New Roman" w:hAnsi="Times New Roman" w:cs="Times New Roman"/>
          <w:sz w:val="24"/>
          <w:szCs w:val="24"/>
        </w:rPr>
      </w:pPr>
      <w:r w:rsidRPr="008C51C9">
        <w:rPr>
          <w:rFonts w:ascii="Times New Roman" w:hAnsi="Times New Roman" w:cs="Times New Roman"/>
          <w:sz w:val="24"/>
          <w:szCs w:val="24"/>
        </w:rPr>
        <w:t xml:space="preserve">Test </w:t>
      </w:r>
      <w:r w:rsidR="00CB3065" w:rsidRPr="008C51C9">
        <w:rPr>
          <w:rFonts w:ascii="Times New Roman" w:hAnsi="Times New Roman" w:cs="Times New Roman"/>
          <w:sz w:val="24"/>
          <w:szCs w:val="24"/>
        </w:rPr>
        <w:t xml:space="preserve">oil was to be considered effective if the </w:t>
      </w:r>
      <w:r w:rsidR="000758AB" w:rsidRPr="008C51C9">
        <w:rPr>
          <w:rFonts w:ascii="Times New Roman" w:hAnsi="Times New Roman" w:cs="Times New Roman"/>
          <w:sz w:val="24"/>
          <w:szCs w:val="24"/>
        </w:rPr>
        <w:t xml:space="preserve">studied subjective and objective </w:t>
      </w:r>
      <w:r w:rsidR="00CB3065" w:rsidRPr="008C51C9">
        <w:rPr>
          <w:rFonts w:ascii="Times New Roman" w:hAnsi="Times New Roman" w:cs="Times New Roman"/>
          <w:sz w:val="24"/>
          <w:szCs w:val="24"/>
        </w:rPr>
        <w:t>symptoms of PCOS</w:t>
      </w:r>
      <w:r w:rsidR="001A0F09" w:rsidRPr="008C51C9">
        <w:rPr>
          <w:rFonts w:ascii="Times New Roman" w:hAnsi="Times New Roman" w:cs="Times New Roman"/>
          <w:sz w:val="24"/>
          <w:szCs w:val="24"/>
        </w:rPr>
        <w:t xml:space="preserve"> </w:t>
      </w:r>
      <w:r w:rsidR="00CB3065" w:rsidRPr="008C51C9">
        <w:rPr>
          <w:rFonts w:ascii="Times New Roman" w:hAnsi="Times New Roman" w:cs="Times New Roman"/>
          <w:sz w:val="24"/>
          <w:szCs w:val="24"/>
        </w:rPr>
        <w:t xml:space="preserve">were alleviated significantly on application of the test </w:t>
      </w:r>
      <w:r w:rsidR="00D226AF" w:rsidRPr="008C51C9">
        <w:rPr>
          <w:rFonts w:ascii="Times New Roman" w:hAnsi="Times New Roman" w:cs="Times New Roman"/>
          <w:sz w:val="24"/>
          <w:szCs w:val="24"/>
        </w:rPr>
        <w:t>oil</w:t>
      </w:r>
      <w:r w:rsidR="00CB3065" w:rsidRPr="008C51C9">
        <w:rPr>
          <w:rFonts w:ascii="Times New Roman" w:hAnsi="Times New Roman" w:cs="Times New Roman"/>
          <w:sz w:val="24"/>
          <w:szCs w:val="24"/>
        </w:rPr>
        <w:t xml:space="preserve"> as compared to the placebo. </w:t>
      </w:r>
      <w:r w:rsidR="003B7385" w:rsidRPr="008C51C9">
        <w:rPr>
          <w:rFonts w:ascii="Times New Roman" w:hAnsi="Times New Roman" w:cs="Times New Roman"/>
          <w:sz w:val="24"/>
          <w:szCs w:val="24"/>
        </w:rPr>
        <w:lastRenderedPageBreak/>
        <w:t xml:space="preserve">Efficacy of the test </w:t>
      </w:r>
      <w:r w:rsidR="00D226AF" w:rsidRPr="008C51C9">
        <w:rPr>
          <w:rFonts w:ascii="Times New Roman" w:hAnsi="Times New Roman" w:cs="Times New Roman"/>
          <w:sz w:val="24"/>
          <w:szCs w:val="24"/>
        </w:rPr>
        <w:t>oil</w:t>
      </w:r>
      <w:r w:rsidR="003B7385" w:rsidRPr="008C51C9">
        <w:rPr>
          <w:rFonts w:ascii="Times New Roman" w:hAnsi="Times New Roman" w:cs="Times New Roman"/>
          <w:sz w:val="24"/>
          <w:szCs w:val="24"/>
        </w:rPr>
        <w:t xml:space="preserve"> is measured with an increase in total number of </w:t>
      </w:r>
      <w:r w:rsidR="007D7481" w:rsidRPr="008C51C9">
        <w:rPr>
          <w:rFonts w:ascii="Times New Roman" w:hAnsi="Times New Roman" w:cs="Times New Roman"/>
          <w:sz w:val="24"/>
          <w:szCs w:val="24"/>
        </w:rPr>
        <w:t>participant</w:t>
      </w:r>
      <w:r w:rsidR="003B7385" w:rsidRPr="008C51C9">
        <w:rPr>
          <w:rFonts w:ascii="Times New Roman" w:hAnsi="Times New Roman" w:cs="Times New Roman"/>
          <w:sz w:val="24"/>
          <w:szCs w:val="24"/>
        </w:rPr>
        <w:t>s with a lower score, indicative of reduction in severity of the disease, for a given subjective parameter</w:t>
      </w:r>
      <w:r w:rsidR="00D7479B" w:rsidRPr="008C51C9">
        <w:rPr>
          <w:rFonts w:ascii="Times New Roman" w:hAnsi="Times New Roman" w:cs="Times New Roman"/>
          <w:sz w:val="24"/>
          <w:szCs w:val="24"/>
        </w:rPr>
        <w:t>;</w:t>
      </w:r>
      <w:r w:rsidR="003B7385" w:rsidRPr="008C51C9">
        <w:rPr>
          <w:rFonts w:ascii="Times New Roman" w:hAnsi="Times New Roman" w:cs="Times New Roman"/>
          <w:sz w:val="24"/>
          <w:szCs w:val="24"/>
        </w:rPr>
        <w:t xml:space="preserve"> and </w:t>
      </w:r>
      <w:r w:rsidR="00D7479B" w:rsidRPr="008C51C9">
        <w:rPr>
          <w:rFonts w:ascii="Times New Roman" w:hAnsi="Times New Roman" w:cs="Times New Roman"/>
          <w:sz w:val="24"/>
          <w:szCs w:val="24"/>
        </w:rPr>
        <w:t xml:space="preserve">change in results for heuristics, </w:t>
      </w:r>
      <w:r w:rsidR="003B7385" w:rsidRPr="008C51C9">
        <w:rPr>
          <w:rFonts w:ascii="Times New Roman" w:hAnsi="Times New Roman" w:cs="Times New Roman"/>
          <w:sz w:val="24"/>
          <w:szCs w:val="24"/>
        </w:rPr>
        <w:t>reduction in number of cysts</w:t>
      </w:r>
      <w:r w:rsidR="006048AA" w:rsidRPr="008C51C9">
        <w:rPr>
          <w:rFonts w:ascii="Times New Roman" w:hAnsi="Times New Roman" w:cs="Times New Roman"/>
          <w:sz w:val="24"/>
          <w:szCs w:val="24"/>
        </w:rPr>
        <w:t xml:space="preserve"> as well as ovarian volume</w:t>
      </w:r>
      <w:r w:rsidR="00D7479B" w:rsidRPr="008C51C9">
        <w:rPr>
          <w:rFonts w:ascii="Times New Roman" w:hAnsi="Times New Roman" w:cs="Times New Roman"/>
          <w:sz w:val="24"/>
          <w:szCs w:val="24"/>
        </w:rPr>
        <w:t xml:space="preserve"> and increased mature follicles</w:t>
      </w:r>
      <w:r w:rsidR="003B7385" w:rsidRPr="008C51C9">
        <w:rPr>
          <w:rFonts w:ascii="Times New Roman" w:hAnsi="Times New Roman" w:cs="Times New Roman"/>
          <w:sz w:val="24"/>
          <w:szCs w:val="24"/>
        </w:rPr>
        <w:t xml:space="preserve"> by pelvic USG examination at day60. </w:t>
      </w:r>
      <w:bookmarkStart w:id="0" w:name="R1"/>
      <w:bookmarkStart w:id="1" w:name="R5"/>
      <w:bookmarkStart w:id="2" w:name="R6"/>
      <w:bookmarkStart w:id="3" w:name="R7"/>
      <w:bookmarkStart w:id="4" w:name="R8"/>
      <w:bookmarkStart w:id="5" w:name="R9"/>
      <w:bookmarkStart w:id="6" w:name="R10"/>
      <w:bookmarkStart w:id="7" w:name="R11"/>
      <w:bookmarkEnd w:id="0"/>
      <w:bookmarkEnd w:id="1"/>
      <w:bookmarkEnd w:id="2"/>
      <w:bookmarkEnd w:id="3"/>
      <w:bookmarkEnd w:id="4"/>
      <w:bookmarkEnd w:id="5"/>
      <w:bookmarkEnd w:id="6"/>
      <w:bookmarkEnd w:id="7"/>
      <w:r w:rsidR="005C3CF6">
        <w:rPr>
          <w:rFonts w:ascii="Times New Roman" w:hAnsi="Times New Roman" w:cs="Times New Roman"/>
          <w:sz w:val="24"/>
          <w:szCs w:val="24"/>
        </w:rPr>
        <w:t>In a 6-month post-study follow-up, incidence of pregnancy was checked with test oil participants</w:t>
      </w:r>
      <w:r w:rsidR="005C3CF6" w:rsidRPr="008C51C9">
        <w:rPr>
          <w:rFonts w:ascii="Times New Roman" w:hAnsi="Times New Roman" w:cs="Times New Roman"/>
          <w:sz w:val="24"/>
          <w:szCs w:val="24"/>
        </w:rPr>
        <w:t>.</w:t>
      </w:r>
    </w:p>
    <w:p w14:paraId="51644816" w14:textId="77777777" w:rsidR="00216B54" w:rsidRDefault="00216B54" w:rsidP="005C3BF2">
      <w:pPr>
        <w:spacing w:after="0" w:line="240" w:lineRule="auto"/>
        <w:rPr>
          <w:rFonts w:ascii="Times New Roman" w:hAnsi="Times New Roman" w:cs="Times New Roman"/>
          <w:b/>
          <w:bCs/>
          <w:sz w:val="24"/>
          <w:szCs w:val="24"/>
        </w:rPr>
      </w:pPr>
    </w:p>
    <w:p w14:paraId="0F2E630A"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Statistical analysis</w:t>
      </w:r>
    </w:p>
    <w:p w14:paraId="019A3175" w14:textId="77777777" w:rsidR="00AF2443" w:rsidRDefault="00F10032" w:rsidP="00414343">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 xml:space="preserve">Demographic and baseline characteristics for both treatment groups were compared with mean and standard deviation (SD). Only smoking characteristic was compared in percentage. </w:t>
      </w:r>
      <w:r w:rsidR="009051B8" w:rsidRPr="008C51C9">
        <w:rPr>
          <w:rFonts w:ascii="Times New Roman" w:hAnsi="Times New Roman" w:cs="Times New Roman"/>
          <w:sz w:val="24"/>
          <w:szCs w:val="24"/>
        </w:rPr>
        <w:t>For subjective and objective parameters indicating symptoms of PCOS, t</w:t>
      </w:r>
      <w:r w:rsidR="0070436A" w:rsidRPr="008C51C9">
        <w:rPr>
          <w:rFonts w:ascii="Times New Roman" w:hAnsi="Times New Roman" w:cs="Times New Roman"/>
          <w:iCs/>
          <w:sz w:val="24"/>
          <w:szCs w:val="24"/>
        </w:rPr>
        <w:t xml:space="preserve">he data is represented as mean </w:t>
      </w:r>
      <w:r w:rsidR="0070436A" w:rsidRPr="008C51C9">
        <w:rPr>
          <w:rFonts w:ascii="Times New Roman" w:hAnsi="Times New Roman" w:cs="Times New Roman"/>
          <w:iCs/>
          <w:sz w:val="24"/>
          <w:szCs w:val="24"/>
        </w:rPr>
        <w:sym w:font="Symbol" w:char="F0B1"/>
      </w:r>
      <w:r w:rsidR="0070436A" w:rsidRPr="008C51C9">
        <w:rPr>
          <w:rFonts w:ascii="Times New Roman" w:hAnsi="Times New Roman" w:cs="Times New Roman"/>
          <w:iCs/>
          <w:sz w:val="24"/>
          <w:szCs w:val="24"/>
        </w:rPr>
        <w:t xml:space="preserve"> standard deviation (SD)</w:t>
      </w:r>
      <w:r w:rsidR="0042175B" w:rsidRPr="008C51C9">
        <w:rPr>
          <w:rFonts w:ascii="Times New Roman" w:hAnsi="Times New Roman" w:cs="Times New Roman"/>
          <w:iCs/>
          <w:sz w:val="24"/>
          <w:szCs w:val="24"/>
        </w:rPr>
        <w:t xml:space="preserve"> and/or in numbers</w:t>
      </w:r>
      <w:r w:rsidR="0070436A" w:rsidRPr="008C51C9">
        <w:rPr>
          <w:rFonts w:ascii="Times New Roman" w:hAnsi="Times New Roman" w:cs="Times New Roman"/>
          <w:iCs/>
          <w:sz w:val="24"/>
          <w:szCs w:val="24"/>
        </w:rPr>
        <w:t xml:space="preserve">. The statistical analysis for before versus after treatment in each group was done </w:t>
      </w:r>
      <w:r w:rsidR="009051B8" w:rsidRPr="008C51C9">
        <w:rPr>
          <w:rFonts w:ascii="Times New Roman" w:hAnsi="Times New Roman" w:cs="Times New Roman"/>
          <w:iCs/>
          <w:sz w:val="24"/>
          <w:szCs w:val="24"/>
        </w:rPr>
        <w:t>by Fisher’s exact t-test</w:t>
      </w:r>
      <w:r w:rsidR="00D23262">
        <w:rPr>
          <w:rFonts w:ascii="Times New Roman" w:hAnsi="Times New Roman" w:cs="Times New Roman"/>
          <w:iCs/>
          <w:sz w:val="24"/>
          <w:szCs w:val="24"/>
        </w:rPr>
        <w:t xml:space="preserve"> and for data analysis between test and placebo group, before and after treatment, 2-way ANOVA was applied. </w:t>
      </w:r>
      <w:r w:rsidR="0070436A" w:rsidRPr="008C51C9">
        <w:rPr>
          <w:rFonts w:ascii="Times New Roman" w:hAnsi="Times New Roman" w:cs="Times New Roman"/>
          <w:sz w:val="24"/>
          <w:szCs w:val="24"/>
        </w:rPr>
        <w:t>Hirsutism was established by Ferriman-Gallway scale be</w:t>
      </w:r>
      <w:r w:rsidR="00EB665D" w:rsidRPr="008C51C9">
        <w:rPr>
          <w:rFonts w:ascii="Times New Roman" w:hAnsi="Times New Roman" w:cs="Times New Roman"/>
          <w:sz w:val="24"/>
          <w:szCs w:val="24"/>
        </w:rPr>
        <w:t>tween</w:t>
      </w:r>
      <w:r w:rsidR="0070436A" w:rsidRPr="008C51C9">
        <w:rPr>
          <w:rFonts w:ascii="Times New Roman" w:hAnsi="Times New Roman" w:cs="Times New Roman"/>
          <w:sz w:val="24"/>
          <w:szCs w:val="24"/>
        </w:rPr>
        <w:t xml:space="preserve"> the two groups before and after treatment.</w:t>
      </w:r>
      <w:r w:rsidR="00AF2443">
        <w:rPr>
          <w:rFonts w:ascii="Times New Roman" w:hAnsi="Times New Roman" w:cs="Times New Roman"/>
          <w:sz w:val="24"/>
          <w:szCs w:val="24"/>
        </w:rPr>
        <w:t xml:space="preserve"> All p-values reported are based on 2-sided tests and p-values &lt;0.05 were considered to be significant.</w:t>
      </w:r>
    </w:p>
    <w:p w14:paraId="4E41A4C5" w14:textId="3EAF963D" w:rsidR="0053411B" w:rsidRDefault="0053411B" w:rsidP="005C3BF2">
      <w:pPr>
        <w:spacing w:after="0" w:line="240" w:lineRule="auto"/>
        <w:rPr>
          <w:rFonts w:ascii="Times New Roman" w:hAnsi="Times New Roman" w:cs="Times New Roman"/>
          <w:b/>
          <w:bCs/>
          <w:sz w:val="28"/>
          <w:szCs w:val="28"/>
        </w:rPr>
      </w:pPr>
    </w:p>
    <w:p w14:paraId="71237AA6" w14:textId="77777777" w:rsidR="008F71E9" w:rsidRDefault="008F71E9" w:rsidP="005C3BF2">
      <w:pPr>
        <w:spacing w:after="0" w:line="240" w:lineRule="auto"/>
        <w:rPr>
          <w:rFonts w:ascii="Times New Roman" w:hAnsi="Times New Roman" w:cs="Times New Roman"/>
          <w:b/>
          <w:bCs/>
          <w:sz w:val="28"/>
          <w:szCs w:val="28"/>
        </w:rPr>
      </w:pPr>
    </w:p>
    <w:p w14:paraId="1760AD86" w14:textId="3A118C56"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Results</w:t>
      </w:r>
    </w:p>
    <w:p w14:paraId="72EDA1DD" w14:textId="77777777" w:rsidR="0034731D" w:rsidRPr="008C51C9" w:rsidRDefault="00B05A2A" w:rsidP="0034731D">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The two treatment groups had comparable demographic characteristics (Table</w:t>
      </w:r>
      <w:r w:rsidR="00A477D4" w:rsidRPr="008C51C9">
        <w:rPr>
          <w:rFonts w:ascii="Times New Roman" w:hAnsi="Times New Roman" w:cs="Times New Roman"/>
          <w:sz w:val="24"/>
          <w:szCs w:val="24"/>
        </w:rPr>
        <w:t>3</w:t>
      </w:r>
      <w:r w:rsidRPr="008C51C9">
        <w:rPr>
          <w:rFonts w:ascii="Times New Roman" w:hAnsi="Times New Roman" w:cs="Times New Roman"/>
          <w:sz w:val="24"/>
          <w:szCs w:val="24"/>
        </w:rPr>
        <w:t xml:space="preserve">) </w:t>
      </w:r>
      <w:r w:rsidR="0034731D" w:rsidRPr="008C51C9">
        <w:rPr>
          <w:rFonts w:ascii="Times New Roman" w:hAnsi="Times New Roman" w:cs="Times New Roman"/>
          <w:sz w:val="24"/>
          <w:szCs w:val="24"/>
        </w:rPr>
        <w:t xml:space="preserve">at the time of baseline investigations </w:t>
      </w:r>
      <w:r w:rsidRPr="008C51C9">
        <w:rPr>
          <w:rFonts w:ascii="Times New Roman" w:hAnsi="Times New Roman" w:cs="Times New Roman"/>
          <w:sz w:val="24"/>
          <w:szCs w:val="24"/>
        </w:rPr>
        <w:t>indicating similarity in test group and placebo group.</w:t>
      </w:r>
      <w:r w:rsidR="0034731D" w:rsidRPr="008C51C9">
        <w:rPr>
          <w:rFonts w:ascii="Times New Roman" w:hAnsi="Times New Roman" w:cs="Times New Roman"/>
          <w:sz w:val="24"/>
          <w:szCs w:val="24"/>
        </w:rPr>
        <w:t xml:space="preserve"> After baseline assessment, four participants in test group and three participants in placebo group did not continue the study on their own will. Thus 46 participants in test group and 47 in placebo group were examined further.</w:t>
      </w:r>
      <w:r w:rsidR="00E818A6" w:rsidRPr="008C51C9">
        <w:rPr>
          <w:rFonts w:ascii="Times New Roman" w:hAnsi="Times New Roman" w:cs="Times New Roman"/>
          <w:sz w:val="24"/>
          <w:szCs w:val="24"/>
        </w:rPr>
        <w:t xml:space="preserve"> For the</w:t>
      </w:r>
      <w:r w:rsidR="006048AA" w:rsidRPr="008C51C9">
        <w:rPr>
          <w:rFonts w:ascii="Times New Roman" w:hAnsi="Times New Roman" w:cs="Times New Roman"/>
          <w:sz w:val="24"/>
          <w:szCs w:val="24"/>
        </w:rPr>
        <w:t xml:space="preserve"> results of</w:t>
      </w:r>
      <w:r w:rsidR="00E818A6" w:rsidRPr="008C51C9">
        <w:rPr>
          <w:rFonts w:ascii="Times New Roman" w:hAnsi="Times New Roman" w:cs="Times New Roman"/>
          <w:sz w:val="24"/>
          <w:szCs w:val="24"/>
        </w:rPr>
        <w:t xml:space="preserve"> four subjective parameter refer Table4</w:t>
      </w:r>
      <w:r w:rsidR="000D47C5" w:rsidRPr="008C51C9">
        <w:rPr>
          <w:rFonts w:ascii="Times New Roman" w:hAnsi="Times New Roman" w:cs="Times New Roman"/>
          <w:sz w:val="24"/>
          <w:szCs w:val="24"/>
        </w:rPr>
        <w:t xml:space="preserve"> and Table5</w:t>
      </w:r>
      <w:r w:rsidR="00E818A6" w:rsidRPr="008C51C9">
        <w:rPr>
          <w:rFonts w:ascii="Times New Roman" w:hAnsi="Times New Roman" w:cs="Times New Roman"/>
          <w:sz w:val="24"/>
          <w:szCs w:val="24"/>
        </w:rPr>
        <w:t>.</w:t>
      </w:r>
    </w:p>
    <w:p w14:paraId="21679BFA" w14:textId="77777777" w:rsidR="00B05A2A" w:rsidRPr="008C51C9" w:rsidRDefault="0034731D" w:rsidP="005C3BF2">
      <w:pPr>
        <w:spacing w:after="0" w:line="240" w:lineRule="auto"/>
        <w:rPr>
          <w:rFonts w:ascii="Times New Roman" w:hAnsi="Times New Roman" w:cs="Times New Roman"/>
          <w:sz w:val="24"/>
          <w:szCs w:val="24"/>
        </w:rPr>
      </w:pPr>
      <w:r w:rsidRPr="008C51C9">
        <w:rPr>
          <w:rFonts w:ascii="Times New Roman" w:hAnsi="Times New Roman" w:cs="Times New Roman"/>
          <w:sz w:val="24"/>
          <w:szCs w:val="24"/>
        </w:rPr>
        <w:t xml:space="preserve"> </w:t>
      </w:r>
      <w:r w:rsidR="00B05A2A" w:rsidRPr="008C51C9">
        <w:rPr>
          <w:rFonts w:ascii="Times New Roman" w:hAnsi="Times New Roman" w:cs="Times New Roman"/>
          <w:sz w:val="24"/>
          <w:szCs w:val="24"/>
        </w:rPr>
        <w:t xml:space="preserve"> </w:t>
      </w:r>
    </w:p>
    <w:tbl>
      <w:tblPr>
        <w:tblW w:w="7555" w:type="dxa"/>
        <w:tblLayout w:type="fixed"/>
        <w:tblLook w:val="04A0" w:firstRow="1" w:lastRow="0" w:firstColumn="1" w:lastColumn="0" w:noHBand="0" w:noVBand="1"/>
      </w:tblPr>
      <w:tblGrid>
        <w:gridCol w:w="3325"/>
        <w:gridCol w:w="1890"/>
        <w:gridCol w:w="2340"/>
      </w:tblGrid>
      <w:tr w:rsidR="003B7385" w:rsidRPr="008C51C9" w14:paraId="68552ABF" w14:textId="77777777" w:rsidTr="00CE54D1">
        <w:trPr>
          <w:trHeight w:hRule="exact" w:val="397"/>
        </w:trPr>
        <w:tc>
          <w:tcPr>
            <w:tcW w:w="3325" w:type="dxa"/>
            <w:tcBorders>
              <w:top w:val="single" w:sz="4" w:space="0" w:color="auto"/>
              <w:left w:val="single" w:sz="4" w:space="0" w:color="auto"/>
              <w:bottom w:val="single" w:sz="4" w:space="0" w:color="auto"/>
              <w:right w:val="single" w:sz="4" w:space="0" w:color="auto"/>
            </w:tcBorders>
            <w:shd w:val="clear" w:color="auto" w:fill="auto"/>
            <w:hideMark/>
          </w:tcPr>
          <w:p w14:paraId="1ED78B48"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Parameter</w:t>
            </w:r>
          </w:p>
        </w:tc>
        <w:tc>
          <w:tcPr>
            <w:tcW w:w="1890" w:type="dxa"/>
            <w:tcBorders>
              <w:top w:val="single" w:sz="4" w:space="0" w:color="auto"/>
              <w:left w:val="nil"/>
              <w:bottom w:val="single" w:sz="4" w:space="0" w:color="auto"/>
              <w:right w:val="single" w:sz="4" w:space="0" w:color="auto"/>
            </w:tcBorders>
            <w:shd w:val="clear" w:color="auto" w:fill="auto"/>
            <w:noWrap/>
            <w:hideMark/>
          </w:tcPr>
          <w:p w14:paraId="4E070B3E"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Placebo (n=50)</w:t>
            </w:r>
          </w:p>
        </w:tc>
        <w:tc>
          <w:tcPr>
            <w:tcW w:w="2340" w:type="dxa"/>
            <w:tcBorders>
              <w:top w:val="single" w:sz="4" w:space="0" w:color="auto"/>
              <w:left w:val="nil"/>
              <w:bottom w:val="single" w:sz="4" w:space="0" w:color="auto"/>
              <w:right w:val="single" w:sz="4" w:space="0" w:color="auto"/>
            </w:tcBorders>
            <w:shd w:val="clear" w:color="auto" w:fill="auto"/>
            <w:noWrap/>
            <w:hideMark/>
          </w:tcPr>
          <w:p w14:paraId="7F472B4D" w14:textId="77777777" w:rsidR="003B7385" w:rsidRPr="008C51C9" w:rsidRDefault="003B7385" w:rsidP="000D47C5">
            <w:pPr>
              <w:rPr>
                <w:rFonts w:ascii="Times New Roman" w:hAnsi="Times New Roman" w:cs="Times New Roman"/>
                <w:b/>
                <w:bCs/>
                <w:sz w:val="24"/>
                <w:szCs w:val="24"/>
              </w:rPr>
            </w:pPr>
            <w:r w:rsidRPr="008C51C9">
              <w:rPr>
                <w:rFonts w:ascii="Times New Roman" w:hAnsi="Times New Roman" w:cs="Times New Roman"/>
                <w:b/>
                <w:bCs/>
                <w:sz w:val="24"/>
                <w:szCs w:val="24"/>
              </w:rPr>
              <w:t xml:space="preserve">Test </w:t>
            </w:r>
            <w:r w:rsidR="002A00DB">
              <w:rPr>
                <w:rFonts w:ascii="Times New Roman" w:hAnsi="Times New Roman" w:cs="Times New Roman"/>
                <w:b/>
                <w:bCs/>
                <w:sz w:val="24"/>
                <w:szCs w:val="24"/>
              </w:rPr>
              <w:t>Oil</w:t>
            </w:r>
            <w:r w:rsidRPr="008C51C9">
              <w:rPr>
                <w:rFonts w:ascii="Times New Roman" w:hAnsi="Times New Roman" w:cs="Times New Roman"/>
                <w:b/>
                <w:bCs/>
                <w:sz w:val="24"/>
                <w:szCs w:val="24"/>
              </w:rPr>
              <w:t xml:space="preserve"> (n=50)</w:t>
            </w:r>
          </w:p>
        </w:tc>
      </w:tr>
      <w:tr w:rsidR="003B7385" w:rsidRPr="008C51C9" w14:paraId="10BDB230"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2655D24E"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Age (year)</w:t>
            </w:r>
          </w:p>
        </w:tc>
        <w:tc>
          <w:tcPr>
            <w:tcW w:w="1890" w:type="dxa"/>
            <w:tcBorders>
              <w:top w:val="nil"/>
              <w:left w:val="nil"/>
              <w:bottom w:val="single" w:sz="4" w:space="0" w:color="auto"/>
              <w:right w:val="single" w:sz="4" w:space="0" w:color="auto"/>
            </w:tcBorders>
            <w:shd w:val="clear" w:color="auto" w:fill="auto"/>
            <w:noWrap/>
            <w:hideMark/>
          </w:tcPr>
          <w:p w14:paraId="4571C9E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29.65 ± 7.06</w:t>
            </w:r>
          </w:p>
        </w:tc>
        <w:tc>
          <w:tcPr>
            <w:tcW w:w="2340" w:type="dxa"/>
            <w:tcBorders>
              <w:top w:val="nil"/>
              <w:left w:val="nil"/>
              <w:bottom w:val="single" w:sz="4" w:space="0" w:color="auto"/>
              <w:right w:val="single" w:sz="4" w:space="0" w:color="auto"/>
            </w:tcBorders>
            <w:shd w:val="clear" w:color="auto" w:fill="auto"/>
            <w:noWrap/>
            <w:hideMark/>
          </w:tcPr>
          <w:p w14:paraId="395BC5B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28.20 ± 7.49</w:t>
            </w:r>
          </w:p>
        </w:tc>
      </w:tr>
      <w:tr w:rsidR="003B7385" w:rsidRPr="008C51C9" w14:paraId="299B7B7B"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58699CB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Height (m)</w:t>
            </w:r>
          </w:p>
        </w:tc>
        <w:tc>
          <w:tcPr>
            <w:tcW w:w="1890" w:type="dxa"/>
            <w:tcBorders>
              <w:top w:val="nil"/>
              <w:left w:val="nil"/>
              <w:bottom w:val="single" w:sz="4" w:space="0" w:color="auto"/>
              <w:right w:val="single" w:sz="4" w:space="0" w:color="auto"/>
            </w:tcBorders>
            <w:shd w:val="clear" w:color="auto" w:fill="auto"/>
            <w:noWrap/>
            <w:hideMark/>
          </w:tcPr>
          <w:p w14:paraId="66AD60E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1.63 ± 0.14</w:t>
            </w:r>
          </w:p>
        </w:tc>
        <w:tc>
          <w:tcPr>
            <w:tcW w:w="2340" w:type="dxa"/>
            <w:tcBorders>
              <w:top w:val="nil"/>
              <w:left w:val="nil"/>
              <w:bottom w:val="single" w:sz="4" w:space="0" w:color="auto"/>
              <w:right w:val="single" w:sz="4" w:space="0" w:color="auto"/>
            </w:tcBorders>
            <w:shd w:val="clear" w:color="auto" w:fill="auto"/>
            <w:noWrap/>
            <w:hideMark/>
          </w:tcPr>
          <w:p w14:paraId="246AA07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1.63 ± 0.12</w:t>
            </w:r>
          </w:p>
        </w:tc>
      </w:tr>
      <w:tr w:rsidR="003B7385" w:rsidRPr="008C51C9" w14:paraId="0FF76675"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4CDCEDA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Weight (Kg)</w:t>
            </w:r>
          </w:p>
        </w:tc>
        <w:tc>
          <w:tcPr>
            <w:tcW w:w="1890" w:type="dxa"/>
            <w:tcBorders>
              <w:top w:val="nil"/>
              <w:left w:val="nil"/>
              <w:bottom w:val="single" w:sz="4" w:space="0" w:color="auto"/>
              <w:right w:val="single" w:sz="4" w:space="0" w:color="auto"/>
            </w:tcBorders>
            <w:shd w:val="clear" w:color="auto" w:fill="auto"/>
            <w:noWrap/>
            <w:hideMark/>
          </w:tcPr>
          <w:p w14:paraId="5295326C"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78.92 ± 20.37</w:t>
            </w:r>
          </w:p>
        </w:tc>
        <w:tc>
          <w:tcPr>
            <w:tcW w:w="2340" w:type="dxa"/>
            <w:tcBorders>
              <w:top w:val="nil"/>
              <w:left w:val="nil"/>
              <w:bottom w:val="single" w:sz="4" w:space="0" w:color="auto"/>
              <w:right w:val="single" w:sz="4" w:space="0" w:color="auto"/>
            </w:tcBorders>
            <w:shd w:val="clear" w:color="auto" w:fill="auto"/>
            <w:noWrap/>
            <w:hideMark/>
          </w:tcPr>
          <w:p w14:paraId="40BC398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78.31 ± 17.16</w:t>
            </w:r>
          </w:p>
        </w:tc>
      </w:tr>
      <w:tr w:rsidR="003B7385" w:rsidRPr="008C51C9" w14:paraId="5D5DAB8C"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21224064"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Body mass index (kg/m2)</w:t>
            </w:r>
          </w:p>
        </w:tc>
        <w:tc>
          <w:tcPr>
            <w:tcW w:w="1890" w:type="dxa"/>
            <w:tcBorders>
              <w:top w:val="nil"/>
              <w:left w:val="nil"/>
              <w:bottom w:val="single" w:sz="4" w:space="0" w:color="auto"/>
              <w:right w:val="single" w:sz="4" w:space="0" w:color="auto"/>
            </w:tcBorders>
            <w:shd w:val="clear" w:color="auto" w:fill="auto"/>
            <w:noWrap/>
            <w:hideMark/>
          </w:tcPr>
          <w:p w14:paraId="3A0D046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29.72 ± 6.22</w:t>
            </w:r>
          </w:p>
        </w:tc>
        <w:tc>
          <w:tcPr>
            <w:tcW w:w="2340" w:type="dxa"/>
            <w:tcBorders>
              <w:top w:val="nil"/>
              <w:left w:val="nil"/>
              <w:bottom w:val="single" w:sz="4" w:space="0" w:color="auto"/>
              <w:right w:val="single" w:sz="4" w:space="0" w:color="auto"/>
            </w:tcBorders>
            <w:shd w:val="clear" w:color="auto" w:fill="auto"/>
            <w:noWrap/>
            <w:hideMark/>
          </w:tcPr>
          <w:p w14:paraId="206EFFF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29.52 ± 5.94</w:t>
            </w:r>
          </w:p>
        </w:tc>
      </w:tr>
      <w:tr w:rsidR="003B7385" w:rsidRPr="008C51C9" w14:paraId="4F43FD94"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6D8B0262"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Time from diagnosis (year)</w:t>
            </w:r>
          </w:p>
        </w:tc>
        <w:tc>
          <w:tcPr>
            <w:tcW w:w="1890" w:type="dxa"/>
            <w:tcBorders>
              <w:top w:val="nil"/>
              <w:left w:val="nil"/>
              <w:bottom w:val="single" w:sz="4" w:space="0" w:color="auto"/>
              <w:right w:val="single" w:sz="4" w:space="0" w:color="auto"/>
            </w:tcBorders>
            <w:shd w:val="clear" w:color="auto" w:fill="auto"/>
            <w:noWrap/>
            <w:hideMark/>
          </w:tcPr>
          <w:p w14:paraId="08E7525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5.47± 3.13</w:t>
            </w:r>
          </w:p>
        </w:tc>
        <w:tc>
          <w:tcPr>
            <w:tcW w:w="2340" w:type="dxa"/>
            <w:tcBorders>
              <w:top w:val="nil"/>
              <w:left w:val="nil"/>
              <w:bottom w:val="single" w:sz="4" w:space="0" w:color="auto"/>
              <w:right w:val="single" w:sz="4" w:space="0" w:color="auto"/>
            </w:tcBorders>
            <w:shd w:val="clear" w:color="auto" w:fill="auto"/>
            <w:noWrap/>
            <w:hideMark/>
          </w:tcPr>
          <w:p w14:paraId="2D4F1E23"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5.43 ± 3.36</w:t>
            </w:r>
          </w:p>
        </w:tc>
      </w:tr>
      <w:tr w:rsidR="003B7385" w:rsidRPr="008C51C9" w14:paraId="44D752D5"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7E6400E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No. of cycles in past 12 months</w:t>
            </w:r>
          </w:p>
        </w:tc>
        <w:tc>
          <w:tcPr>
            <w:tcW w:w="1890" w:type="dxa"/>
            <w:tcBorders>
              <w:top w:val="nil"/>
              <w:left w:val="nil"/>
              <w:bottom w:val="single" w:sz="4" w:space="0" w:color="auto"/>
              <w:right w:val="single" w:sz="4" w:space="0" w:color="auto"/>
            </w:tcBorders>
            <w:shd w:val="clear" w:color="auto" w:fill="auto"/>
            <w:noWrap/>
            <w:hideMark/>
          </w:tcPr>
          <w:p w14:paraId="5D84DFC9"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8.33 ± 1.81</w:t>
            </w:r>
          </w:p>
        </w:tc>
        <w:tc>
          <w:tcPr>
            <w:tcW w:w="2340" w:type="dxa"/>
            <w:tcBorders>
              <w:top w:val="nil"/>
              <w:left w:val="nil"/>
              <w:bottom w:val="single" w:sz="4" w:space="0" w:color="auto"/>
              <w:right w:val="single" w:sz="4" w:space="0" w:color="auto"/>
            </w:tcBorders>
            <w:shd w:val="clear" w:color="auto" w:fill="auto"/>
            <w:noWrap/>
            <w:hideMark/>
          </w:tcPr>
          <w:p w14:paraId="4D8A11BD"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8.02 ± 1.57</w:t>
            </w:r>
          </w:p>
        </w:tc>
      </w:tr>
      <w:tr w:rsidR="003B7385" w:rsidRPr="008C51C9" w14:paraId="1B3C005C" w14:textId="77777777" w:rsidTr="00CE54D1">
        <w:trPr>
          <w:trHeight w:hRule="exact" w:val="288"/>
        </w:trPr>
        <w:tc>
          <w:tcPr>
            <w:tcW w:w="3325" w:type="dxa"/>
            <w:tcBorders>
              <w:top w:val="nil"/>
              <w:left w:val="single" w:sz="4" w:space="0" w:color="auto"/>
              <w:bottom w:val="single" w:sz="4" w:space="0" w:color="auto"/>
              <w:right w:val="single" w:sz="4" w:space="0" w:color="auto"/>
            </w:tcBorders>
            <w:shd w:val="clear" w:color="auto" w:fill="auto"/>
            <w:hideMark/>
          </w:tcPr>
          <w:p w14:paraId="139180A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Smoking (%)</w:t>
            </w:r>
          </w:p>
        </w:tc>
        <w:tc>
          <w:tcPr>
            <w:tcW w:w="1890" w:type="dxa"/>
            <w:tcBorders>
              <w:top w:val="nil"/>
              <w:left w:val="nil"/>
              <w:bottom w:val="single" w:sz="4" w:space="0" w:color="auto"/>
              <w:right w:val="single" w:sz="4" w:space="0" w:color="auto"/>
            </w:tcBorders>
            <w:shd w:val="clear" w:color="auto" w:fill="auto"/>
            <w:noWrap/>
            <w:hideMark/>
          </w:tcPr>
          <w:p w14:paraId="5002821B"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13.73%</w:t>
            </w:r>
          </w:p>
        </w:tc>
        <w:tc>
          <w:tcPr>
            <w:tcW w:w="2340" w:type="dxa"/>
            <w:tcBorders>
              <w:top w:val="nil"/>
              <w:left w:val="nil"/>
              <w:bottom w:val="single" w:sz="4" w:space="0" w:color="auto"/>
              <w:right w:val="single" w:sz="4" w:space="0" w:color="auto"/>
            </w:tcBorders>
            <w:shd w:val="clear" w:color="auto" w:fill="auto"/>
            <w:noWrap/>
            <w:hideMark/>
          </w:tcPr>
          <w:p w14:paraId="0B46190F" w14:textId="77777777" w:rsidR="003B7385" w:rsidRPr="008C51C9" w:rsidRDefault="003B7385" w:rsidP="000D47C5">
            <w:pPr>
              <w:rPr>
                <w:rFonts w:ascii="Times New Roman" w:hAnsi="Times New Roman" w:cs="Times New Roman"/>
                <w:sz w:val="24"/>
                <w:szCs w:val="24"/>
              </w:rPr>
            </w:pPr>
            <w:r w:rsidRPr="008C51C9">
              <w:rPr>
                <w:rFonts w:ascii="Times New Roman" w:hAnsi="Times New Roman" w:cs="Times New Roman"/>
                <w:sz w:val="24"/>
                <w:szCs w:val="24"/>
              </w:rPr>
              <w:t>9.80%</w:t>
            </w:r>
          </w:p>
        </w:tc>
      </w:tr>
    </w:tbl>
    <w:p w14:paraId="67E68DD4" w14:textId="77777777" w:rsidR="003B7385" w:rsidRDefault="004E1BA1" w:rsidP="005C3BF2">
      <w:pPr>
        <w:spacing w:after="0" w:line="240" w:lineRule="auto"/>
        <w:rPr>
          <w:rFonts w:ascii="Times New Roman" w:hAnsi="Times New Roman" w:cs="Times New Roman"/>
          <w:bCs/>
          <w:sz w:val="24"/>
          <w:szCs w:val="24"/>
        </w:rPr>
      </w:pPr>
      <w:r w:rsidRPr="004E1BA1">
        <w:rPr>
          <w:rFonts w:ascii="Times New Roman" w:hAnsi="Times New Roman" w:cs="Times New Roman"/>
          <w:bCs/>
          <w:sz w:val="24"/>
          <w:szCs w:val="24"/>
        </w:rPr>
        <w:t>Table3:  Summary of Demographics of two treatment groups</w:t>
      </w:r>
    </w:p>
    <w:p w14:paraId="12DBF801" w14:textId="77777777" w:rsidR="004E1BA1" w:rsidRPr="008C51C9" w:rsidRDefault="004E1BA1" w:rsidP="005C3BF2">
      <w:pPr>
        <w:spacing w:after="0" w:line="240" w:lineRule="auto"/>
        <w:rPr>
          <w:rFonts w:ascii="Times New Roman" w:hAnsi="Times New Roman" w:cs="Times New Roman"/>
          <w:sz w:val="24"/>
          <w:szCs w:val="24"/>
          <w:u w:val="single"/>
        </w:rPr>
      </w:pPr>
    </w:p>
    <w:p w14:paraId="1BC5E6C1" w14:textId="77777777" w:rsidR="003C7798" w:rsidRPr="008C51C9" w:rsidRDefault="003C7798" w:rsidP="003C7798">
      <w:pPr>
        <w:jc w:val="both"/>
        <w:rPr>
          <w:rFonts w:ascii="Times New Roman" w:hAnsi="Times New Roman" w:cs="Times New Roman"/>
          <w:sz w:val="24"/>
          <w:szCs w:val="24"/>
        </w:rPr>
      </w:pPr>
      <w:r w:rsidRPr="0049249B">
        <w:rPr>
          <w:rFonts w:ascii="Times New Roman" w:hAnsi="Times New Roman" w:cs="Times New Roman"/>
          <w:b/>
          <w:bCs/>
          <w:sz w:val="24"/>
          <w:szCs w:val="24"/>
        </w:rPr>
        <w:t>Irregular menstruation:</w:t>
      </w:r>
      <w:r w:rsidRPr="008C51C9">
        <w:rPr>
          <w:rFonts w:ascii="Times New Roman" w:hAnsi="Times New Roman" w:cs="Times New Roman"/>
          <w:sz w:val="24"/>
          <w:szCs w:val="24"/>
        </w:rPr>
        <w:t xml:space="preserve"> </w:t>
      </w:r>
      <w:r w:rsidR="004E1BA1">
        <w:rPr>
          <w:rFonts w:ascii="Times New Roman" w:hAnsi="Times New Roman" w:cs="Times New Roman"/>
          <w:sz w:val="24"/>
          <w:szCs w:val="24"/>
        </w:rPr>
        <w:t>M</w:t>
      </w:r>
      <w:r w:rsidRPr="008C51C9">
        <w:rPr>
          <w:rFonts w:ascii="Times New Roman" w:hAnsi="Times New Roman" w:cs="Times New Roman"/>
          <w:sz w:val="24"/>
          <w:szCs w:val="24"/>
        </w:rPr>
        <w:t>enstruation</w:t>
      </w:r>
      <w:r w:rsidR="004E1BA1">
        <w:rPr>
          <w:rFonts w:ascii="Times New Roman" w:hAnsi="Times New Roman" w:cs="Times New Roman"/>
          <w:sz w:val="24"/>
          <w:szCs w:val="24"/>
        </w:rPr>
        <w:t xml:space="preserve"> irregularity </w:t>
      </w:r>
      <w:r w:rsidRPr="008C51C9">
        <w:rPr>
          <w:rFonts w:ascii="Times New Roman" w:hAnsi="Times New Roman" w:cs="Times New Roman"/>
          <w:sz w:val="24"/>
          <w:szCs w:val="24"/>
        </w:rPr>
        <w:t>was measured by recording the time between two menstrual cycles. Number of participants experiencing different level of irregularity were comparable between groups before treatment. In the test group, number of participants with regular menses increased (nil group) significantly (before:5/50; after:22/46, p&lt;0.05). It was observed that number of participants in test group whose menstrual cycle was 45-60 days (moderate irregularity; before:25/50 and after:5/46) and &gt;60 days (severe irregularity; before:10/50 and after:0/46) significantly declined. The effect of the treatment was most evident in the moderate group</w:t>
      </w:r>
      <w:r w:rsidR="00BC166F">
        <w:rPr>
          <w:rFonts w:ascii="Times New Roman" w:hAnsi="Times New Roman" w:cs="Times New Roman"/>
          <w:sz w:val="24"/>
          <w:szCs w:val="24"/>
        </w:rPr>
        <w:t>,</w:t>
      </w:r>
      <w:r w:rsidRPr="008C51C9">
        <w:rPr>
          <w:rFonts w:ascii="Times New Roman" w:hAnsi="Times New Roman" w:cs="Times New Roman"/>
          <w:sz w:val="24"/>
          <w:szCs w:val="24"/>
        </w:rPr>
        <w:t xml:space="preserve"> </w:t>
      </w:r>
      <w:r w:rsidR="00BC166F">
        <w:rPr>
          <w:rFonts w:ascii="Times New Roman" w:hAnsi="Times New Roman" w:cs="Times New Roman"/>
          <w:sz w:val="24"/>
          <w:szCs w:val="24"/>
        </w:rPr>
        <w:t xml:space="preserve">where </w:t>
      </w:r>
      <w:r w:rsidRPr="008C51C9">
        <w:rPr>
          <w:rFonts w:ascii="Times New Roman" w:hAnsi="Times New Roman" w:cs="Times New Roman"/>
          <w:sz w:val="24"/>
          <w:szCs w:val="24"/>
        </w:rPr>
        <w:t>the number of participants significantly decreased subsequent to test treatment (before:25/50 and after:5/46) as compared to placebo (before:27/50 and after:27/4</w:t>
      </w:r>
      <w:r w:rsidR="00BC166F">
        <w:rPr>
          <w:rFonts w:ascii="Times New Roman" w:hAnsi="Times New Roman" w:cs="Times New Roman"/>
          <w:sz w:val="24"/>
          <w:szCs w:val="24"/>
        </w:rPr>
        <w:t>7</w:t>
      </w:r>
      <w:r w:rsidRPr="008C51C9">
        <w:rPr>
          <w:rFonts w:ascii="Times New Roman" w:hAnsi="Times New Roman" w:cs="Times New Roman"/>
          <w:sz w:val="24"/>
          <w:szCs w:val="24"/>
        </w:rPr>
        <w:t>; p&lt;0.0026). The average score calculated between the test group (1.8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0.88) and the placebo group (1.98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0.769) was comparable before treatment. After treatment, the test group showed significant decrease in the average score (0.63</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0.67) as </w:t>
      </w:r>
      <w:r w:rsidRPr="008C51C9">
        <w:rPr>
          <w:rFonts w:ascii="Times New Roman" w:hAnsi="Times New Roman" w:cs="Times New Roman"/>
          <w:sz w:val="24"/>
          <w:szCs w:val="24"/>
        </w:rPr>
        <w:lastRenderedPageBreak/>
        <w:t>compared to the placebo group (1.76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0.75) which indicates that the participants in the test group experienced a significant decline (p&lt;0.05) in the level of irregularity of their menstrual cycles.</w:t>
      </w:r>
    </w:p>
    <w:p w14:paraId="123229EC" w14:textId="77777777" w:rsidR="00A83361" w:rsidRPr="008C51C9" w:rsidRDefault="00A83361" w:rsidP="005C3BF2">
      <w:pPr>
        <w:spacing w:after="0" w:line="240" w:lineRule="auto"/>
        <w:rPr>
          <w:rFonts w:ascii="Times New Roman" w:hAnsi="Times New Roman" w:cs="Times New Roman"/>
          <w:sz w:val="24"/>
          <w:szCs w:val="24"/>
          <w:u w:val="single"/>
        </w:rPr>
      </w:pPr>
    </w:p>
    <w:p w14:paraId="297EF1DE" w14:textId="77777777" w:rsidR="00E818A6" w:rsidRPr="008C51C9" w:rsidRDefault="00A83361" w:rsidP="005C3BF2">
      <w:pPr>
        <w:spacing w:after="0" w:line="240" w:lineRule="auto"/>
        <w:rPr>
          <w:rFonts w:ascii="Times New Roman" w:hAnsi="Times New Roman" w:cs="Times New Roman"/>
          <w:sz w:val="24"/>
          <w:szCs w:val="24"/>
          <w:u w:val="single"/>
        </w:rPr>
      </w:pPr>
      <w:r w:rsidRPr="008C51C9">
        <w:rPr>
          <w:rFonts w:cstheme="minorHAnsi"/>
          <w:b/>
          <w:noProof/>
          <w:lang w:eastAsia="en-IN"/>
        </w:rPr>
        <w:drawing>
          <wp:inline distT="0" distB="0" distL="0" distR="0" wp14:anchorId="4A49AACD" wp14:editId="072A6241">
            <wp:extent cx="5731510" cy="3741902"/>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741902"/>
                    </a:xfrm>
                    <a:prstGeom prst="rect">
                      <a:avLst/>
                    </a:prstGeom>
                  </pic:spPr>
                </pic:pic>
              </a:graphicData>
            </a:graphic>
          </wp:inline>
        </w:drawing>
      </w:r>
    </w:p>
    <w:p w14:paraId="06118ECB" w14:textId="77777777" w:rsidR="004E1BA1" w:rsidRPr="004E1BA1" w:rsidRDefault="004E1BA1" w:rsidP="004E1BA1">
      <w:pPr>
        <w:spacing w:after="0" w:line="240" w:lineRule="auto"/>
        <w:rPr>
          <w:rFonts w:ascii="Times New Roman" w:hAnsi="Times New Roman" w:cs="Times New Roman"/>
          <w:bCs/>
          <w:sz w:val="24"/>
          <w:szCs w:val="24"/>
          <w:u w:val="single"/>
        </w:rPr>
      </w:pPr>
      <w:r w:rsidRPr="004E1BA1">
        <w:rPr>
          <w:rFonts w:ascii="Times New Roman" w:hAnsi="Times New Roman" w:cs="Times New Roman"/>
          <w:bCs/>
          <w:sz w:val="24"/>
          <w:szCs w:val="24"/>
        </w:rPr>
        <w:t>Table 4: Comparison of results for subjective parameters in participants between the test and placebo groups before and after treatment</w:t>
      </w:r>
    </w:p>
    <w:p w14:paraId="6A9FBD9D" w14:textId="77777777" w:rsidR="00A83361" w:rsidRPr="008C51C9" w:rsidRDefault="00A83361" w:rsidP="005C3BF2">
      <w:pPr>
        <w:spacing w:after="0" w:line="240" w:lineRule="auto"/>
        <w:rPr>
          <w:rFonts w:ascii="Times New Roman" w:hAnsi="Times New Roman" w:cs="Times New Roman"/>
          <w:sz w:val="24"/>
          <w:szCs w:val="24"/>
          <w:u w:val="single"/>
        </w:rPr>
      </w:pPr>
    </w:p>
    <w:p w14:paraId="0D3A0EE6" w14:textId="77777777" w:rsidR="00987E85" w:rsidRPr="008C51C9" w:rsidRDefault="00987E85" w:rsidP="005C3BF2">
      <w:pPr>
        <w:spacing w:after="0" w:line="240" w:lineRule="auto"/>
        <w:rPr>
          <w:rFonts w:ascii="Times New Roman" w:hAnsi="Times New Roman" w:cs="Times New Roman"/>
          <w:sz w:val="24"/>
          <w:szCs w:val="24"/>
          <w:u w:val="single"/>
        </w:rPr>
      </w:pPr>
    </w:p>
    <w:p w14:paraId="075A3F63" w14:textId="77777777" w:rsidR="000D47C5" w:rsidRPr="008C51C9" w:rsidRDefault="000D47C5" w:rsidP="005C3BF2">
      <w:pPr>
        <w:spacing w:after="0" w:line="240" w:lineRule="auto"/>
        <w:rPr>
          <w:rFonts w:ascii="Times New Roman" w:hAnsi="Times New Roman" w:cs="Times New Roman"/>
          <w:sz w:val="24"/>
          <w:szCs w:val="24"/>
        </w:rPr>
      </w:pPr>
    </w:p>
    <w:tbl>
      <w:tblPr>
        <w:tblW w:w="8892"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823"/>
        <w:gridCol w:w="1706"/>
        <w:gridCol w:w="1857"/>
        <w:gridCol w:w="1706"/>
      </w:tblGrid>
      <w:tr w:rsidR="000D47C5" w:rsidRPr="008C51C9" w14:paraId="445B1C43" w14:textId="77777777" w:rsidTr="00762AFB">
        <w:trPr>
          <w:trHeight w:val="320"/>
        </w:trPr>
        <w:tc>
          <w:tcPr>
            <w:tcW w:w="1800" w:type="dxa"/>
            <w:shd w:val="clear" w:color="000000" w:fill="F2F2F2"/>
            <w:noWrap/>
            <w:hideMark/>
          </w:tcPr>
          <w:p w14:paraId="2C3E646D" w14:textId="77777777" w:rsidR="000D47C5" w:rsidRPr="008C51C9" w:rsidRDefault="000D47C5" w:rsidP="000D47C5">
            <w:pPr>
              <w:rPr>
                <w:rFonts w:cstheme="minorHAnsi"/>
              </w:rPr>
            </w:pPr>
            <w:r w:rsidRPr="008C51C9">
              <w:rPr>
                <w:rFonts w:cstheme="minorHAnsi"/>
              </w:rPr>
              <w:t> </w:t>
            </w:r>
          </w:p>
        </w:tc>
        <w:tc>
          <w:tcPr>
            <w:tcW w:w="3529" w:type="dxa"/>
            <w:gridSpan w:val="2"/>
            <w:shd w:val="clear" w:color="000000" w:fill="F2F2F2"/>
            <w:hideMark/>
          </w:tcPr>
          <w:p w14:paraId="709F6A8F" w14:textId="77777777" w:rsidR="000D47C5" w:rsidRPr="008C51C9" w:rsidRDefault="000D47C5" w:rsidP="00CE54D1">
            <w:pPr>
              <w:jc w:val="center"/>
              <w:rPr>
                <w:rFonts w:cstheme="minorHAnsi"/>
                <w:b/>
                <w:bCs/>
              </w:rPr>
            </w:pPr>
            <w:r w:rsidRPr="008C51C9">
              <w:rPr>
                <w:rFonts w:cstheme="minorHAnsi"/>
                <w:b/>
                <w:bCs/>
              </w:rPr>
              <w:t>Test group</w:t>
            </w:r>
          </w:p>
        </w:tc>
        <w:tc>
          <w:tcPr>
            <w:tcW w:w="3563" w:type="dxa"/>
            <w:gridSpan w:val="2"/>
            <w:shd w:val="clear" w:color="000000" w:fill="F2F2F2"/>
            <w:hideMark/>
          </w:tcPr>
          <w:p w14:paraId="2EC7DC4C" w14:textId="77777777" w:rsidR="000D47C5" w:rsidRPr="008C51C9" w:rsidRDefault="000D47C5" w:rsidP="00CE54D1">
            <w:pPr>
              <w:jc w:val="center"/>
              <w:rPr>
                <w:rFonts w:cstheme="minorHAnsi"/>
                <w:b/>
                <w:bCs/>
              </w:rPr>
            </w:pPr>
            <w:r w:rsidRPr="008C51C9">
              <w:rPr>
                <w:rFonts w:cstheme="minorHAnsi"/>
                <w:b/>
                <w:bCs/>
              </w:rPr>
              <w:t>Placebo group</w:t>
            </w:r>
          </w:p>
        </w:tc>
      </w:tr>
      <w:tr w:rsidR="000D47C5" w:rsidRPr="008C51C9" w14:paraId="7C2EB97E" w14:textId="77777777" w:rsidTr="00762AFB">
        <w:trPr>
          <w:trHeight w:hRule="exact" w:val="576"/>
        </w:trPr>
        <w:tc>
          <w:tcPr>
            <w:tcW w:w="1800" w:type="dxa"/>
            <w:shd w:val="clear" w:color="000000" w:fill="F2F2F2"/>
            <w:noWrap/>
            <w:hideMark/>
          </w:tcPr>
          <w:p w14:paraId="76580935" w14:textId="77777777" w:rsidR="000D47C5" w:rsidRPr="008C51C9" w:rsidRDefault="000D47C5" w:rsidP="0029199D">
            <w:pPr>
              <w:rPr>
                <w:rFonts w:cstheme="minorHAnsi"/>
                <w:b/>
                <w:bCs/>
              </w:rPr>
            </w:pPr>
            <w:r w:rsidRPr="008C51C9">
              <w:rPr>
                <w:rFonts w:cstheme="minorHAnsi"/>
                <w:b/>
                <w:bCs/>
              </w:rPr>
              <w:t>S</w:t>
            </w:r>
            <w:r w:rsidR="00CE54D1" w:rsidRPr="008C51C9">
              <w:rPr>
                <w:rFonts w:cstheme="minorHAnsi"/>
                <w:b/>
                <w:bCs/>
              </w:rPr>
              <w:t>ubjective Parameter</w:t>
            </w:r>
          </w:p>
        </w:tc>
        <w:tc>
          <w:tcPr>
            <w:tcW w:w="1823" w:type="dxa"/>
            <w:shd w:val="clear" w:color="000000" w:fill="F2F2F2"/>
            <w:hideMark/>
          </w:tcPr>
          <w:p w14:paraId="2A663269" w14:textId="77777777" w:rsidR="000D47C5" w:rsidRPr="008C51C9" w:rsidRDefault="000D47C5" w:rsidP="0029199D">
            <w:pPr>
              <w:rPr>
                <w:rFonts w:cstheme="minorHAnsi"/>
                <w:b/>
                <w:bCs/>
              </w:rPr>
            </w:pPr>
            <w:r w:rsidRPr="008C51C9">
              <w:rPr>
                <w:rFonts w:cstheme="minorHAnsi"/>
                <w:b/>
                <w:bCs/>
              </w:rPr>
              <w:t>Before treatment (n = 50)</w:t>
            </w:r>
          </w:p>
        </w:tc>
        <w:tc>
          <w:tcPr>
            <w:tcW w:w="1706" w:type="dxa"/>
            <w:shd w:val="clear" w:color="000000" w:fill="F2F2F2"/>
            <w:hideMark/>
          </w:tcPr>
          <w:p w14:paraId="2DA8BF3C" w14:textId="77777777" w:rsidR="000D47C5" w:rsidRPr="008C51C9" w:rsidRDefault="000D47C5" w:rsidP="0029199D">
            <w:pPr>
              <w:rPr>
                <w:rFonts w:cstheme="minorHAnsi"/>
                <w:b/>
                <w:bCs/>
              </w:rPr>
            </w:pPr>
            <w:r w:rsidRPr="008C51C9">
              <w:rPr>
                <w:rFonts w:cstheme="minorHAnsi"/>
                <w:b/>
                <w:bCs/>
              </w:rPr>
              <w:t>After treatment (n = 46)</w:t>
            </w:r>
          </w:p>
        </w:tc>
        <w:tc>
          <w:tcPr>
            <w:tcW w:w="1857" w:type="dxa"/>
            <w:shd w:val="clear" w:color="000000" w:fill="F2F2F2"/>
            <w:hideMark/>
          </w:tcPr>
          <w:p w14:paraId="3DBD3983" w14:textId="77777777" w:rsidR="000D47C5" w:rsidRPr="008C51C9" w:rsidRDefault="000D47C5" w:rsidP="000D47C5">
            <w:pPr>
              <w:rPr>
                <w:rFonts w:cstheme="minorHAnsi"/>
                <w:b/>
                <w:bCs/>
              </w:rPr>
            </w:pPr>
            <w:r w:rsidRPr="008C51C9">
              <w:rPr>
                <w:rFonts w:cstheme="minorHAnsi"/>
                <w:b/>
                <w:bCs/>
              </w:rPr>
              <w:t>Before treatment (n= 50)</w:t>
            </w:r>
          </w:p>
        </w:tc>
        <w:tc>
          <w:tcPr>
            <w:tcW w:w="1706" w:type="dxa"/>
            <w:shd w:val="clear" w:color="000000" w:fill="F2F2F2"/>
            <w:hideMark/>
          </w:tcPr>
          <w:p w14:paraId="1F5432D4" w14:textId="77777777" w:rsidR="000D47C5" w:rsidRPr="008C51C9" w:rsidRDefault="000D47C5" w:rsidP="0029199D">
            <w:pPr>
              <w:rPr>
                <w:rFonts w:cstheme="minorHAnsi"/>
                <w:b/>
                <w:bCs/>
              </w:rPr>
            </w:pPr>
            <w:r w:rsidRPr="008C51C9">
              <w:rPr>
                <w:rFonts w:cstheme="minorHAnsi"/>
                <w:b/>
                <w:bCs/>
              </w:rPr>
              <w:t>After treatment (n =47)</w:t>
            </w:r>
          </w:p>
        </w:tc>
      </w:tr>
      <w:tr w:rsidR="000D47C5" w:rsidRPr="008C51C9" w14:paraId="24636D36" w14:textId="77777777" w:rsidTr="00216B54">
        <w:trPr>
          <w:trHeight w:hRule="exact" w:val="576"/>
        </w:trPr>
        <w:tc>
          <w:tcPr>
            <w:tcW w:w="1800" w:type="dxa"/>
            <w:shd w:val="clear" w:color="auto" w:fill="auto"/>
            <w:hideMark/>
          </w:tcPr>
          <w:p w14:paraId="278F05BE" w14:textId="77777777" w:rsidR="000D47C5" w:rsidRPr="00216B54" w:rsidRDefault="000D47C5" w:rsidP="0029199D">
            <w:pPr>
              <w:rPr>
                <w:rFonts w:cstheme="minorHAnsi"/>
              </w:rPr>
            </w:pPr>
            <w:r w:rsidRPr="00216B54">
              <w:rPr>
                <w:rFonts w:cstheme="minorHAnsi"/>
              </w:rPr>
              <w:t xml:space="preserve">Irregular menstruation </w:t>
            </w:r>
          </w:p>
        </w:tc>
        <w:tc>
          <w:tcPr>
            <w:tcW w:w="1823" w:type="dxa"/>
            <w:shd w:val="clear" w:color="000000" w:fill="F2F2F2"/>
            <w:noWrap/>
            <w:hideMark/>
          </w:tcPr>
          <w:p w14:paraId="34DC2450" w14:textId="77777777" w:rsidR="000D47C5" w:rsidRPr="008C51C9" w:rsidRDefault="000D47C5" w:rsidP="0029199D">
            <w:pPr>
              <w:rPr>
                <w:rFonts w:cstheme="minorHAnsi"/>
              </w:rPr>
            </w:pPr>
            <w:r w:rsidRPr="008C51C9">
              <w:rPr>
                <w:rFonts w:cstheme="minorHAnsi"/>
              </w:rPr>
              <w:t>1.8±0.88</w:t>
            </w:r>
          </w:p>
        </w:tc>
        <w:tc>
          <w:tcPr>
            <w:tcW w:w="1706" w:type="dxa"/>
            <w:shd w:val="clear" w:color="000000" w:fill="F2F2F2"/>
            <w:noWrap/>
            <w:hideMark/>
          </w:tcPr>
          <w:p w14:paraId="7C69E62D" w14:textId="77777777" w:rsidR="000D47C5" w:rsidRPr="008C51C9" w:rsidRDefault="000D47C5" w:rsidP="0029199D">
            <w:pPr>
              <w:rPr>
                <w:rFonts w:cstheme="minorHAnsi"/>
              </w:rPr>
            </w:pPr>
            <w:r w:rsidRPr="008C51C9">
              <w:rPr>
                <w:rFonts w:cstheme="minorHAnsi"/>
              </w:rPr>
              <w:t>0.63±0.67</w:t>
            </w:r>
          </w:p>
        </w:tc>
        <w:tc>
          <w:tcPr>
            <w:tcW w:w="1857" w:type="dxa"/>
            <w:shd w:val="clear" w:color="000000" w:fill="F2F2F2"/>
            <w:noWrap/>
            <w:hideMark/>
          </w:tcPr>
          <w:p w14:paraId="05B059BE" w14:textId="77777777" w:rsidR="000D47C5" w:rsidRPr="008C51C9" w:rsidRDefault="000D47C5" w:rsidP="0029199D">
            <w:pPr>
              <w:rPr>
                <w:rFonts w:cstheme="minorHAnsi"/>
              </w:rPr>
            </w:pPr>
            <w:r w:rsidRPr="008C51C9">
              <w:rPr>
                <w:rFonts w:cstheme="minorHAnsi"/>
              </w:rPr>
              <w:t>1.98 ± 0.76</w:t>
            </w:r>
            <w:r w:rsidR="001028A2" w:rsidRPr="008C51C9">
              <w:rPr>
                <w:rFonts w:cstheme="minorHAnsi"/>
              </w:rPr>
              <w:t>9</w:t>
            </w:r>
          </w:p>
        </w:tc>
        <w:tc>
          <w:tcPr>
            <w:tcW w:w="1706" w:type="dxa"/>
            <w:shd w:val="clear" w:color="000000" w:fill="F2F2F2"/>
            <w:noWrap/>
            <w:hideMark/>
          </w:tcPr>
          <w:p w14:paraId="596F7835" w14:textId="77777777" w:rsidR="000D47C5" w:rsidRPr="008C51C9" w:rsidRDefault="000D47C5" w:rsidP="0029199D">
            <w:pPr>
              <w:rPr>
                <w:rFonts w:cstheme="minorHAnsi"/>
              </w:rPr>
            </w:pPr>
            <w:r w:rsidRPr="008C51C9">
              <w:rPr>
                <w:rFonts w:cstheme="minorHAnsi"/>
              </w:rPr>
              <w:t>1.76±0.75</w:t>
            </w:r>
          </w:p>
        </w:tc>
      </w:tr>
      <w:tr w:rsidR="000D47C5" w:rsidRPr="008C51C9" w14:paraId="7D748A70" w14:textId="77777777" w:rsidTr="00216B54">
        <w:trPr>
          <w:trHeight w:hRule="exact" w:val="576"/>
        </w:trPr>
        <w:tc>
          <w:tcPr>
            <w:tcW w:w="1800" w:type="dxa"/>
            <w:shd w:val="clear" w:color="auto" w:fill="auto"/>
            <w:hideMark/>
          </w:tcPr>
          <w:p w14:paraId="15616FEF" w14:textId="77777777" w:rsidR="000D47C5" w:rsidRPr="00216B54" w:rsidRDefault="000D47C5" w:rsidP="0029199D">
            <w:pPr>
              <w:rPr>
                <w:rFonts w:cstheme="minorHAnsi"/>
              </w:rPr>
            </w:pPr>
            <w:r w:rsidRPr="00216B54">
              <w:rPr>
                <w:rFonts w:cstheme="minorHAnsi"/>
              </w:rPr>
              <w:t xml:space="preserve">Duration of bleeding </w:t>
            </w:r>
          </w:p>
        </w:tc>
        <w:tc>
          <w:tcPr>
            <w:tcW w:w="1823" w:type="dxa"/>
            <w:shd w:val="clear" w:color="000000" w:fill="F2F2F2"/>
            <w:noWrap/>
            <w:hideMark/>
          </w:tcPr>
          <w:p w14:paraId="560FE9F5" w14:textId="77777777" w:rsidR="000D47C5" w:rsidRPr="008C51C9" w:rsidRDefault="000D47C5" w:rsidP="0029199D">
            <w:pPr>
              <w:rPr>
                <w:rFonts w:cstheme="minorHAnsi"/>
              </w:rPr>
            </w:pPr>
            <w:r w:rsidRPr="008C51C9">
              <w:rPr>
                <w:rFonts w:cstheme="minorHAnsi"/>
              </w:rPr>
              <w:t>1.8±0.94</w:t>
            </w:r>
          </w:p>
        </w:tc>
        <w:tc>
          <w:tcPr>
            <w:tcW w:w="1706" w:type="dxa"/>
            <w:shd w:val="clear" w:color="000000" w:fill="F2F2F2"/>
            <w:noWrap/>
            <w:hideMark/>
          </w:tcPr>
          <w:p w14:paraId="3B8F3671" w14:textId="77777777" w:rsidR="000D47C5" w:rsidRPr="008C51C9" w:rsidRDefault="000D47C5" w:rsidP="0029199D">
            <w:pPr>
              <w:rPr>
                <w:rFonts w:cstheme="minorHAnsi"/>
              </w:rPr>
            </w:pPr>
            <w:r w:rsidRPr="008C51C9">
              <w:rPr>
                <w:rFonts w:cstheme="minorHAnsi"/>
              </w:rPr>
              <w:t>0.67±0.56</w:t>
            </w:r>
          </w:p>
        </w:tc>
        <w:tc>
          <w:tcPr>
            <w:tcW w:w="1857" w:type="dxa"/>
            <w:shd w:val="clear" w:color="000000" w:fill="F2F2F2"/>
            <w:noWrap/>
            <w:hideMark/>
          </w:tcPr>
          <w:p w14:paraId="0028701C" w14:textId="77777777" w:rsidR="000D47C5" w:rsidRPr="008C51C9" w:rsidRDefault="000D47C5" w:rsidP="0029199D">
            <w:pPr>
              <w:rPr>
                <w:rFonts w:cstheme="minorHAnsi"/>
              </w:rPr>
            </w:pPr>
            <w:r w:rsidRPr="008C51C9">
              <w:rPr>
                <w:rFonts w:cstheme="minorHAnsi"/>
              </w:rPr>
              <w:t>1.6 ± 0.968</w:t>
            </w:r>
          </w:p>
        </w:tc>
        <w:tc>
          <w:tcPr>
            <w:tcW w:w="1706" w:type="dxa"/>
            <w:shd w:val="clear" w:color="000000" w:fill="F2F2F2"/>
            <w:noWrap/>
            <w:hideMark/>
          </w:tcPr>
          <w:p w14:paraId="2A619A98" w14:textId="77777777" w:rsidR="000D47C5" w:rsidRPr="008C51C9" w:rsidRDefault="000D47C5" w:rsidP="0029199D">
            <w:pPr>
              <w:rPr>
                <w:rFonts w:cstheme="minorHAnsi"/>
              </w:rPr>
            </w:pPr>
            <w:r w:rsidRPr="008C51C9">
              <w:rPr>
                <w:rFonts w:cstheme="minorHAnsi"/>
              </w:rPr>
              <w:t>1.78 ± 0.858</w:t>
            </w:r>
          </w:p>
        </w:tc>
      </w:tr>
      <w:tr w:rsidR="000D47C5" w:rsidRPr="008C51C9" w14:paraId="0ACF584D" w14:textId="77777777" w:rsidTr="00216B54">
        <w:trPr>
          <w:trHeight w:hRule="exact" w:val="576"/>
        </w:trPr>
        <w:tc>
          <w:tcPr>
            <w:tcW w:w="1800" w:type="dxa"/>
            <w:shd w:val="clear" w:color="auto" w:fill="auto"/>
            <w:hideMark/>
          </w:tcPr>
          <w:p w14:paraId="7AEFF560" w14:textId="77777777" w:rsidR="000D47C5" w:rsidRPr="00216B54" w:rsidRDefault="000D47C5" w:rsidP="0029199D">
            <w:pPr>
              <w:rPr>
                <w:rFonts w:cstheme="minorHAnsi"/>
              </w:rPr>
            </w:pPr>
            <w:r w:rsidRPr="00216B54">
              <w:rPr>
                <w:rFonts w:cstheme="minorHAnsi"/>
              </w:rPr>
              <w:t xml:space="preserve">Quantity of bleeding </w:t>
            </w:r>
          </w:p>
        </w:tc>
        <w:tc>
          <w:tcPr>
            <w:tcW w:w="1823" w:type="dxa"/>
            <w:shd w:val="clear" w:color="000000" w:fill="F2F2F2"/>
            <w:noWrap/>
            <w:hideMark/>
          </w:tcPr>
          <w:p w14:paraId="62A56C78" w14:textId="77777777" w:rsidR="000D47C5" w:rsidRPr="008C51C9" w:rsidRDefault="000D47C5" w:rsidP="0029199D">
            <w:pPr>
              <w:rPr>
                <w:rFonts w:cstheme="minorHAnsi"/>
              </w:rPr>
            </w:pPr>
            <w:r w:rsidRPr="008C51C9">
              <w:rPr>
                <w:rFonts w:cstheme="minorHAnsi"/>
              </w:rPr>
              <w:t>1.6 ± 0.88</w:t>
            </w:r>
          </w:p>
        </w:tc>
        <w:tc>
          <w:tcPr>
            <w:tcW w:w="1706" w:type="dxa"/>
            <w:shd w:val="clear" w:color="000000" w:fill="F2F2F2"/>
            <w:noWrap/>
            <w:hideMark/>
          </w:tcPr>
          <w:p w14:paraId="7F3F1686" w14:textId="77777777" w:rsidR="000D47C5" w:rsidRPr="008C51C9" w:rsidRDefault="000D47C5" w:rsidP="0029199D">
            <w:pPr>
              <w:rPr>
                <w:rFonts w:cstheme="minorHAnsi"/>
              </w:rPr>
            </w:pPr>
            <w:r w:rsidRPr="008C51C9">
              <w:rPr>
                <w:rFonts w:cstheme="minorHAnsi"/>
              </w:rPr>
              <w:t>0.5 ± 0.69</w:t>
            </w:r>
          </w:p>
        </w:tc>
        <w:tc>
          <w:tcPr>
            <w:tcW w:w="1857" w:type="dxa"/>
            <w:shd w:val="clear" w:color="000000" w:fill="F2F2F2"/>
            <w:noWrap/>
            <w:hideMark/>
          </w:tcPr>
          <w:p w14:paraId="32501834" w14:textId="77777777" w:rsidR="000D47C5" w:rsidRPr="008C51C9" w:rsidRDefault="000D47C5" w:rsidP="0029199D">
            <w:pPr>
              <w:rPr>
                <w:rFonts w:cstheme="minorHAnsi"/>
              </w:rPr>
            </w:pPr>
            <w:r w:rsidRPr="008C51C9">
              <w:rPr>
                <w:rFonts w:cstheme="minorHAnsi"/>
              </w:rPr>
              <w:t>1.84± 1.01</w:t>
            </w:r>
          </w:p>
        </w:tc>
        <w:tc>
          <w:tcPr>
            <w:tcW w:w="1706" w:type="dxa"/>
            <w:shd w:val="clear" w:color="000000" w:fill="F2F2F2"/>
            <w:noWrap/>
            <w:hideMark/>
          </w:tcPr>
          <w:p w14:paraId="45BD50BE" w14:textId="77777777" w:rsidR="000D47C5" w:rsidRPr="008C51C9" w:rsidRDefault="000D47C5" w:rsidP="0029199D">
            <w:pPr>
              <w:rPr>
                <w:rFonts w:cstheme="minorHAnsi"/>
              </w:rPr>
            </w:pPr>
            <w:r w:rsidRPr="008C51C9">
              <w:rPr>
                <w:rFonts w:cstheme="minorHAnsi"/>
              </w:rPr>
              <w:t>1.65 ±0.81</w:t>
            </w:r>
          </w:p>
        </w:tc>
      </w:tr>
      <w:tr w:rsidR="000D47C5" w:rsidRPr="008C51C9" w14:paraId="68CA6A0C" w14:textId="77777777" w:rsidTr="00216B54">
        <w:trPr>
          <w:trHeight w:hRule="exact" w:val="576"/>
        </w:trPr>
        <w:tc>
          <w:tcPr>
            <w:tcW w:w="1800" w:type="dxa"/>
            <w:shd w:val="clear" w:color="auto" w:fill="auto"/>
            <w:hideMark/>
          </w:tcPr>
          <w:p w14:paraId="4F7B3C31" w14:textId="77777777" w:rsidR="000D47C5" w:rsidRPr="00216B54" w:rsidRDefault="000D47C5" w:rsidP="0029199D">
            <w:pPr>
              <w:rPr>
                <w:rFonts w:cstheme="minorHAnsi"/>
              </w:rPr>
            </w:pPr>
            <w:r w:rsidRPr="00216B54">
              <w:rPr>
                <w:rFonts w:cstheme="minorHAnsi"/>
              </w:rPr>
              <w:t>Pain during menses</w:t>
            </w:r>
          </w:p>
        </w:tc>
        <w:tc>
          <w:tcPr>
            <w:tcW w:w="1823" w:type="dxa"/>
            <w:shd w:val="clear" w:color="000000" w:fill="F2F2F2"/>
            <w:noWrap/>
            <w:hideMark/>
          </w:tcPr>
          <w:p w14:paraId="45C102CF" w14:textId="77777777" w:rsidR="000D47C5" w:rsidRPr="008C51C9" w:rsidRDefault="000D47C5" w:rsidP="0029199D">
            <w:pPr>
              <w:rPr>
                <w:rFonts w:cstheme="minorHAnsi"/>
              </w:rPr>
            </w:pPr>
            <w:r w:rsidRPr="008C51C9">
              <w:rPr>
                <w:rFonts w:cstheme="minorHAnsi"/>
              </w:rPr>
              <w:t>1.86 ± 0.63</w:t>
            </w:r>
          </w:p>
        </w:tc>
        <w:tc>
          <w:tcPr>
            <w:tcW w:w="1706" w:type="dxa"/>
            <w:shd w:val="clear" w:color="000000" w:fill="F2F2F2"/>
            <w:noWrap/>
            <w:hideMark/>
          </w:tcPr>
          <w:p w14:paraId="1895A554" w14:textId="77777777" w:rsidR="000D47C5" w:rsidRPr="008C51C9" w:rsidRDefault="000D47C5" w:rsidP="0029199D">
            <w:pPr>
              <w:rPr>
                <w:rFonts w:cstheme="minorHAnsi"/>
              </w:rPr>
            </w:pPr>
            <w:r w:rsidRPr="008C51C9">
              <w:rPr>
                <w:rFonts w:cstheme="minorHAnsi"/>
              </w:rPr>
              <w:t>0.54 ± 0.78</w:t>
            </w:r>
          </w:p>
        </w:tc>
        <w:tc>
          <w:tcPr>
            <w:tcW w:w="1857" w:type="dxa"/>
            <w:shd w:val="clear" w:color="000000" w:fill="F2F2F2"/>
            <w:noWrap/>
            <w:hideMark/>
          </w:tcPr>
          <w:p w14:paraId="3FF45118" w14:textId="77777777" w:rsidR="000D47C5" w:rsidRPr="008C51C9" w:rsidRDefault="000D47C5" w:rsidP="0029199D">
            <w:pPr>
              <w:rPr>
                <w:rFonts w:cstheme="minorHAnsi"/>
              </w:rPr>
            </w:pPr>
            <w:r w:rsidRPr="008C51C9">
              <w:rPr>
                <w:rFonts w:cstheme="minorHAnsi"/>
              </w:rPr>
              <w:t>1.8 ± 0.728</w:t>
            </w:r>
          </w:p>
        </w:tc>
        <w:tc>
          <w:tcPr>
            <w:tcW w:w="1706" w:type="dxa"/>
            <w:shd w:val="clear" w:color="000000" w:fill="F2F2F2"/>
            <w:noWrap/>
            <w:hideMark/>
          </w:tcPr>
          <w:p w14:paraId="1AD7EDCC" w14:textId="77777777" w:rsidR="000D47C5" w:rsidRPr="008C51C9" w:rsidRDefault="000D47C5" w:rsidP="0029199D">
            <w:pPr>
              <w:rPr>
                <w:rFonts w:cstheme="minorHAnsi"/>
              </w:rPr>
            </w:pPr>
            <w:r w:rsidRPr="008C51C9">
              <w:rPr>
                <w:rFonts w:cstheme="minorHAnsi"/>
              </w:rPr>
              <w:t>2 ± 0.69</w:t>
            </w:r>
          </w:p>
        </w:tc>
      </w:tr>
      <w:tr w:rsidR="000D47C5" w:rsidRPr="008C51C9" w14:paraId="7E0E4649" w14:textId="77777777" w:rsidTr="00762AFB">
        <w:trPr>
          <w:trHeight w:hRule="exact" w:val="576"/>
        </w:trPr>
        <w:tc>
          <w:tcPr>
            <w:tcW w:w="1800" w:type="dxa"/>
            <w:shd w:val="clear" w:color="auto" w:fill="auto"/>
            <w:hideMark/>
          </w:tcPr>
          <w:p w14:paraId="38533E61" w14:textId="77777777" w:rsidR="000D47C5" w:rsidRPr="008C51C9" w:rsidRDefault="000D47C5" w:rsidP="0029199D">
            <w:pPr>
              <w:rPr>
                <w:rFonts w:cstheme="minorHAnsi"/>
              </w:rPr>
            </w:pPr>
            <w:r w:rsidRPr="008C51C9">
              <w:rPr>
                <w:rFonts w:cstheme="minorHAnsi"/>
              </w:rPr>
              <w:t>Mean Composite Score</w:t>
            </w:r>
          </w:p>
        </w:tc>
        <w:tc>
          <w:tcPr>
            <w:tcW w:w="1823" w:type="dxa"/>
            <w:shd w:val="clear" w:color="000000" w:fill="F2F2F2"/>
            <w:noWrap/>
            <w:hideMark/>
          </w:tcPr>
          <w:p w14:paraId="6C8CD7EB" w14:textId="77777777" w:rsidR="000D47C5" w:rsidRPr="008C51C9" w:rsidRDefault="000D47C5" w:rsidP="0029199D">
            <w:pPr>
              <w:rPr>
                <w:rFonts w:cstheme="minorHAnsi"/>
              </w:rPr>
            </w:pPr>
            <w:r w:rsidRPr="008C51C9">
              <w:rPr>
                <w:rFonts w:cstheme="minorHAnsi"/>
              </w:rPr>
              <w:t>7.06 ± 1.73</w:t>
            </w:r>
          </w:p>
        </w:tc>
        <w:tc>
          <w:tcPr>
            <w:tcW w:w="1706" w:type="dxa"/>
            <w:shd w:val="clear" w:color="000000" w:fill="F2F2F2"/>
            <w:noWrap/>
            <w:hideMark/>
          </w:tcPr>
          <w:p w14:paraId="7244338D" w14:textId="77777777" w:rsidR="000D47C5" w:rsidRPr="008C51C9" w:rsidRDefault="000D47C5" w:rsidP="0029199D">
            <w:pPr>
              <w:rPr>
                <w:rFonts w:cstheme="minorHAnsi"/>
              </w:rPr>
            </w:pPr>
            <w:r w:rsidRPr="008C51C9">
              <w:rPr>
                <w:rFonts w:cstheme="minorHAnsi"/>
              </w:rPr>
              <w:t>2.34 ± 1.32</w:t>
            </w:r>
          </w:p>
        </w:tc>
        <w:tc>
          <w:tcPr>
            <w:tcW w:w="1857" w:type="dxa"/>
            <w:shd w:val="clear" w:color="000000" w:fill="F2F2F2"/>
            <w:noWrap/>
            <w:hideMark/>
          </w:tcPr>
          <w:p w14:paraId="3D7A98B1" w14:textId="77777777" w:rsidR="000D47C5" w:rsidRPr="008C51C9" w:rsidRDefault="000D47C5" w:rsidP="0029199D">
            <w:pPr>
              <w:rPr>
                <w:rFonts w:cstheme="minorHAnsi"/>
              </w:rPr>
            </w:pPr>
            <w:r w:rsidRPr="008C51C9">
              <w:rPr>
                <w:rFonts w:cstheme="minorHAnsi"/>
              </w:rPr>
              <w:t>7.22 ± 1.96</w:t>
            </w:r>
          </w:p>
        </w:tc>
        <w:tc>
          <w:tcPr>
            <w:tcW w:w="1706" w:type="dxa"/>
            <w:shd w:val="clear" w:color="000000" w:fill="F2F2F2"/>
            <w:noWrap/>
            <w:hideMark/>
          </w:tcPr>
          <w:p w14:paraId="23408A81" w14:textId="77777777" w:rsidR="000D47C5" w:rsidRPr="008C51C9" w:rsidRDefault="000D47C5" w:rsidP="0029199D">
            <w:pPr>
              <w:rPr>
                <w:rFonts w:cstheme="minorHAnsi"/>
              </w:rPr>
            </w:pPr>
            <w:r w:rsidRPr="008C51C9">
              <w:rPr>
                <w:rFonts w:cstheme="minorHAnsi"/>
              </w:rPr>
              <w:t>7.2 ± 1.35</w:t>
            </w:r>
          </w:p>
        </w:tc>
      </w:tr>
    </w:tbl>
    <w:p w14:paraId="04AB4D0B" w14:textId="77777777" w:rsidR="000D47C5" w:rsidRDefault="004E1BA1" w:rsidP="005C3BF2">
      <w:pPr>
        <w:spacing w:after="0" w:line="240" w:lineRule="auto"/>
        <w:rPr>
          <w:rFonts w:ascii="Times New Roman" w:hAnsi="Times New Roman" w:cs="Times New Roman"/>
          <w:sz w:val="24"/>
          <w:szCs w:val="24"/>
        </w:rPr>
      </w:pPr>
      <w:r w:rsidRPr="004E1BA1">
        <w:rPr>
          <w:rFonts w:ascii="Times New Roman" w:hAnsi="Times New Roman" w:cs="Times New Roman"/>
          <w:sz w:val="24"/>
          <w:szCs w:val="24"/>
        </w:rPr>
        <w:t>Table 5: Individual and mean composite scores of the subjective parameters between the test and placebo groups before and after treatment</w:t>
      </w:r>
    </w:p>
    <w:p w14:paraId="3AB74F7A" w14:textId="77777777" w:rsidR="004E1BA1" w:rsidRDefault="004E1BA1" w:rsidP="005C3BF2">
      <w:pPr>
        <w:spacing w:after="0" w:line="240" w:lineRule="auto"/>
        <w:rPr>
          <w:rFonts w:ascii="Times New Roman" w:hAnsi="Times New Roman" w:cs="Times New Roman"/>
          <w:sz w:val="24"/>
          <w:szCs w:val="24"/>
        </w:rPr>
      </w:pPr>
    </w:p>
    <w:p w14:paraId="2570C2CE" w14:textId="77777777" w:rsidR="004E1BA1" w:rsidRPr="008C51C9" w:rsidRDefault="004E1BA1" w:rsidP="005C3BF2">
      <w:pPr>
        <w:spacing w:after="0" w:line="240" w:lineRule="auto"/>
        <w:rPr>
          <w:rFonts w:ascii="Times New Roman" w:hAnsi="Times New Roman" w:cs="Times New Roman"/>
          <w:sz w:val="24"/>
          <w:szCs w:val="24"/>
        </w:rPr>
      </w:pPr>
    </w:p>
    <w:p w14:paraId="71EE1740" w14:textId="77777777" w:rsidR="004A090A" w:rsidRPr="008C51C9" w:rsidRDefault="00B81685" w:rsidP="001F52C5">
      <w:pPr>
        <w:jc w:val="both"/>
        <w:rPr>
          <w:rFonts w:ascii="Times New Roman" w:hAnsi="Times New Roman" w:cs="Times New Roman"/>
          <w:sz w:val="24"/>
          <w:szCs w:val="24"/>
        </w:rPr>
      </w:pPr>
      <w:r w:rsidRPr="0049249B">
        <w:rPr>
          <w:rFonts w:ascii="Times New Roman" w:hAnsi="Times New Roman" w:cs="Times New Roman"/>
          <w:b/>
          <w:sz w:val="24"/>
          <w:szCs w:val="24"/>
        </w:rPr>
        <w:lastRenderedPageBreak/>
        <w:t xml:space="preserve">Duration of </w:t>
      </w:r>
      <w:r w:rsidR="000D47C5" w:rsidRPr="0049249B">
        <w:rPr>
          <w:rFonts w:ascii="Times New Roman" w:hAnsi="Times New Roman" w:cs="Times New Roman"/>
          <w:b/>
          <w:sz w:val="24"/>
          <w:szCs w:val="24"/>
        </w:rPr>
        <w:t>bleeding/m</w:t>
      </w:r>
      <w:r w:rsidRPr="0049249B">
        <w:rPr>
          <w:rFonts w:ascii="Times New Roman" w:hAnsi="Times New Roman" w:cs="Times New Roman"/>
          <w:b/>
          <w:sz w:val="24"/>
          <w:szCs w:val="24"/>
        </w:rPr>
        <w:t xml:space="preserve">enstrual </w:t>
      </w:r>
      <w:r w:rsidR="000D47C5" w:rsidRPr="0049249B">
        <w:rPr>
          <w:rFonts w:ascii="Times New Roman" w:hAnsi="Times New Roman" w:cs="Times New Roman"/>
          <w:b/>
          <w:sz w:val="24"/>
          <w:szCs w:val="24"/>
        </w:rPr>
        <w:t>c</w:t>
      </w:r>
      <w:r w:rsidRPr="0049249B">
        <w:rPr>
          <w:rFonts w:ascii="Times New Roman" w:hAnsi="Times New Roman" w:cs="Times New Roman"/>
          <w:b/>
          <w:sz w:val="24"/>
          <w:szCs w:val="24"/>
        </w:rPr>
        <w:t>ycle</w:t>
      </w:r>
      <w:r w:rsidRPr="0049249B">
        <w:rPr>
          <w:rFonts w:ascii="Times New Roman" w:hAnsi="Times New Roman" w:cs="Times New Roman"/>
          <w:sz w:val="24"/>
          <w:szCs w:val="24"/>
        </w:rPr>
        <w:t>:</w:t>
      </w:r>
      <w:r w:rsidRPr="008C51C9">
        <w:rPr>
          <w:rFonts w:ascii="Times New Roman" w:hAnsi="Times New Roman" w:cs="Times New Roman"/>
          <w:iCs/>
          <w:sz w:val="24"/>
          <w:szCs w:val="24"/>
        </w:rPr>
        <w:t xml:space="preserve"> </w:t>
      </w:r>
      <w:r w:rsidRPr="008C51C9">
        <w:rPr>
          <w:rFonts w:ascii="Times New Roman" w:hAnsi="Times New Roman" w:cs="Times New Roman"/>
          <w:sz w:val="24"/>
          <w:szCs w:val="24"/>
        </w:rPr>
        <w:t xml:space="preserve">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t>
      </w:r>
      <w:r w:rsidR="002B2EB5" w:rsidRPr="008C51C9">
        <w:rPr>
          <w:rFonts w:ascii="Times New Roman" w:hAnsi="Times New Roman" w:cs="Times New Roman"/>
          <w:sz w:val="24"/>
          <w:szCs w:val="24"/>
        </w:rPr>
        <w:t>in</w:t>
      </w:r>
      <w:r w:rsidRPr="008C51C9">
        <w:rPr>
          <w:rFonts w:ascii="Times New Roman" w:hAnsi="Times New Roman" w:cs="Times New Roman"/>
          <w:sz w:val="24"/>
          <w:szCs w:val="24"/>
        </w:rPr>
        <w:t xml:space="preserve"> different </w:t>
      </w:r>
      <w:r w:rsidR="002B2EB5" w:rsidRPr="008C51C9">
        <w:rPr>
          <w:rFonts w:ascii="Times New Roman" w:hAnsi="Times New Roman" w:cs="Times New Roman"/>
          <w:sz w:val="24"/>
          <w:szCs w:val="24"/>
        </w:rPr>
        <w:t xml:space="preserve">grades of </w:t>
      </w:r>
      <w:r w:rsidRPr="008C51C9">
        <w:rPr>
          <w:rFonts w:ascii="Times New Roman" w:hAnsi="Times New Roman" w:cs="Times New Roman"/>
          <w:sz w:val="24"/>
          <w:szCs w:val="24"/>
        </w:rPr>
        <w:t xml:space="preserve">duration </w:t>
      </w:r>
      <w:r w:rsidR="003D6D50" w:rsidRPr="008C51C9">
        <w:rPr>
          <w:rFonts w:ascii="Times New Roman" w:hAnsi="Times New Roman" w:cs="Times New Roman"/>
          <w:sz w:val="24"/>
          <w:szCs w:val="24"/>
        </w:rPr>
        <w:t xml:space="preserve">of bleeding </w:t>
      </w:r>
      <w:r w:rsidR="001F52C5" w:rsidRPr="008C51C9">
        <w:rPr>
          <w:rFonts w:ascii="Times New Roman" w:hAnsi="Times New Roman" w:cs="Times New Roman"/>
          <w:sz w:val="24"/>
          <w:szCs w:val="24"/>
        </w:rPr>
        <w:t>and also, the average score calculated for the test group (1.8</w:t>
      </w:r>
      <w:r w:rsidR="001F52C5" w:rsidRPr="008C51C9">
        <w:rPr>
          <w:rFonts w:ascii="Times New Roman" w:hAnsi="Times New Roman" w:cs="Times New Roman"/>
          <w:sz w:val="24"/>
          <w:szCs w:val="24"/>
        </w:rPr>
        <w:sym w:font="Symbol" w:char="F0B1"/>
      </w:r>
      <w:r w:rsidR="001F52C5" w:rsidRPr="008C51C9">
        <w:rPr>
          <w:rFonts w:ascii="Times New Roman" w:hAnsi="Times New Roman" w:cs="Times New Roman"/>
          <w:sz w:val="24"/>
          <w:szCs w:val="24"/>
        </w:rPr>
        <w:t>0.94) and the placebo group (1.6</w:t>
      </w:r>
      <w:r w:rsidR="001F52C5" w:rsidRPr="008C51C9">
        <w:rPr>
          <w:rFonts w:ascii="Times New Roman" w:hAnsi="Times New Roman" w:cs="Times New Roman"/>
          <w:sz w:val="24"/>
          <w:szCs w:val="24"/>
        </w:rPr>
        <w:sym w:font="Symbol" w:char="F0B1"/>
      </w:r>
      <w:r w:rsidR="001F52C5" w:rsidRPr="008C51C9">
        <w:rPr>
          <w:rFonts w:ascii="Times New Roman" w:hAnsi="Times New Roman" w:cs="Times New Roman"/>
          <w:sz w:val="24"/>
          <w:szCs w:val="24"/>
        </w:rPr>
        <w:t xml:space="preserve">0.968) </w:t>
      </w:r>
      <w:r w:rsidRPr="008C51C9">
        <w:rPr>
          <w:rFonts w:ascii="Times New Roman" w:hAnsi="Times New Roman" w:cs="Times New Roman"/>
          <w:sz w:val="24"/>
          <w:szCs w:val="24"/>
        </w:rPr>
        <w:t xml:space="preserve">were comparable between groups before treatment. </w:t>
      </w:r>
      <w:r w:rsidR="00C13A62" w:rsidRPr="008C51C9">
        <w:rPr>
          <w:rFonts w:ascii="Times New Roman" w:hAnsi="Times New Roman" w:cs="Times New Roman"/>
          <w:sz w:val="24"/>
          <w:szCs w:val="24"/>
        </w:rPr>
        <w:t>I</w:t>
      </w:r>
      <w:r w:rsidRPr="008C51C9">
        <w:rPr>
          <w:rFonts w:ascii="Times New Roman" w:hAnsi="Times New Roman" w:cs="Times New Roman"/>
          <w:sz w:val="24"/>
          <w:szCs w:val="24"/>
        </w:rPr>
        <w:t xml:space="preserve">n the test group,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with optimal duration of menstruation (3-5 days; nil) increased significantly subsequent to treatment with test product (5/50 versus 17/46); this effect was also found to be statistically significant when compared to </w:t>
      </w:r>
      <w:r w:rsidR="004A090A" w:rsidRPr="008C51C9">
        <w:rPr>
          <w:rFonts w:ascii="Times New Roman" w:hAnsi="Times New Roman" w:cs="Times New Roman"/>
          <w:sz w:val="24"/>
          <w:szCs w:val="24"/>
        </w:rPr>
        <w:t xml:space="preserve">placebo </w:t>
      </w:r>
      <w:r w:rsidRPr="008C51C9">
        <w:rPr>
          <w:rFonts w:ascii="Times New Roman" w:hAnsi="Times New Roman" w:cs="Times New Roman"/>
          <w:sz w:val="24"/>
          <w:szCs w:val="24"/>
        </w:rPr>
        <w:t>group (p&lt;0.0</w:t>
      </w:r>
      <w:r w:rsidR="004A090A" w:rsidRPr="008C51C9">
        <w:rPr>
          <w:rFonts w:ascii="Times New Roman" w:hAnsi="Times New Roman" w:cs="Times New Roman"/>
          <w:sz w:val="24"/>
          <w:szCs w:val="24"/>
        </w:rPr>
        <w:t>1</w:t>
      </w:r>
      <w:r w:rsidRPr="008C51C9">
        <w:rPr>
          <w:rFonts w:ascii="Times New Roman" w:hAnsi="Times New Roman" w:cs="Times New Roman"/>
          <w:sz w:val="24"/>
          <w:szCs w:val="24"/>
        </w:rPr>
        <w:t xml:space="preserve">). Similarly,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with longer duration of bleeding (mild, moderate and severe</w:t>
      </w:r>
      <w:r w:rsidR="004A090A" w:rsidRPr="008C51C9">
        <w:rPr>
          <w:rFonts w:ascii="Times New Roman" w:hAnsi="Times New Roman" w:cs="Times New Roman"/>
          <w:sz w:val="24"/>
          <w:szCs w:val="24"/>
        </w:rPr>
        <w:t>)</w:t>
      </w:r>
      <w:r w:rsidRPr="008C51C9">
        <w:rPr>
          <w:rFonts w:ascii="Times New Roman" w:hAnsi="Times New Roman" w:cs="Times New Roman"/>
          <w:sz w:val="24"/>
          <w:szCs w:val="24"/>
        </w:rPr>
        <w:t xml:space="preserve"> showed improvement after test </w:t>
      </w:r>
      <w:r w:rsidR="002B2EB5" w:rsidRPr="008C51C9">
        <w:rPr>
          <w:rFonts w:ascii="Times New Roman" w:hAnsi="Times New Roman" w:cs="Times New Roman"/>
          <w:sz w:val="24"/>
          <w:szCs w:val="24"/>
        </w:rPr>
        <w:t>oil</w:t>
      </w:r>
      <w:r w:rsidR="00915E6F">
        <w:rPr>
          <w:rFonts w:ascii="Times New Roman" w:hAnsi="Times New Roman" w:cs="Times New Roman"/>
          <w:sz w:val="24"/>
          <w:szCs w:val="24"/>
        </w:rPr>
        <w:t xml:space="preserve"> treatment</w:t>
      </w:r>
      <w:r w:rsidRPr="008C51C9">
        <w:rPr>
          <w:rFonts w:ascii="Times New Roman" w:hAnsi="Times New Roman" w:cs="Times New Roman"/>
          <w:sz w:val="24"/>
          <w:szCs w:val="24"/>
        </w:rPr>
        <w:t xml:space="preserve">; </w:t>
      </w:r>
      <w:r w:rsidR="002B2EB5" w:rsidRPr="008C51C9">
        <w:rPr>
          <w:rFonts w:ascii="Times New Roman" w:hAnsi="Times New Roman" w:cs="Times New Roman"/>
          <w:sz w:val="24"/>
          <w:szCs w:val="24"/>
        </w:rPr>
        <w:t>this improvement</w:t>
      </w:r>
      <w:r w:rsidRPr="008C51C9">
        <w:rPr>
          <w:rFonts w:ascii="Times New Roman" w:hAnsi="Times New Roman" w:cs="Times New Roman"/>
          <w:sz w:val="24"/>
          <w:szCs w:val="24"/>
        </w:rPr>
        <w:t xml:space="preserve"> was </w:t>
      </w:r>
      <w:r w:rsidR="004A090A" w:rsidRPr="008C51C9">
        <w:rPr>
          <w:rFonts w:ascii="Times New Roman" w:hAnsi="Times New Roman" w:cs="Times New Roman"/>
          <w:sz w:val="24"/>
          <w:szCs w:val="24"/>
        </w:rPr>
        <w:t>significant (p&lt;0.01)</w:t>
      </w:r>
      <w:r w:rsidRPr="008C51C9">
        <w:rPr>
          <w:rFonts w:ascii="Times New Roman" w:hAnsi="Times New Roman" w:cs="Times New Roman"/>
          <w:sz w:val="24"/>
          <w:szCs w:val="24"/>
        </w:rPr>
        <w:t xml:space="preserve"> in </w:t>
      </w:r>
      <w:r w:rsidR="004A090A" w:rsidRPr="008C51C9">
        <w:rPr>
          <w:rFonts w:ascii="Times New Roman" w:hAnsi="Times New Roman" w:cs="Times New Roman"/>
          <w:sz w:val="24"/>
          <w:szCs w:val="24"/>
        </w:rPr>
        <w:t xml:space="preserve">comparison to </w:t>
      </w:r>
      <w:r w:rsidRPr="008C51C9">
        <w:rPr>
          <w:rFonts w:ascii="Times New Roman" w:hAnsi="Times New Roman" w:cs="Times New Roman"/>
          <w:sz w:val="24"/>
          <w:szCs w:val="24"/>
        </w:rPr>
        <w:t>placebo group</w:t>
      </w:r>
      <w:r w:rsidR="004A090A" w:rsidRPr="008C51C9">
        <w:rPr>
          <w:rFonts w:ascii="Times New Roman" w:hAnsi="Times New Roman" w:cs="Times New Roman"/>
          <w:sz w:val="24"/>
          <w:szCs w:val="24"/>
        </w:rPr>
        <w:t xml:space="preserve"> for moderate and severe conditions</w:t>
      </w:r>
      <w:r w:rsidRPr="008C51C9">
        <w:rPr>
          <w:rFonts w:ascii="Times New Roman" w:hAnsi="Times New Roman" w:cs="Times New Roman"/>
          <w:sz w:val="24"/>
          <w:szCs w:val="24"/>
        </w:rPr>
        <w:t>. After treatment, the test group showed significant decrease in the average score (0.67</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0.5</w:t>
      </w:r>
      <w:r w:rsidR="004A090A" w:rsidRPr="008C51C9">
        <w:rPr>
          <w:rFonts w:ascii="Times New Roman" w:hAnsi="Times New Roman" w:cs="Times New Roman"/>
          <w:sz w:val="24"/>
          <w:szCs w:val="24"/>
        </w:rPr>
        <w:t>6</w:t>
      </w:r>
      <w:r w:rsidRPr="008C51C9">
        <w:rPr>
          <w:rFonts w:ascii="Times New Roman" w:hAnsi="Times New Roman" w:cs="Times New Roman"/>
          <w:sz w:val="24"/>
          <w:szCs w:val="24"/>
        </w:rPr>
        <w:t>) as compared to the placebo (1.78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0.858) which indicates that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 the test group experienced a significant improvement in regulating the duration of the </w:t>
      </w:r>
      <w:r w:rsidR="004A090A" w:rsidRPr="008C51C9">
        <w:rPr>
          <w:rFonts w:ascii="Times New Roman" w:hAnsi="Times New Roman" w:cs="Times New Roman"/>
          <w:sz w:val="24"/>
          <w:szCs w:val="24"/>
        </w:rPr>
        <w:t>bleeding</w:t>
      </w:r>
      <w:r w:rsidR="004513E5" w:rsidRPr="008C51C9">
        <w:rPr>
          <w:rFonts w:ascii="Times New Roman" w:hAnsi="Times New Roman" w:cs="Times New Roman"/>
          <w:sz w:val="24"/>
          <w:szCs w:val="24"/>
        </w:rPr>
        <w:t xml:space="preserve"> cycle</w:t>
      </w:r>
      <w:r w:rsidRPr="008C51C9">
        <w:rPr>
          <w:rFonts w:ascii="Times New Roman" w:hAnsi="Times New Roman" w:cs="Times New Roman"/>
          <w:sz w:val="24"/>
          <w:szCs w:val="24"/>
        </w:rPr>
        <w:t xml:space="preserve"> (p&lt;0.05).</w:t>
      </w:r>
    </w:p>
    <w:p w14:paraId="55FED7DA" w14:textId="77777777" w:rsidR="00B81685" w:rsidRPr="008C51C9" w:rsidRDefault="00B81685" w:rsidP="001F52C5">
      <w:pPr>
        <w:jc w:val="both"/>
        <w:rPr>
          <w:rFonts w:ascii="Times New Roman" w:hAnsi="Times New Roman" w:cs="Times New Roman"/>
          <w:sz w:val="24"/>
          <w:szCs w:val="24"/>
        </w:rPr>
      </w:pPr>
      <w:r w:rsidRPr="0049249B">
        <w:rPr>
          <w:rFonts w:ascii="Times New Roman" w:hAnsi="Times New Roman" w:cs="Times New Roman"/>
          <w:b/>
          <w:sz w:val="24"/>
          <w:szCs w:val="24"/>
        </w:rPr>
        <w:t xml:space="preserve">Quantity of </w:t>
      </w:r>
      <w:r w:rsidR="004A090A" w:rsidRPr="0049249B">
        <w:rPr>
          <w:rFonts w:ascii="Times New Roman" w:hAnsi="Times New Roman" w:cs="Times New Roman"/>
          <w:b/>
          <w:sz w:val="24"/>
          <w:szCs w:val="24"/>
        </w:rPr>
        <w:t>m</w:t>
      </w:r>
      <w:r w:rsidRPr="0049249B">
        <w:rPr>
          <w:rFonts w:ascii="Times New Roman" w:hAnsi="Times New Roman" w:cs="Times New Roman"/>
          <w:b/>
          <w:sz w:val="24"/>
          <w:szCs w:val="24"/>
        </w:rPr>
        <w:t xml:space="preserve">enstrual </w:t>
      </w:r>
      <w:r w:rsidR="004A090A" w:rsidRPr="0049249B">
        <w:rPr>
          <w:rFonts w:ascii="Times New Roman" w:hAnsi="Times New Roman" w:cs="Times New Roman"/>
          <w:b/>
          <w:sz w:val="24"/>
          <w:szCs w:val="24"/>
        </w:rPr>
        <w:t>b</w:t>
      </w:r>
      <w:r w:rsidRPr="0049249B">
        <w:rPr>
          <w:rFonts w:ascii="Times New Roman" w:hAnsi="Times New Roman" w:cs="Times New Roman"/>
          <w:b/>
          <w:sz w:val="24"/>
          <w:szCs w:val="24"/>
        </w:rPr>
        <w:t>leeding</w:t>
      </w:r>
      <w:r w:rsidRPr="0049249B">
        <w:rPr>
          <w:rFonts w:ascii="Times New Roman" w:hAnsi="Times New Roman" w:cs="Times New Roman"/>
          <w:sz w:val="24"/>
          <w:szCs w:val="24"/>
        </w:rPr>
        <w:t>:</w:t>
      </w:r>
      <w:r w:rsidRPr="008C51C9">
        <w:rPr>
          <w:rFonts w:ascii="Times New Roman" w:hAnsi="Times New Roman" w:cs="Times New Roman"/>
          <w:iCs/>
          <w:sz w:val="24"/>
          <w:szCs w:val="24"/>
        </w:rPr>
        <w:t xml:space="preserve"> Amount of menstrual bleeding was estimated by evaluating number of saturated pads used per cycle by an individual </w:t>
      </w:r>
      <w:r w:rsidR="000B22EE" w:rsidRPr="008C51C9">
        <w:rPr>
          <w:rFonts w:ascii="Times New Roman" w:hAnsi="Times New Roman" w:cs="Times New Roman"/>
          <w:iCs/>
          <w:sz w:val="24"/>
          <w:szCs w:val="24"/>
        </w:rPr>
        <w:t>participant</w:t>
      </w:r>
      <w:r w:rsidRPr="008C51C9">
        <w:rPr>
          <w:rFonts w:ascii="Times New Roman" w:hAnsi="Times New Roman" w:cs="Times New Roman"/>
          <w:iCs/>
          <w:sz w:val="24"/>
          <w:szCs w:val="24"/>
        </w:rPr>
        <w:t xml:space="preserve">. </w:t>
      </w:r>
      <w:r w:rsidR="00873B79" w:rsidRPr="008C51C9">
        <w:rPr>
          <w:rFonts w:ascii="Times New Roman" w:hAnsi="Times New Roman" w:cs="Times New Roman"/>
          <w:iCs/>
          <w:sz w:val="24"/>
          <w:szCs w:val="24"/>
        </w:rPr>
        <w:t>N</w:t>
      </w:r>
      <w:r w:rsidRPr="008C51C9">
        <w:rPr>
          <w:rFonts w:ascii="Times New Roman" w:hAnsi="Times New Roman" w:cs="Times New Roman"/>
          <w:iCs/>
          <w:sz w:val="24"/>
          <w:szCs w:val="24"/>
        </w:rPr>
        <w:t xml:space="preserve">o significant difference was observed in </w:t>
      </w:r>
      <w:r w:rsidRPr="008C51C9">
        <w:rPr>
          <w:rFonts w:ascii="Times New Roman" w:hAnsi="Times New Roman" w:cs="Times New Roman"/>
          <w:sz w:val="24"/>
          <w:szCs w:val="24"/>
        </w:rPr>
        <w:t xml:space="preserve">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 experiencing different level of menstrual flow between both groups before treatment. Also, the average score between the test group (1.6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0.88) and the placebo group (1.84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1.01) was comparable before treatment.</w:t>
      </w:r>
      <w:r w:rsidR="00873B79" w:rsidRPr="008C51C9">
        <w:rPr>
          <w:rFonts w:ascii="Times New Roman" w:hAnsi="Times New Roman" w:cs="Times New Roman"/>
          <w:sz w:val="24"/>
          <w:szCs w:val="24"/>
        </w:rPr>
        <w:t xml:space="preserve"> </w:t>
      </w:r>
      <w:r w:rsidRPr="008C51C9">
        <w:rPr>
          <w:rFonts w:ascii="Times New Roman" w:hAnsi="Times New Roman" w:cs="Times New Roman"/>
          <w:sz w:val="24"/>
          <w:szCs w:val="24"/>
        </w:rPr>
        <w:t xml:space="preserve">Subsequent to treatment, number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experiencing regular menstrual flow (&lt;15 pads; nil) significantly increased in </w:t>
      </w:r>
      <w:r w:rsidR="00456EA8" w:rsidRPr="008C51C9">
        <w:rPr>
          <w:rFonts w:ascii="Times New Roman" w:hAnsi="Times New Roman" w:cs="Times New Roman"/>
          <w:sz w:val="24"/>
          <w:szCs w:val="24"/>
        </w:rPr>
        <w:t xml:space="preserve">test </w:t>
      </w:r>
      <w:r w:rsidRPr="008C51C9">
        <w:rPr>
          <w:rFonts w:ascii="Times New Roman" w:hAnsi="Times New Roman" w:cs="Times New Roman"/>
          <w:sz w:val="24"/>
          <w:szCs w:val="24"/>
        </w:rPr>
        <w:t>group (</w:t>
      </w:r>
      <w:r w:rsidR="00704545" w:rsidRPr="008C51C9">
        <w:rPr>
          <w:rFonts w:ascii="Times New Roman" w:hAnsi="Times New Roman" w:cs="Times New Roman"/>
          <w:sz w:val="24"/>
          <w:szCs w:val="24"/>
        </w:rPr>
        <w:t>before:</w:t>
      </w:r>
      <w:r w:rsidRPr="008C51C9">
        <w:rPr>
          <w:rFonts w:ascii="Times New Roman" w:hAnsi="Times New Roman" w:cs="Times New Roman"/>
          <w:sz w:val="24"/>
          <w:szCs w:val="24"/>
        </w:rPr>
        <w:t>8/50</w:t>
      </w:r>
      <w:r w:rsidR="00704545" w:rsidRPr="008C51C9">
        <w:rPr>
          <w:rFonts w:ascii="Times New Roman" w:hAnsi="Times New Roman" w:cs="Times New Roman"/>
          <w:sz w:val="24"/>
          <w:szCs w:val="24"/>
        </w:rPr>
        <w:t>; after:</w:t>
      </w:r>
      <w:r w:rsidRPr="008C51C9">
        <w:rPr>
          <w:rFonts w:ascii="Times New Roman" w:hAnsi="Times New Roman" w:cs="Times New Roman"/>
          <w:sz w:val="24"/>
          <w:szCs w:val="24"/>
        </w:rPr>
        <w:t>28/46)</w:t>
      </w:r>
      <w:r w:rsidR="009D2E89" w:rsidRPr="008C51C9">
        <w:rPr>
          <w:rFonts w:ascii="Times New Roman" w:hAnsi="Times New Roman" w:cs="Times New Roman"/>
          <w:sz w:val="24"/>
          <w:szCs w:val="24"/>
        </w:rPr>
        <w:t xml:space="preserve">  versus a decrease in number of participants with regular menstrual flow in placebo group (</w:t>
      </w:r>
      <w:r w:rsidR="00704545" w:rsidRPr="008C51C9">
        <w:rPr>
          <w:rFonts w:ascii="Times New Roman" w:hAnsi="Times New Roman" w:cs="Times New Roman"/>
          <w:sz w:val="24"/>
          <w:szCs w:val="24"/>
        </w:rPr>
        <w:t>before:</w:t>
      </w:r>
      <w:r w:rsidR="009D2E89" w:rsidRPr="008C51C9">
        <w:rPr>
          <w:rFonts w:ascii="Times New Roman" w:hAnsi="Times New Roman" w:cs="Times New Roman"/>
          <w:sz w:val="24"/>
          <w:szCs w:val="24"/>
        </w:rPr>
        <w:t>9/50</w:t>
      </w:r>
      <w:r w:rsidR="00704545" w:rsidRPr="008C51C9">
        <w:rPr>
          <w:rFonts w:ascii="Times New Roman" w:hAnsi="Times New Roman" w:cs="Times New Roman"/>
          <w:sz w:val="24"/>
          <w:szCs w:val="24"/>
        </w:rPr>
        <w:t>;</w:t>
      </w:r>
      <w:r w:rsidR="009D2E89" w:rsidRPr="008C51C9">
        <w:rPr>
          <w:rFonts w:ascii="Times New Roman" w:hAnsi="Times New Roman" w:cs="Times New Roman"/>
          <w:sz w:val="24"/>
          <w:szCs w:val="24"/>
        </w:rPr>
        <w:t xml:space="preserve"> </w:t>
      </w:r>
      <w:r w:rsidR="00704545" w:rsidRPr="008C51C9">
        <w:rPr>
          <w:rFonts w:ascii="Times New Roman" w:hAnsi="Times New Roman" w:cs="Times New Roman"/>
          <w:sz w:val="24"/>
          <w:szCs w:val="24"/>
        </w:rPr>
        <w:t>after:</w:t>
      </w:r>
      <w:r w:rsidR="009D2E89" w:rsidRPr="008C51C9">
        <w:rPr>
          <w:rFonts w:ascii="Times New Roman" w:hAnsi="Times New Roman" w:cs="Times New Roman"/>
          <w:sz w:val="24"/>
          <w:szCs w:val="24"/>
        </w:rPr>
        <w:t>4/47)</w:t>
      </w:r>
      <w:r w:rsidR="00FF3F04" w:rsidRPr="008C51C9">
        <w:rPr>
          <w:rFonts w:ascii="Times New Roman" w:hAnsi="Times New Roman" w:cs="Times New Roman"/>
          <w:sz w:val="24"/>
          <w:szCs w:val="24"/>
        </w:rPr>
        <w:t xml:space="preserve"> and </w:t>
      </w:r>
      <w:r w:rsidRPr="008C51C9">
        <w:rPr>
          <w:rFonts w:ascii="Times New Roman" w:hAnsi="Times New Roman" w:cs="Times New Roman"/>
          <w:sz w:val="24"/>
          <w:szCs w:val="24"/>
        </w:rPr>
        <w:t>was found statistically significant (p&lt;0.0</w:t>
      </w:r>
      <w:r w:rsidR="00456EA8" w:rsidRPr="008C51C9">
        <w:rPr>
          <w:rFonts w:ascii="Times New Roman" w:hAnsi="Times New Roman" w:cs="Times New Roman"/>
          <w:sz w:val="24"/>
          <w:szCs w:val="24"/>
        </w:rPr>
        <w:t>1</w:t>
      </w:r>
      <w:r w:rsidRPr="008C51C9">
        <w:rPr>
          <w:rFonts w:ascii="Times New Roman" w:hAnsi="Times New Roman" w:cs="Times New Roman"/>
          <w:sz w:val="24"/>
          <w:szCs w:val="24"/>
        </w:rPr>
        <w:t xml:space="preserve">). </w:t>
      </w:r>
      <w:r w:rsidR="00456EA8" w:rsidRPr="008C51C9">
        <w:rPr>
          <w:rFonts w:ascii="Times New Roman" w:hAnsi="Times New Roman" w:cs="Times New Roman"/>
          <w:sz w:val="24"/>
          <w:szCs w:val="24"/>
        </w:rPr>
        <w:t>N</w:t>
      </w:r>
      <w:r w:rsidRPr="008C51C9">
        <w:rPr>
          <w:rFonts w:ascii="Times New Roman" w:hAnsi="Times New Roman" w:cs="Times New Roman"/>
          <w:sz w:val="24"/>
          <w:szCs w:val="24"/>
        </w:rPr>
        <w:t xml:space="preserve">umber of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with </w:t>
      </w:r>
      <w:r w:rsidR="00140EC1" w:rsidRPr="008C51C9">
        <w:rPr>
          <w:rFonts w:ascii="Times New Roman" w:hAnsi="Times New Roman" w:cs="Times New Roman"/>
          <w:sz w:val="24"/>
          <w:szCs w:val="24"/>
        </w:rPr>
        <w:t>moderate</w:t>
      </w:r>
      <w:r w:rsidRPr="008C51C9">
        <w:rPr>
          <w:rFonts w:ascii="Times New Roman" w:hAnsi="Times New Roman" w:cs="Times New Roman"/>
          <w:sz w:val="24"/>
          <w:szCs w:val="24"/>
        </w:rPr>
        <w:t xml:space="preserve"> menstrual bleeding showed significant improvement </w:t>
      </w:r>
      <w:r w:rsidR="00140EC1" w:rsidRPr="008C51C9">
        <w:rPr>
          <w:rFonts w:ascii="Times New Roman" w:hAnsi="Times New Roman" w:cs="Times New Roman"/>
          <w:sz w:val="24"/>
          <w:szCs w:val="24"/>
        </w:rPr>
        <w:t xml:space="preserve">(p&lt;0.01) </w:t>
      </w:r>
      <w:r w:rsidRPr="008C51C9">
        <w:rPr>
          <w:rFonts w:ascii="Times New Roman" w:hAnsi="Times New Roman" w:cs="Times New Roman"/>
          <w:sz w:val="24"/>
          <w:szCs w:val="24"/>
        </w:rPr>
        <w:t xml:space="preserve">after test </w:t>
      </w:r>
      <w:r w:rsidR="0017731F" w:rsidRPr="008C51C9">
        <w:rPr>
          <w:rFonts w:ascii="Times New Roman" w:hAnsi="Times New Roman" w:cs="Times New Roman"/>
          <w:sz w:val="24"/>
          <w:szCs w:val="24"/>
        </w:rPr>
        <w:t>oil</w:t>
      </w:r>
      <w:r w:rsidR="00915E6F">
        <w:rPr>
          <w:rFonts w:ascii="Times New Roman" w:hAnsi="Times New Roman" w:cs="Times New Roman"/>
          <w:sz w:val="24"/>
          <w:szCs w:val="24"/>
        </w:rPr>
        <w:t xml:space="preserve"> treatment</w:t>
      </w:r>
      <w:r w:rsidR="00140EC1" w:rsidRPr="008C51C9">
        <w:rPr>
          <w:rFonts w:ascii="Times New Roman" w:hAnsi="Times New Roman" w:cs="Times New Roman"/>
          <w:sz w:val="24"/>
          <w:szCs w:val="24"/>
        </w:rPr>
        <w:t xml:space="preserve"> though same results were recorded for severe condition in both test and placebo groups</w:t>
      </w:r>
      <w:r w:rsidR="00704545" w:rsidRPr="008C51C9">
        <w:rPr>
          <w:rFonts w:ascii="Times New Roman" w:hAnsi="Times New Roman" w:cs="Times New Roman"/>
          <w:sz w:val="24"/>
          <w:szCs w:val="24"/>
        </w:rPr>
        <w:t>.</w:t>
      </w:r>
      <w:r w:rsidRPr="008C51C9">
        <w:rPr>
          <w:rFonts w:ascii="Times New Roman" w:hAnsi="Times New Roman" w:cs="Times New Roman"/>
          <w:sz w:val="24"/>
          <w:szCs w:val="24"/>
        </w:rPr>
        <w:t xml:space="preserve"> After treatment, the average score for test group showed significant decrease (0.5</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0.69) as compared to placebo group (1.66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0.81)</w:t>
      </w:r>
      <w:r w:rsidR="00704545" w:rsidRPr="008C51C9">
        <w:rPr>
          <w:rFonts w:ascii="Times New Roman" w:hAnsi="Times New Roman" w:cs="Times New Roman"/>
          <w:sz w:val="24"/>
          <w:szCs w:val="24"/>
        </w:rPr>
        <w:t xml:space="preserve"> indicating </w:t>
      </w:r>
      <w:r w:rsidRPr="008C51C9">
        <w:rPr>
          <w:rFonts w:ascii="Times New Roman" w:hAnsi="Times New Roman" w:cs="Times New Roman"/>
          <w:sz w:val="24"/>
          <w:szCs w:val="24"/>
        </w:rPr>
        <w:t xml:space="preserve">a </w:t>
      </w:r>
      <w:r w:rsidR="00704545" w:rsidRPr="008C51C9">
        <w:rPr>
          <w:rFonts w:ascii="Times New Roman" w:hAnsi="Times New Roman" w:cs="Times New Roman"/>
          <w:sz w:val="24"/>
          <w:szCs w:val="24"/>
        </w:rPr>
        <w:t xml:space="preserve">statistically </w:t>
      </w:r>
      <w:r w:rsidRPr="008C51C9">
        <w:rPr>
          <w:rFonts w:ascii="Times New Roman" w:hAnsi="Times New Roman" w:cs="Times New Roman"/>
          <w:sz w:val="24"/>
          <w:szCs w:val="24"/>
        </w:rPr>
        <w:t>significant improvement in regulating the amount of menstrual bleeding (p&lt;0.05)</w:t>
      </w:r>
      <w:r w:rsidR="00704545" w:rsidRPr="008C51C9">
        <w:rPr>
          <w:rFonts w:ascii="Times New Roman" w:hAnsi="Times New Roman" w:cs="Times New Roman"/>
          <w:sz w:val="24"/>
          <w:szCs w:val="24"/>
        </w:rPr>
        <w:t xml:space="preserve"> in test group</w:t>
      </w:r>
      <w:r w:rsidRPr="008C51C9">
        <w:rPr>
          <w:rFonts w:ascii="Times New Roman" w:hAnsi="Times New Roman" w:cs="Times New Roman"/>
          <w:sz w:val="24"/>
          <w:szCs w:val="24"/>
        </w:rPr>
        <w:t>.</w:t>
      </w:r>
      <w:r w:rsidR="00873B79" w:rsidRPr="008C51C9">
        <w:rPr>
          <w:rFonts w:ascii="Times New Roman" w:hAnsi="Times New Roman" w:cs="Times New Roman"/>
          <w:sz w:val="24"/>
          <w:szCs w:val="24"/>
        </w:rPr>
        <w:t xml:space="preserve"> </w:t>
      </w:r>
    </w:p>
    <w:p w14:paraId="2CABABBA" w14:textId="77777777" w:rsidR="00052553" w:rsidRPr="008C51C9" w:rsidRDefault="00052553" w:rsidP="00052553">
      <w:pPr>
        <w:jc w:val="both"/>
        <w:rPr>
          <w:rFonts w:ascii="Times New Roman" w:hAnsi="Times New Roman" w:cs="Times New Roman"/>
          <w:sz w:val="24"/>
          <w:szCs w:val="24"/>
        </w:rPr>
      </w:pPr>
      <w:r w:rsidRPr="0049249B">
        <w:rPr>
          <w:rFonts w:ascii="Times New Roman" w:hAnsi="Times New Roman" w:cs="Times New Roman"/>
          <w:b/>
          <w:sz w:val="24"/>
          <w:szCs w:val="24"/>
        </w:rPr>
        <w:t>Pain</w:t>
      </w:r>
      <w:r w:rsidR="00236223" w:rsidRPr="0049249B">
        <w:rPr>
          <w:rFonts w:ascii="Times New Roman" w:hAnsi="Times New Roman" w:cs="Times New Roman"/>
          <w:b/>
          <w:sz w:val="24"/>
          <w:szCs w:val="24"/>
        </w:rPr>
        <w:t xml:space="preserve"> during menses</w:t>
      </w:r>
      <w:r w:rsidRPr="0049249B">
        <w:rPr>
          <w:rFonts w:ascii="Times New Roman" w:hAnsi="Times New Roman" w:cs="Times New Roman"/>
          <w:b/>
          <w:sz w:val="24"/>
          <w:szCs w:val="24"/>
        </w:rPr>
        <w:t>:</w:t>
      </w:r>
      <w:r w:rsidRPr="008C51C9">
        <w:rPr>
          <w:rFonts w:ascii="Times New Roman" w:hAnsi="Times New Roman" w:cs="Times New Roman"/>
          <w:b/>
          <w:iCs/>
          <w:sz w:val="24"/>
          <w:szCs w:val="24"/>
        </w:rPr>
        <w:t xml:space="preserve"> </w:t>
      </w:r>
      <w:r w:rsidRPr="008C51C9">
        <w:rPr>
          <w:rFonts w:ascii="Times New Roman" w:hAnsi="Times New Roman" w:cs="Times New Roman"/>
          <w:iCs/>
          <w:sz w:val="24"/>
          <w:szCs w:val="24"/>
        </w:rPr>
        <w:t>Number of participants experiencing different level of menstrual pain based on VAS were comparable between groups before treatment. The average VAS-pain score of the test (1.86</w:t>
      </w:r>
      <w:r w:rsidRPr="008C51C9">
        <w:rPr>
          <w:rFonts w:ascii="Times New Roman" w:hAnsi="Times New Roman" w:cs="Times New Roman"/>
          <w:sz w:val="24"/>
          <w:szCs w:val="24"/>
        </w:rPr>
        <w:sym w:font="Symbol" w:char="F0B1"/>
      </w:r>
      <w:r w:rsidRPr="008C51C9">
        <w:rPr>
          <w:rFonts w:ascii="Times New Roman" w:hAnsi="Times New Roman" w:cs="Times New Roman"/>
          <w:iCs/>
          <w:sz w:val="24"/>
          <w:szCs w:val="24"/>
        </w:rPr>
        <w:t>0.639) and placebo (1.8</w:t>
      </w:r>
      <w:r w:rsidRPr="008C51C9">
        <w:rPr>
          <w:rFonts w:ascii="Times New Roman" w:hAnsi="Times New Roman" w:cs="Times New Roman"/>
          <w:sz w:val="24"/>
          <w:szCs w:val="24"/>
        </w:rPr>
        <w:sym w:font="Symbol" w:char="F0B1"/>
      </w:r>
      <w:r w:rsidRPr="008C51C9">
        <w:rPr>
          <w:rFonts w:ascii="Times New Roman" w:hAnsi="Times New Roman" w:cs="Times New Roman"/>
          <w:iCs/>
          <w:sz w:val="24"/>
          <w:szCs w:val="24"/>
        </w:rPr>
        <w:t>0.72</w:t>
      </w:r>
      <w:r w:rsidR="001A2593" w:rsidRPr="008C51C9">
        <w:rPr>
          <w:rFonts w:ascii="Times New Roman" w:hAnsi="Times New Roman" w:cs="Times New Roman"/>
          <w:iCs/>
          <w:sz w:val="24"/>
          <w:szCs w:val="24"/>
        </w:rPr>
        <w:t>8</w:t>
      </w:r>
      <w:r w:rsidRPr="008C51C9">
        <w:rPr>
          <w:rFonts w:ascii="Times New Roman" w:hAnsi="Times New Roman" w:cs="Times New Roman"/>
          <w:iCs/>
          <w:sz w:val="24"/>
          <w:szCs w:val="24"/>
        </w:rPr>
        <w:t>) group was also comparable before treatment. Subsequent to treatment, number of participants experiencing no pain (nil) significantly increased in test group (</w:t>
      </w:r>
      <w:r w:rsidR="006574F2" w:rsidRPr="008C51C9">
        <w:rPr>
          <w:rFonts w:ascii="Times New Roman" w:hAnsi="Times New Roman" w:cs="Times New Roman"/>
          <w:iCs/>
          <w:sz w:val="24"/>
          <w:szCs w:val="24"/>
        </w:rPr>
        <w:t>before:</w:t>
      </w:r>
      <w:r w:rsidRPr="008C51C9">
        <w:rPr>
          <w:rFonts w:ascii="Times New Roman" w:hAnsi="Times New Roman" w:cs="Times New Roman"/>
          <w:iCs/>
          <w:sz w:val="24"/>
          <w:szCs w:val="24"/>
        </w:rPr>
        <w:t>10/50</w:t>
      </w:r>
      <w:r w:rsidR="006574F2" w:rsidRPr="008C51C9">
        <w:rPr>
          <w:rFonts w:ascii="Times New Roman" w:hAnsi="Times New Roman" w:cs="Times New Roman"/>
          <w:iCs/>
          <w:sz w:val="24"/>
          <w:szCs w:val="24"/>
        </w:rPr>
        <w:t>; after:</w:t>
      </w:r>
      <w:r w:rsidRPr="008C51C9">
        <w:rPr>
          <w:rFonts w:ascii="Times New Roman" w:hAnsi="Times New Roman" w:cs="Times New Roman"/>
          <w:iCs/>
          <w:sz w:val="24"/>
          <w:szCs w:val="24"/>
        </w:rPr>
        <w:t xml:space="preserve">28/46; p&lt;0.05); this effect was not </w:t>
      </w:r>
      <w:r w:rsidR="001A2593" w:rsidRPr="008C51C9">
        <w:rPr>
          <w:rFonts w:ascii="Times New Roman" w:hAnsi="Times New Roman" w:cs="Times New Roman"/>
          <w:iCs/>
          <w:sz w:val="24"/>
          <w:szCs w:val="24"/>
        </w:rPr>
        <w:t>measurable</w:t>
      </w:r>
      <w:r w:rsidRPr="008C51C9">
        <w:rPr>
          <w:rFonts w:ascii="Times New Roman" w:hAnsi="Times New Roman" w:cs="Times New Roman"/>
          <w:iCs/>
          <w:sz w:val="24"/>
          <w:szCs w:val="24"/>
        </w:rPr>
        <w:t xml:space="preserve"> in placebo group</w:t>
      </w:r>
      <w:r w:rsidR="001A2593" w:rsidRPr="008C51C9">
        <w:rPr>
          <w:rFonts w:ascii="Times New Roman" w:hAnsi="Times New Roman" w:cs="Times New Roman"/>
          <w:iCs/>
          <w:sz w:val="24"/>
          <w:szCs w:val="24"/>
        </w:rPr>
        <w:t xml:space="preserve"> due to no participant in nil grade</w:t>
      </w:r>
      <w:r w:rsidRPr="008C51C9">
        <w:rPr>
          <w:rFonts w:ascii="Times New Roman" w:hAnsi="Times New Roman" w:cs="Times New Roman"/>
          <w:iCs/>
          <w:sz w:val="24"/>
          <w:szCs w:val="24"/>
        </w:rPr>
        <w:t>. A smaller, albeit significant increase in the number of participants experiencing mild menstrual pain was observed only in the test group after the treatment (</w:t>
      </w:r>
      <w:r w:rsidR="006574F2" w:rsidRPr="008C51C9">
        <w:rPr>
          <w:rFonts w:ascii="Times New Roman" w:hAnsi="Times New Roman" w:cs="Times New Roman"/>
          <w:iCs/>
          <w:sz w:val="24"/>
          <w:szCs w:val="24"/>
        </w:rPr>
        <w:t>before:</w:t>
      </w:r>
      <w:r w:rsidRPr="008C51C9">
        <w:rPr>
          <w:rFonts w:ascii="Times New Roman" w:hAnsi="Times New Roman" w:cs="Times New Roman"/>
          <w:iCs/>
          <w:sz w:val="24"/>
          <w:szCs w:val="24"/>
        </w:rPr>
        <w:t>4/50</w:t>
      </w:r>
      <w:r w:rsidR="006574F2" w:rsidRPr="008C51C9">
        <w:rPr>
          <w:rFonts w:ascii="Times New Roman" w:hAnsi="Times New Roman" w:cs="Times New Roman"/>
          <w:iCs/>
          <w:sz w:val="24"/>
          <w:szCs w:val="24"/>
        </w:rPr>
        <w:t>; after:</w:t>
      </w:r>
      <w:r w:rsidRPr="008C51C9">
        <w:rPr>
          <w:rFonts w:ascii="Times New Roman" w:hAnsi="Times New Roman" w:cs="Times New Roman"/>
          <w:iCs/>
          <w:sz w:val="24"/>
          <w:szCs w:val="24"/>
        </w:rPr>
        <w:t xml:space="preserve">12/46). </w:t>
      </w:r>
      <w:r w:rsidR="001A2593" w:rsidRPr="008C51C9">
        <w:rPr>
          <w:rFonts w:ascii="Times New Roman" w:hAnsi="Times New Roman" w:cs="Times New Roman"/>
          <w:iCs/>
          <w:sz w:val="24"/>
          <w:szCs w:val="24"/>
        </w:rPr>
        <w:t>Further</w:t>
      </w:r>
      <w:r w:rsidRPr="008C51C9">
        <w:rPr>
          <w:rFonts w:ascii="Times New Roman" w:hAnsi="Times New Roman" w:cs="Times New Roman"/>
          <w:iCs/>
          <w:sz w:val="24"/>
          <w:szCs w:val="24"/>
        </w:rPr>
        <w:t xml:space="preserve">, number of participants experiencing increased level of menstrual pain (moderate and severe) showed significant decrease after </w:t>
      </w:r>
      <w:r w:rsidR="00D07672">
        <w:rPr>
          <w:rFonts w:ascii="Times New Roman" w:hAnsi="Times New Roman" w:cs="Times New Roman"/>
          <w:iCs/>
          <w:sz w:val="24"/>
          <w:szCs w:val="24"/>
        </w:rPr>
        <w:t xml:space="preserve">test oil </w:t>
      </w:r>
      <w:r w:rsidRPr="008C51C9">
        <w:rPr>
          <w:rFonts w:ascii="Times New Roman" w:hAnsi="Times New Roman" w:cs="Times New Roman"/>
          <w:iCs/>
          <w:sz w:val="24"/>
          <w:szCs w:val="24"/>
        </w:rPr>
        <w:t xml:space="preserve">treatment; no such difference was observed after </w:t>
      </w:r>
      <w:r w:rsidR="00D07672">
        <w:rPr>
          <w:rFonts w:ascii="Times New Roman" w:hAnsi="Times New Roman" w:cs="Times New Roman"/>
          <w:iCs/>
          <w:sz w:val="24"/>
          <w:szCs w:val="24"/>
        </w:rPr>
        <w:t xml:space="preserve">placebo </w:t>
      </w:r>
      <w:r w:rsidRPr="008C51C9">
        <w:rPr>
          <w:rFonts w:ascii="Times New Roman" w:hAnsi="Times New Roman" w:cs="Times New Roman"/>
          <w:iCs/>
          <w:sz w:val="24"/>
          <w:szCs w:val="24"/>
        </w:rPr>
        <w:t xml:space="preserve">treatment. </w:t>
      </w:r>
      <w:r w:rsidR="001A2593" w:rsidRPr="008C51C9">
        <w:rPr>
          <w:rFonts w:ascii="Times New Roman" w:hAnsi="Times New Roman" w:cs="Times New Roman"/>
          <w:iCs/>
          <w:sz w:val="24"/>
          <w:szCs w:val="24"/>
        </w:rPr>
        <w:t>Comparison of a</w:t>
      </w:r>
      <w:r w:rsidRPr="008C51C9">
        <w:rPr>
          <w:rFonts w:ascii="Times New Roman" w:hAnsi="Times New Roman" w:cs="Times New Roman"/>
          <w:iCs/>
          <w:sz w:val="24"/>
          <w:szCs w:val="24"/>
        </w:rPr>
        <w:t xml:space="preserve">verage VAS-pain scores </w:t>
      </w:r>
      <w:r w:rsidR="001A2593" w:rsidRPr="008C51C9">
        <w:rPr>
          <w:rFonts w:ascii="Times New Roman" w:hAnsi="Times New Roman" w:cs="Times New Roman"/>
          <w:iCs/>
          <w:sz w:val="24"/>
          <w:szCs w:val="24"/>
        </w:rPr>
        <w:t xml:space="preserve">indicated </w:t>
      </w:r>
      <w:r w:rsidRPr="008C51C9">
        <w:rPr>
          <w:rFonts w:ascii="Times New Roman" w:hAnsi="Times New Roman" w:cs="Times New Roman"/>
          <w:iCs/>
          <w:sz w:val="24"/>
          <w:szCs w:val="24"/>
        </w:rPr>
        <w:t>that</w:t>
      </w:r>
      <w:r w:rsidRPr="008C51C9">
        <w:rPr>
          <w:rFonts w:ascii="Times New Roman" w:hAnsi="Times New Roman" w:cs="Times New Roman"/>
          <w:sz w:val="24"/>
          <w:szCs w:val="24"/>
        </w:rPr>
        <w:t xml:space="preserve"> test group showed significant decrease (p&lt;0.05) in the average score (0.54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0.78) subsequent to treatment whereas the average VAS-pain remained </w:t>
      </w:r>
      <w:r w:rsidR="00D07672">
        <w:rPr>
          <w:rFonts w:ascii="Times New Roman" w:hAnsi="Times New Roman" w:cs="Times New Roman"/>
          <w:sz w:val="24"/>
          <w:szCs w:val="24"/>
        </w:rPr>
        <w:t xml:space="preserve">almost </w:t>
      </w:r>
      <w:r w:rsidRPr="008C51C9">
        <w:rPr>
          <w:rFonts w:ascii="Times New Roman" w:hAnsi="Times New Roman" w:cs="Times New Roman"/>
          <w:sz w:val="24"/>
          <w:szCs w:val="24"/>
        </w:rPr>
        <w:t xml:space="preserve">unchanged before and after treatment in </w:t>
      </w:r>
      <w:r w:rsidR="006574F2" w:rsidRPr="008C51C9">
        <w:rPr>
          <w:rFonts w:ascii="Times New Roman" w:hAnsi="Times New Roman" w:cs="Times New Roman"/>
          <w:sz w:val="24"/>
          <w:szCs w:val="24"/>
        </w:rPr>
        <w:t>placebo</w:t>
      </w:r>
      <w:r w:rsidRPr="008C51C9">
        <w:rPr>
          <w:rFonts w:ascii="Times New Roman" w:hAnsi="Times New Roman" w:cs="Times New Roman"/>
          <w:sz w:val="24"/>
          <w:szCs w:val="24"/>
        </w:rPr>
        <w:t xml:space="preserve"> group (2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0.69).</w:t>
      </w:r>
    </w:p>
    <w:p w14:paraId="50E7B6C4" w14:textId="77777777" w:rsidR="00B81685" w:rsidRPr="008C51C9" w:rsidRDefault="00B81685" w:rsidP="000B42F5">
      <w:pPr>
        <w:spacing w:after="240"/>
        <w:jc w:val="both"/>
        <w:rPr>
          <w:rFonts w:ascii="Times New Roman" w:hAnsi="Times New Roman" w:cs="Times New Roman"/>
          <w:iCs/>
          <w:sz w:val="24"/>
          <w:szCs w:val="24"/>
        </w:rPr>
      </w:pPr>
      <w:r w:rsidRPr="008C51C9">
        <w:rPr>
          <w:rFonts w:ascii="Times New Roman" w:hAnsi="Times New Roman" w:cs="Times New Roman"/>
          <w:sz w:val="24"/>
          <w:szCs w:val="24"/>
        </w:rPr>
        <w:t>The average composite score between test group (7.06</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1.73) and placebo group (7.22 </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1.96) was comparable before treatment.</w:t>
      </w:r>
      <w:r w:rsidR="00873B79" w:rsidRPr="008C51C9">
        <w:rPr>
          <w:rFonts w:ascii="Times New Roman" w:hAnsi="Times New Roman" w:cs="Times New Roman"/>
          <w:sz w:val="24"/>
          <w:szCs w:val="24"/>
        </w:rPr>
        <w:t xml:space="preserve"> </w:t>
      </w:r>
      <w:r w:rsidRPr="008C51C9">
        <w:rPr>
          <w:rFonts w:ascii="Times New Roman" w:hAnsi="Times New Roman" w:cs="Times New Roman"/>
          <w:sz w:val="24"/>
          <w:szCs w:val="24"/>
        </w:rPr>
        <w:t>After treatment, test group showed significant decrease</w:t>
      </w:r>
      <w:r w:rsidR="001A2593" w:rsidRPr="008C51C9">
        <w:rPr>
          <w:rFonts w:ascii="Times New Roman" w:hAnsi="Times New Roman" w:cs="Times New Roman"/>
          <w:sz w:val="24"/>
          <w:szCs w:val="24"/>
        </w:rPr>
        <w:t xml:space="preserve"> (p&lt;0.01)</w:t>
      </w:r>
      <w:r w:rsidRPr="008C51C9">
        <w:rPr>
          <w:rFonts w:ascii="Times New Roman" w:hAnsi="Times New Roman" w:cs="Times New Roman"/>
          <w:sz w:val="24"/>
          <w:szCs w:val="24"/>
        </w:rPr>
        <w:t xml:space="preserve"> in the average composite score (2.34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1.32) whereas no difference was observed in placebo group (7.2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1.35). Th</w:t>
      </w:r>
      <w:r w:rsidR="000B22EE" w:rsidRPr="008C51C9">
        <w:rPr>
          <w:rFonts w:ascii="Times New Roman" w:hAnsi="Times New Roman" w:cs="Times New Roman"/>
          <w:sz w:val="24"/>
          <w:szCs w:val="24"/>
        </w:rPr>
        <w:t xml:space="preserve">is </w:t>
      </w:r>
      <w:r w:rsidRPr="008C51C9">
        <w:rPr>
          <w:rFonts w:ascii="Times New Roman" w:hAnsi="Times New Roman" w:cs="Times New Roman"/>
          <w:sz w:val="24"/>
          <w:szCs w:val="24"/>
        </w:rPr>
        <w:t xml:space="preserve">indicates that the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 xml:space="preserve">s in test group experienced a significant improvement in regulating all </w:t>
      </w:r>
      <w:r w:rsidR="00D07672">
        <w:rPr>
          <w:rFonts w:ascii="Times New Roman" w:hAnsi="Times New Roman" w:cs="Times New Roman"/>
          <w:sz w:val="24"/>
          <w:szCs w:val="24"/>
        </w:rPr>
        <w:t xml:space="preserve">the four </w:t>
      </w:r>
      <w:r w:rsidR="000B22EE" w:rsidRPr="008C51C9">
        <w:rPr>
          <w:rFonts w:ascii="Times New Roman" w:hAnsi="Times New Roman" w:cs="Times New Roman"/>
          <w:sz w:val="24"/>
          <w:szCs w:val="24"/>
        </w:rPr>
        <w:t xml:space="preserve">subjective </w:t>
      </w:r>
      <w:r w:rsidRPr="008C51C9">
        <w:rPr>
          <w:rFonts w:ascii="Times New Roman" w:hAnsi="Times New Roman" w:cs="Times New Roman"/>
          <w:sz w:val="24"/>
          <w:szCs w:val="24"/>
        </w:rPr>
        <w:t>symptoms associated with PCOS.</w:t>
      </w:r>
    </w:p>
    <w:p w14:paraId="645B5FE2" w14:textId="77777777" w:rsidR="00B81685" w:rsidRPr="008C51C9" w:rsidRDefault="00B81685" w:rsidP="00F83CE8">
      <w:pPr>
        <w:jc w:val="both"/>
        <w:rPr>
          <w:rFonts w:ascii="Times New Roman" w:hAnsi="Times New Roman" w:cs="Times New Roman"/>
          <w:sz w:val="24"/>
          <w:szCs w:val="24"/>
        </w:rPr>
      </w:pPr>
      <w:r w:rsidRPr="0049249B">
        <w:rPr>
          <w:rFonts w:ascii="Times New Roman" w:hAnsi="Times New Roman" w:cs="Times New Roman"/>
          <w:b/>
          <w:iCs/>
          <w:sz w:val="24"/>
          <w:szCs w:val="24"/>
        </w:rPr>
        <w:lastRenderedPageBreak/>
        <w:t>Hirsutism</w:t>
      </w:r>
      <w:r w:rsidR="00873B79" w:rsidRPr="0049249B">
        <w:rPr>
          <w:rFonts w:ascii="Times New Roman" w:hAnsi="Times New Roman" w:cs="Times New Roman"/>
          <w:b/>
          <w:iCs/>
          <w:sz w:val="24"/>
          <w:szCs w:val="24"/>
        </w:rPr>
        <w:t>:</w:t>
      </w:r>
      <w:r w:rsidRPr="008C51C9">
        <w:rPr>
          <w:rFonts w:ascii="Times New Roman" w:hAnsi="Times New Roman" w:cs="Times New Roman"/>
          <w:sz w:val="24"/>
          <w:szCs w:val="24"/>
        </w:rPr>
        <w:t xml:space="preserve"> </w:t>
      </w:r>
      <w:r w:rsidR="00E14DA7" w:rsidRPr="008C51C9">
        <w:rPr>
          <w:rFonts w:ascii="Times New Roman" w:hAnsi="Times New Roman" w:cs="Times New Roman"/>
          <w:sz w:val="24"/>
          <w:szCs w:val="24"/>
        </w:rPr>
        <w:t>T</w:t>
      </w:r>
      <w:r w:rsidRPr="008C51C9">
        <w:rPr>
          <w:rFonts w:ascii="Times New Roman" w:hAnsi="Times New Roman" w:cs="Times New Roman"/>
          <w:sz w:val="24"/>
          <w:szCs w:val="24"/>
        </w:rPr>
        <w:t xml:space="preserve">reatment with the test </w:t>
      </w:r>
      <w:r w:rsidR="00E14DA7" w:rsidRPr="008C51C9">
        <w:rPr>
          <w:rFonts w:ascii="Times New Roman" w:hAnsi="Times New Roman" w:cs="Times New Roman"/>
          <w:sz w:val="24"/>
          <w:szCs w:val="24"/>
        </w:rPr>
        <w:t>oil</w:t>
      </w:r>
      <w:r w:rsidRPr="008C51C9">
        <w:rPr>
          <w:rFonts w:ascii="Times New Roman" w:hAnsi="Times New Roman" w:cs="Times New Roman"/>
          <w:sz w:val="24"/>
          <w:szCs w:val="24"/>
        </w:rPr>
        <w:t xml:space="preserve"> resulted in significant decrease </w:t>
      </w:r>
      <w:r w:rsidR="00C57B41" w:rsidRPr="008C51C9">
        <w:rPr>
          <w:rFonts w:ascii="Times New Roman" w:hAnsi="Times New Roman" w:cs="Times New Roman"/>
          <w:sz w:val="24"/>
          <w:szCs w:val="24"/>
        </w:rPr>
        <w:t>(before:10.06</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3.45</w:t>
      </w:r>
      <w:r w:rsidR="00981EA8"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after:8.30</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 xml:space="preserve">3.36) </w:t>
      </w:r>
      <w:r w:rsidRPr="008C51C9">
        <w:rPr>
          <w:rFonts w:ascii="Times New Roman" w:hAnsi="Times New Roman" w:cs="Times New Roman"/>
          <w:sz w:val="24"/>
          <w:szCs w:val="24"/>
        </w:rPr>
        <w:t>in hirsutism (p&lt;0.05)</w:t>
      </w:r>
      <w:r w:rsidR="00C57B41" w:rsidRPr="008C51C9">
        <w:rPr>
          <w:rFonts w:ascii="Times New Roman" w:hAnsi="Times New Roman" w:cs="Times New Roman"/>
          <w:sz w:val="24"/>
          <w:szCs w:val="24"/>
        </w:rPr>
        <w:t xml:space="preserve"> in comparison to placebo group (before:9.48</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3.29</w:t>
      </w:r>
      <w:r w:rsidR="00981EA8" w:rsidRPr="008C51C9">
        <w:rPr>
          <w:rFonts w:ascii="Times New Roman" w:hAnsi="Times New Roman" w:cs="Times New Roman"/>
          <w:sz w:val="24"/>
          <w:szCs w:val="24"/>
        </w:rPr>
        <w:t>;</w:t>
      </w:r>
      <w:r w:rsidR="00C57B41" w:rsidRPr="008C51C9">
        <w:rPr>
          <w:rFonts w:ascii="Times New Roman" w:hAnsi="Times New Roman" w:cs="Times New Roman"/>
          <w:sz w:val="24"/>
          <w:szCs w:val="24"/>
        </w:rPr>
        <w:t xml:space="preserve"> after:9.36</w:t>
      </w:r>
      <w:r w:rsidR="00C57B41" w:rsidRPr="008C51C9">
        <w:rPr>
          <w:rFonts w:ascii="Times New Roman" w:hAnsi="Times New Roman" w:cs="Times New Roman"/>
          <w:sz w:val="24"/>
          <w:szCs w:val="24"/>
        </w:rPr>
        <w:sym w:font="Symbol" w:char="F0B1"/>
      </w:r>
      <w:r w:rsidR="00C57B41" w:rsidRPr="008C51C9">
        <w:rPr>
          <w:rFonts w:ascii="Times New Roman" w:hAnsi="Times New Roman" w:cs="Times New Roman"/>
          <w:sz w:val="24"/>
          <w:szCs w:val="24"/>
        </w:rPr>
        <w:t>2.95)</w:t>
      </w:r>
      <w:r w:rsidRPr="008C51C9">
        <w:rPr>
          <w:rFonts w:ascii="Times New Roman" w:hAnsi="Times New Roman" w:cs="Times New Roman"/>
          <w:sz w:val="24"/>
          <w:szCs w:val="24"/>
        </w:rPr>
        <w:t>.</w:t>
      </w:r>
    </w:p>
    <w:p w14:paraId="207A4369" w14:textId="77777777" w:rsidR="00B81685" w:rsidRPr="008C51C9" w:rsidRDefault="00B81685" w:rsidP="00F83CE8">
      <w:pPr>
        <w:jc w:val="both"/>
        <w:rPr>
          <w:rFonts w:ascii="Times New Roman" w:hAnsi="Times New Roman" w:cs="Times New Roman"/>
          <w:sz w:val="24"/>
          <w:szCs w:val="24"/>
        </w:rPr>
      </w:pPr>
      <w:r w:rsidRPr="0049249B">
        <w:rPr>
          <w:rFonts w:ascii="Times New Roman" w:hAnsi="Times New Roman" w:cs="Times New Roman"/>
          <w:b/>
          <w:iCs/>
          <w:sz w:val="24"/>
          <w:szCs w:val="24"/>
        </w:rPr>
        <w:t>Ovarian volume</w:t>
      </w:r>
      <w:r w:rsidRPr="0049249B">
        <w:rPr>
          <w:rFonts w:ascii="Times New Roman" w:hAnsi="Times New Roman" w:cs="Times New Roman"/>
          <w:iCs/>
          <w:sz w:val="24"/>
          <w:szCs w:val="24"/>
        </w:rPr>
        <w:t>:</w:t>
      </w:r>
      <w:r w:rsidRPr="008C51C9">
        <w:rPr>
          <w:rFonts w:ascii="Times New Roman" w:hAnsi="Times New Roman" w:cs="Times New Roman"/>
          <w:sz w:val="24"/>
          <w:szCs w:val="24"/>
        </w:rPr>
        <w:t xml:space="preserve"> Prior to treatment, the ovarian volume of the right ovary in test group (18.13</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1.6) and that of placebo group (19.52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1.54) </w:t>
      </w:r>
      <w:r w:rsidR="00560B82" w:rsidRPr="008C51C9">
        <w:rPr>
          <w:rFonts w:ascii="Times New Roman" w:hAnsi="Times New Roman" w:cs="Times New Roman"/>
          <w:sz w:val="24"/>
          <w:szCs w:val="24"/>
        </w:rPr>
        <w:t>was</w:t>
      </w:r>
      <w:r w:rsidRPr="008C51C9">
        <w:rPr>
          <w:rFonts w:ascii="Times New Roman" w:hAnsi="Times New Roman" w:cs="Times New Roman"/>
          <w:sz w:val="24"/>
          <w:szCs w:val="24"/>
        </w:rPr>
        <w:t xml:space="preserve"> comparable. Similarly, the ovarian volume of the left ovary in test group (14.95</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1.4) and that of placebo group (18.88</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 xml:space="preserve">1.52) was found comparable. Subsequent to treatment with test </w:t>
      </w:r>
      <w:r w:rsidR="0004252C" w:rsidRPr="008C51C9">
        <w:rPr>
          <w:rFonts w:ascii="Times New Roman" w:hAnsi="Times New Roman" w:cs="Times New Roman"/>
          <w:sz w:val="24"/>
          <w:szCs w:val="24"/>
        </w:rPr>
        <w:t>oil</w:t>
      </w:r>
      <w:r w:rsidRPr="008C51C9">
        <w:rPr>
          <w:rFonts w:ascii="Times New Roman" w:hAnsi="Times New Roman" w:cs="Times New Roman"/>
          <w:sz w:val="24"/>
          <w:szCs w:val="24"/>
        </w:rPr>
        <w:t xml:space="preserve">, ovarian volume significantly </w:t>
      </w:r>
      <w:r w:rsidR="00560B82" w:rsidRPr="008C51C9">
        <w:rPr>
          <w:rFonts w:ascii="Times New Roman" w:hAnsi="Times New Roman" w:cs="Times New Roman"/>
          <w:sz w:val="24"/>
          <w:szCs w:val="24"/>
        </w:rPr>
        <w:t xml:space="preserve">(p&lt;0.05) </w:t>
      </w:r>
      <w:r w:rsidRPr="008C51C9">
        <w:rPr>
          <w:rFonts w:ascii="Times New Roman" w:hAnsi="Times New Roman" w:cs="Times New Roman"/>
          <w:sz w:val="24"/>
          <w:szCs w:val="24"/>
        </w:rPr>
        <w:t>decreased in both right (12.44</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1.2) and left (9.52</w:t>
      </w:r>
      <w:r w:rsidRPr="008C51C9">
        <w:rPr>
          <w:rFonts w:ascii="Times New Roman" w:hAnsi="Times New Roman" w:cs="Times New Roman"/>
          <w:sz w:val="24"/>
          <w:szCs w:val="24"/>
        </w:rPr>
        <w:sym w:font="Symbol" w:char="F0B1"/>
      </w:r>
      <w:r w:rsidRPr="008C51C9">
        <w:rPr>
          <w:rFonts w:ascii="Times New Roman" w:hAnsi="Times New Roman" w:cs="Times New Roman"/>
          <w:sz w:val="24"/>
          <w:szCs w:val="24"/>
        </w:rPr>
        <w:t>1.03) ovar</w:t>
      </w:r>
      <w:r w:rsidR="00981EA8" w:rsidRPr="008C51C9">
        <w:rPr>
          <w:rFonts w:ascii="Times New Roman" w:hAnsi="Times New Roman" w:cs="Times New Roman"/>
          <w:sz w:val="24"/>
          <w:szCs w:val="24"/>
        </w:rPr>
        <w:t>ies</w:t>
      </w:r>
      <w:r w:rsidR="00560B82" w:rsidRPr="008C51C9">
        <w:rPr>
          <w:rFonts w:ascii="Times New Roman" w:hAnsi="Times New Roman" w:cs="Times New Roman"/>
          <w:sz w:val="24"/>
          <w:szCs w:val="24"/>
        </w:rPr>
        <w:t xml:space="preserve">. However, in </w:t>
      </w:r>
      <w:r w:rsidRPr="008C51C9">
        <w:rPr>
          <w:rFonts w:ascii="Times New Roman" w:hAnsi="Times New Roman" w:cs="Times New Roman"/>
          <w:sz w:val="24"/>
          <w:szCs w:val="24"/>
        </w:rPr>
        <w:t>placebo group</w:t>
      </w:r>
      <w:r w:rsidR="00560B82" w:rsidRPr="008C51C9">
        <w:rPr>
          <w:rFonts w:ascii="Times New Roman" w:hAnsi="Times New Roman" w:cs="Times New Roman"/>
          <w:sz w:val="24"/>
          <w:szCs w:val="24"/>
        </w:rPr>
        <w:t xml:space="preserve"> the ovarian volume increased (right:20.73</w:t>
      </w:r>
      <w:r w:rsidR="00560B82" w:rsidRPr="008C51C9">
        <w:rPr>
          <w:rFonts w:ascii="Times New Roman" w:hAnsi="Times New Roman" w:cs="Times New Roman"/>
          <w:sz w:val="24"/>
          <w:szCs w:val="24"/>
        </w:rPr>
        <w:sym w:font="Symbol" w:char="F0B1"/>
      </w:r>
      <w:r w:rsidR="00560B82" w:rsidRPr="008C51C9">
        <w:rPr>
          <w:rFonts w:ascii="Times New Roman" w:hAnsi="Times New Roman" w:cs="Times New Roman"/>
          <w:sz w:val="24"/>
          <w:szCs w:val="24"/>
        </w:rPr>
        <w:t>1.3, left:20.33</w:t>
      </w:r>
      <w:r w:rsidR="00560B82" w:rsidRPr="008C51C9">
        <w:rPr>
          <w:rFonts w:ascii="Times New Roman" w:hAnsi="Times New Roman" w:cs="Times New Roman"/>
          <w:sz w:val="24"/>
          <w:szCs w:val="24"/>
        </w:rPr>
        <w:sym w:font="Symbol" w:char="F0B1"/>
      </w:r>
      <w:r w:rsidR="00560B82" w:rsidRPr="008C51C9">
        <w:rPr>
          <w:rFonts w:ascii="Times New Roman" w:hAnsi="Times New Roman" w:cs="Times New Roman"/>
          <w:sz w:val="24"/>
          <w:szCs w:val="24"/>
        </w:rPr>
        <w:t>1.8)</w:t>
      </w:r>
      <w:r w:rsidRPr="008C51C9">
        <w:rPr>
          <w:rFonts w:ascii="Times New Roman" w:hAnsi="Times New Roman" w:cs="Times New Roman"/>
          <w:sz w:val="24"/>
          <w:szCs w:val="24"/>
        </w:rPr>
        <w:t xml:space="preserve">. </w:t>
      </w:r>
      <w:r w:rsidR="000B42F5">
        <w:rPr>
          <w:rFonts w:ascii="Times New Roman" w:hAnsi="Times New Roman" w:cs="Times New Roman"/>
          <w:sz w:val="24"/>
          <w:szCs w:val="24"/>
        </w:rPr>
        <w:t>T</w:t>
      </w:r>
      <w:r w:rsidRPr="008C51C9">
        <w:rPr>
          <w:rFonts w:ascii="Times New Roman" w:hAnsi="Times New Roman" w:cs="Times New Roman"/>
          <w:sz w:val="24"/>
          <w:szCs w:val="24"/>
        </w:rPr>
        <w:t xml:space="preserve">est </w:t>
      </w:r>
      <w:r w:rsidR="00981EA8" w:rsidRPr="008C51C9">
        <w:rPr>
          <w:rFonts w:ascii="Times New Roman" w:hAnsi="Times New Roman" w:cs="Times New Roman"/>
          <w:sz w:val="24"/>
          <w:szCs w:val="24"/>
        </w:rPr>
        <w:t>oil</w:t>
      </w:r>
      <w:r w:rsidRPr="008C51C9">
        <w:rPr>
          <w:rFonts w:ascii="Times New Roman" w:hAnsi="Times New Roman" w:cs="Times New Roman"/>
          <w:sz w:val="24"/>
          <w:szCs w:val="24"/>
        </w:rPr>
        <w:t xml:space="preserve"> </w:t>
      </w:r>
      <w:r w:rsidR="000B42F5">
        <w:rPr>
          <w:rFonts w:ascii="Times New Roman" w:hAnsi="Times New Roman" w:cs="Times New Roman"/>
          <w:sz w:val="24"/>
          <w:szCs w:val="24"/>
        </w:rPr>
        <w:t xml:space="preserve">treatment </w:t>
      </w:r>
      <w:r w:rsidRPr="008C51C9">
        <w:rPr>
          <w:rFonts w:ascii="Times New Roman" w:hAnsi="Times New Roman" w:cs="Times New Roman"/>
          <w:sz w:val="24"/>
          <w:szCs w:val="24"/>
        </w:rPr>
        <w:t xml:space="preserve">was found to be </w:t>
      </w:r>
      <w:r w:rsidR="00560B82" w:rsidRPr="008C51C9">
        <w:rPr>
          <w:rFonts w:ascii="Times New Roman" w:hAnsi="Times New Roman" w:cs="Times New Roman"/>
          <w:sz w:val="24"/>
          <w:szCs w:val="24"/>
        </w:rPr>
        <w:t>significant</w:t>
      </w:r>
      <w:r w:rsidRPr="008C51C9">
        <w:rPr>
          <w:rFonts w:ascii="Times New Roman" w:hAnsi="Times New Roman" w:cs="Times New Roman"/>
          <w:sz w:val="24"/>
          <w:szCs w:val="24"/>
        </w:rPr>
        <w:t xml:space="preserve"> than placebo </w:t>
      </w:r>
      <w:r w:rsidR="00560B82" w:rsidRPr="008C51C9">
        <w:rPr>
          <w:rFonts w:ascii="Times New Roman" w:hAnsi="Times New Roman" w:cs="Times New Roman"/>
          <w:sz w:val="24"/>
          <w:szCs w:val="24"/>
        </w:rPr>
        <w:t xml:space="preserve">(p&lt;0.05) </w:t>
      </w:r>
      <w:r w:rsidRPr="008C51C9">
        <w:rPr>
          <w:rFonts w:ascii="Times New Roman" w:hAnsi="Times New Roman" w:cs="Times New Roman"/>
          <w:sz w:val="24"/>
          <w:szCs w:val="24"/>
        </w:rPr>
        <w:t xml:space="preserve">in reducing the size of the ovary (both left and right) in </w:t>
      </w:r>
      <w:r w:rsidR="00981EA8" w:rsidRPr="008C51C9">
        <w:rPr>
          <w:rFonts w:ascii="Times New Roman" w:hAnsi="Times New Roman" w:cs="Times New Roman"/>
          <w:sz w:val="24"/>
          <w:szCs w:val="24"/>
        </w:rPr>
        <w:t>the</w:t>
      </w:r>
      <w:r w:rsidRPr="008C51C9">
        <w:rPr>
          <w:rFonts w:ascii="Times New Roman" w:hAnsi="Times New Roman" w:cs="Times New Roman"/>
          <w:sz w:val="24"/>
          <w:szCs w:val="24"/>
        </w:rPr>
        <w:t xml:space="preserve"> </w:t>
      </w:r>
      <w:r w:rsidR="007D7481" w:rsidRPr="008C51C9">
        <w:rPr>
          <w:rFonts w:ascii="Times New Roman" w:hAnsi="Times New Roman" w:cs="Times New Roman"/>
          <w:sz w:val="24"/>
          <w:szCs w:val="24"/>
        </w:rPr>
        <w:t>participant</w:t>
      </w:r>
      <w:r w:rsidRPr="008C51C9">
        <w:rPr>
          <w:rFonts w:ascii="Times New Roman" w:hAnsi="Times New Roman" w:cs="Times New Roman"/>
          <w:sz w:val="24"/>
          <w:szCs w:val="24"/>
        </w:rPr>
        <w:t>s.</w:t>
      </w:r>
    </w:p>
    <w:p w14:paraId="0D78D29D" w14:textId="77777777" w:rsidR="005C3BF2" w:rsidRPr="008C51C9" w:rsidRDefault="00B81685" w:rsidP="001F52C5">
      <w:pPr>
        <w:spacing w:after="0" w:line="240" w:lineRule="auto"/>
        <w:jc w:val="both"/>
        <w:rPr>
          <w:rFonts w:ascii="Times New Roman" w:hAnsi="Times New Roman" w:cs="Times New Roman"/>
          <w:sz w:val="24"/>
          <w:szCs w:val="24"/>
        </w:rPr>
      </w:pPr>
      <w:r w:rsidRPr="0049249B">
        <w:rPr>
          <w:rFonts w:ascii="Times New Roman" w:hAnsi="Times New Roman" w:cs="Times New Roman"/>
          <w:b/>
          <w:iCs/>
          <w:sz w:val="24"/>
          <w:szCs w:val="24"/>
        </w:rPr>
        <w:t>Number of follicular cysts</w:t>
      </w:r>
      <w:r w:rsidRPr="008C51C9">
        <w:rPr>
          <w:rFonts w:ascii="Times New Roman" w:hAnsi="Times New Roman" w:cs="Times New Roman"/>
          <w:sz w:val="24"/>
          <w:szCs w:val="24"/>
        </w:rPr>
        <w:t xml:space="preserve"> (follicle&gt;3cm) found on both the ovaries were significantly reduced subsequent to treatment with test </w:t>
      </w:r>
      <w:r w:rsidR="000B42F5">
        <w:rPr>
          <w:rFonts w:ascii="Times New Roman" w:hAnsi="Times New Roman" w:cs="Times New Roman"/>
          <w:sz w:val="24"/>
          <w:szCs w:val="24"/>
        </w:rPr>
        <w:t>oil</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before:</w:t>
      </w:r>
      <w:r w:rsidRPr="008C51C9">
        <w:rPr>
          <w:rFonts w:ascii="Times New Roman" w:hAnsi="Times New Roman" w:cs="Times New Roman"/>
          <w:sz w:val="24"/>
          <w:szCs w:val="24"/>
        </w:rPr>
        <w:t>21 cysts</w:t>
      </w:r>
      <w:r w:rsidR="00981EA8"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w:t>
      </w:r>
      <w:r w:rsidRPr="008C51C9">
        <w:rPr>
          <w:rFonts w:ascii="Times New Roman" w:hAnsi="Times New Roman" w:cs="Times New Roman"/>
          <w:sz w:val="24"/>
          <w:szCs w:val="24"/>
        </w:rPr>
        <w:t>4</w:t>
      </w:r>
      <w:r w:rsidR="00B70210" w:rsidRPr="008C51C9">
        <w:rPr>
          <w:rFonts w:ascii="Times New Roman" w:hAnsi="Times New Roman" w:cs="Times New Roman"/>
          <w:sz w:val="24"/>
          <w:szCs w:val="24"/>
        </w:rPr>
        <w:t xml:space="preserve"> </w:t>
      </w:r>
      <w:r w:rsidRPr="008C51C9">
        <w:rPr>
          <w:rFonts w:ascii="Times New Roman" w:hAnsi="Times New Roman" w:cs="Times New Roman"/>
          <w:sz w:val="24"/>
          <w:szCs w:val="24"/>
        </w:rPr>
        <w:t>cysts; p&lt;0.05) as compared to placebo treatment (</w:t>
      </w:r>
      <w:r w:rsidR="00C57B41" w:rsidRPr="008C51C9">
        <w:rPr>
          <w:rFonts w:ascii="Times New Roman" w:hAnsi="Times New Roman" w:cs="Times New Roman"/>
          <w:sz w:val="24"/>
          <w:szCs w:val="24"/>
        </w:rPr>
        <w:t>before:</w:t>
      </w:r>
      <w:r w:rsidRPr="008C51C9">
        <w:rPr>
          <w:rFonts w:ascii="Times New Roman" w:hAnsi="Times New Roman" w:cs="Times New Roman"/>
          <w:sz w:val="24"/>
          <w:szCs w:val="24"/>
        </w:rPr>
        <w:t>36 cysts</w:t>
      </w:r>
      <w:r w:rsidR="00981EA8" w:rsidRPr="008C51C9">
        <w:rPr>
          <w:rFonts w:ascii="Times New Roman" w:hAnsi="Times New Roman" w:cs="Times New Roman"/>
          <w:sz w:val="24"/>
          <w:szCs w:val="24"/>
        </w:rPr>
        <w:t>;</w:t>
      </w:r>
      <w:r w:rsidRPr="008C51C9">
        <w:rPr>
          <w:rFonts w:ascii="Times New Roman" w:hAnsi="Times New Roman" w:cs="Times New Roman"/>
          <w:sz w:val="24"/>
          <w:szCs w:val="24"/>
        </w:rPr>
        <w:t xml:space="preserve"> </w:t>
      </w:r>
      <w:r w:rsidR="00C57B41" w:rsidRPr="008C51C9">
        <w:rPr>
          <w:rFonts w:ascii="Times New Roman" w:hAnsi="Times New Roman" w:cs="Times New Roman"/>
          <w:sz w:val="24"/>
          <w:szCs w:val="24"/>
        </w:rPr>
        <w:t>after:</w:t>
      </w:r>
      <w:r w:rsidRPr="008C51C9">
        <w:rPr>
          <w:rFonts w:ascii="Times New Roman" w:hAnsi="Times New Roman" w:cs="Times New Roman"/>
          <w:sz w:val="24"/>
          <w:szCs w:val="24"/>
        </w:rPr>
        <w:t xml:space="preserve">30 cysts). The effect of the test </w:t>
      </w:r>
      <w:r w:rsidR="00B14605" w:rsidRPr="008C51C9">
        <w:rPr>
          <w:rFonts w:ascii="Times New Roman" w:hAnsi="Times New Roman" w:cs="Times New Roman"/>
          <w:sz w:val="24"/>
          <w:szCs w:val="24"/>
        </w:rPr>
        <w:t>oil</w:t>
      </w:r>
      <w:r w:rsidRPr="008C51C9">
        <w:rPr>
          <w:rFonts w:ascii="Times New Roman" w:hAnsi="Times New Roman" w:cs="Times New Roman"/>
          <w:sz w:val="24"/>
          <w:szCs w:val="24"/>
        </w:rPr>
        <w:t xml:space="preserve"> was specific and significant as compared to</w:t>
      </w:r>
      <w:r w:rsidR="003D73BA" w:rsidRPr="008C51C9">
        <w:rPr>
          <w:rFonts w:ascii="Times New Roman" w:hAnsi="Times New Roman" w:cs="Times New Roman"/>
          <w:sz w:val="24"/>
          <w:szCs w:val="24"/>
        </w:rPr>
        <w:t xml:space="preserve"> placebo gro</w:t>
      </w:r>
      <w:r w:rsidRPr="008C51C9">
        <w:rPr>
          <w:rFonts w:ascii="Times New Roman" w:hAnsi="Times New Roman" w:cs="Times New Roman"/>
          <w:sz w:val="24"/>
          <w:szCs w:val="24"/>
        </w:rPr>
        <w:t>up (p&lt;0.01).</w:t>
      </w:r>
    </w:p>
    <w:p w14:paraId="6F347EBD" w14:textId="77777777" w:rsidR="001F52C5" w:rsidRPr="008C51C9" w:rsidRDefault="001F52C5" w:rsidP="001F52C5">
      <w:pPr>
        <w:spacing w:after="0" w:line="240" w:lineRule="auto"/>
        <w:jc w:val="both"/>
        <w:rPr>
          <w:rFonts w:ascii="Times New Roman" w:hAnsi="Times New Roman" w:cs="Times New Roman"/>
          <w:sz w:val="24"/>
          <w:szCs w:val="24"/>
        </w:rPr>
      </w:pPr>
    </w:p>
    <w:p w14:paraId="4BEF1138" w14:textId="77777777" w:rsidR="000B42F5" w:rsidRPr="00543C27" w:rsidRDefault="001F52C5" w:rsidP="000B42F5">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49249B">
        <w:rPr>
          <w:rFonts w:ascii="Times New Roman" w:hAnsi="Times New Roman" w:cs="Times New Roman"/>
          <w:b/>
          <w:bCs/>
          <w:sz w:val="24"/>
          <w:szCs w:val="24"/>
        </w:rPr>
        <w:t>Number of maturing follicles</w:t>
      </w:r>
      <w:r w:rsidRPr="008C51C9">
        <w:rPr>
          <w:rFonts w:ascii="Times New Roman" w:hAnsi="Times New Roman" w:cs="Times New Roman"/>
          <w:sz w:val="24"/>
          <w:szCs w:val="24"/>
        </w:rPr>
        <w:t xml:space="preserve"> in test group increased </w:t>
      </w:r>
      <w:r w:rsidR="00981EA8" w:rsidRPr="008C51C9">
        <w:rPr>
          <w:rFonts w:ascii="Times New Roman" w:hAnsi="Times New Roman" w:cs="Times New Roman"/>
          <w:sz w:val="24"/>
          <w:szCs w:val="24"/>
        </w:rPr>
        <w:t xml:space="preserve">significantly </w:t>
      </w:r>
      <w:r w:rsidRPr="008C51C9">
        <w:rPr>
          <w:rFonts w:ascii="Times New Roman" w:hAnsi="Times New Roman" w:cs="Times New Roman"/>
          <w:sz w:val="24"/>
          <w:szCs w:val="24"/>
        </w:rPr>
        <w:t>in right ovary (before:34</w:t>
      </w:r>
      <w:r w:rsidR="002B250B" w:rsidRPr="008C51C9">
        <w:rPr>
          <w:rFonts w:ascii="Times New Roman" w:hAnsi="Times New Roman" w:cs="Times New Roman"/>
          <w:sz w:val="24"/>
          <w:szCs w:val="24"/>
        </w:rPr>
        <w:t xml:space="preserve"> to</w:t>
      </w:r>
      <w:r w:rsidRPr="008C51C9">
        <w:rPr>
          <w:rFonts w:ascii="Times New Roman" w:hAnsi="Times New Roman" w:cs="Times New Roman"/>
          <w:sz w:val="24"/>
          <w:szCs w:val="24"/>
        </w:rPr>
        <w:t xml:space="preserve"> after:43) and </w:t>
      </w:r>
      <w:r w:rsidR="00B7421A" w:rsidRPr="008C51C9">
        <w:rPr>
          <w:rFonts w:ascii="Times New Roman" w:hAnsi="Times New Roman" w:cs="Times New Roman"/>
          <w:sz w:val="24"/>
          <w:szCs w:val="24"/>
        </w:rPr>
        <w:t xml:space="preserve">slightly </w:t>
      </w:r>
      <w:r w:rsidRPr="008C51C9">
        <w:rPr>
          <w:rFonts w:ascii="Times New Roman" w:hAnsi="Times New Roman" w:cs="Times New Roman"/>
          <w:sz w:val="24"/>
          <w:szCs w:val="24"/>
        </w:rPr>
        <w:t xml:space="preserve">decreased in left ovary (before:45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after:43). However, in placebo group it decreased both in right (before:31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after:28) and left ovary (before:33 </w:t>
      </w:r>
      <w:r w:rsidR="002B250B" w:rsidRPr="008C51C9">
        <w:rPr>
          <w:rFonts w:ascii="Times New Roman" w:hAnsi="Times New Roman" w:cs="Times New Roman"/>
          <w:sz w:val="24"/>
          <w:szCs w:val="24"/>
        </w:rPr>
        <w:t>to</w:t>
      </w:r>
      <w:r w:rsidRPr="008C51C9">
        <w:rPr>
          <w:rFonts w:ascii="Times New Roman" w:hAnsi="Times New Roman" w:cs="Times New Roman"/>
          <w:sz w:val="24"/>
          <w:szCs w:val="24"/>
        </w:rPr>
        <w:t xml:space="preserve"> after:28). </w:t>
      </w:r>
      <w:r w:rsidR="000B42F5">
        <w:rPr>
          <w:rFonts w:ascii="Times New Roman" w:hAnsi="Times New Roman" w:cs="Times New Roman"/>
          <w:color w:val="000000"/>
          <w:sz w:val="24"/>
          <w:szCs w:val="24"/>
        </w:rPr>
        <w:t>I</w:t>
      </w:r>
      <w:r w:rsidR="000B42F5" w:rsidRPr="00543C27">
        <w:rPr>
          <w:rFonts w:ascii="Times New Roman" w:hAnsi="Times New Roman" w:cs="Times New Roman"/>
          <w:color w:val="000000"/>
          <w:sz w:val="24"/>
          <w:szCs w:val="24"/>
        </w:rPr>
        <w:t xml:space="preserve">n a 6-month </w:t>
      </w:r>
      <w:r w:rsidR="000B42F5">
        <w:rPr>
          <w:rFonts w:ascii="Times New Roman" w:hAnsi="Times New Roman" w:cs="Times New Roman"/>
          <w:color w:val="000000"/>
          <w:sz w:val="24"/>
          <w:szCs w:val="24"/>
        </w:rPr>
        <w:t xml:space="preserve">post-study </w:t>
      </w:r>
      <w:r w:rsidR="000B42F5" w:rsidRPr="00543C27">
        <w:rPr>
          <w:rFonts w:ascii="Times New Roman" w:hAnsi="Times New Roman" w:cs="Times New Roman"/>
          <w:color w:val="000000"/>
          <w:sz w:val="24"/>
          <w:szCs w:val="24"/>
        </w:rPr>
        <w:t>follow-up</w:t>
      </w:r>
      <w:r w:rsidR="000B42F5">
        <w:rPr>
          <w:rFonts w:ascii="Times New Roman" w:hAnsi="Times New Roman" w:cs="Times New Roman"/>
          <w:color w:val="000000"/>
          <w:sz w:val="24"/>
          <w:szCs w:val="24"/>
        </w:rPr>
        <w:t xml:space="preserve">, it was </w:t>
      </w:r>
      <w:r w:rsidR="000B42F5" w:rsidRPr="00543C27">
        <w:rPr>
          <w:rFonts w:ascii="Times New Roman" w:hAnsi="Times New Roman" w:cs="Times New Roman"/>
          <w:color w:val="000000"/>
          <w:sz w:val="24"/>
          <w:szCs w:val="24"/>
        </w:rPr>
        <w:t xml:space="preserve">observed that out of </w:t>
      </w:r>
      <w:r w:rsidR="000B42F5">
        <w:rPr>
          <w:rFonts w:ascii="Times New Roman" w:hAnsi="Times New Roman" w:cs="Times New Roman"/>
          <w:color w:val="000000"/>
          <w:sz w:val="24"/>
          <w:szCs w:val="24"/>
        </w:rPr>
        <w:t>46</w:t>
      </w:r>
      <w:r w:rsidR="000B42F5" w:rsidRPr="00543C27">
        <w:rPr>
          <w:rFonts w:ascii="Times New Roman" w:hAnsi="Times New Roman" w:cs="Times New Roman"/>
          <w:color w:val="000000"/>
          <w:sz w:val="24"/>
          <w:szCs w:val="24"/>
        </w:rPr>
        <w:t xml:space="preserve"> </w:t>
      </w:r>
      <w:r w:rsidR="000B42F5">
        <w:rPr>
          <w:rFonts w:ascii="Times New Roman" w:hAnsi="Times New Roman" w:cs="Times New Roman"/>
          <w:color w:val="000000"/>
          <w:sz w:val="24"/>
          <w:szCs w:val="24"/>
        </w:rPr>
        <w:t>participants</w:t>
      </w:r>
      <w:r w:rsidR="000B42F5" w:rsidRPr="00543C27">
        <w:rPr>
          <w:rFonts w:ascii="Times New Roman" w:hAnsi="Times New Roman" w:cs="Times New Roman"/>
          <w:color w:val="000000"/>
          <w:sz w:val="24"/>
          <w:szCs w:val="24"/>
        </w:rPr>
        <w:t xml:space="preserve"> who </w:t>
      </w:r>
      <w:r w:rsidR="000B42F5">
        <w:rPr>
          <w:rFonts w:ascii="Times New Roman" w:hAnsi="Times New Roman" w:cs="Times New Roman"/>
          <w:color w:val="000000"/>
          <w:sz w:val="24"/>
          <w:szCs w:val="24"/>
        </w:rPr>
        <w:t>were</w:t>
      </w:r>
      <w:r w:rsidR="000B42F5" w:rsidRPr="00543C27">
        <w:rPr>
          <w:rFonts w:ascii="Times New Roman" w:hAnsi="Times New Roman" w:cs="Times New Roman"/>
          <w:color w:val="000000"/>
          <w:sz w:val="24"/>
          <w:szCs w:val="24"/>
        </w:rPr>
        <w:t xml:space="preserve"> using </w:t>
      </w:r>
      <w:r w:rsidR="000B42F5">
        <w:rPr>
          <w:rFonts w:ascii="Times New Roman" w:hAnsi="Times New Roman" w:cs="Times New Roman"/>
          <w:color w:val="000000"/>
          <w:sz w:val="24"/>
          <w:szCs w:val="24"/>
        </w:rPr>
        <w:t>test oil</w:t>
      </w:r>
      <w:r w:rsidR="000B42F5" w:rsidRPr="00543C27">
        <w:rPr>
          <w:rFonts w:ascii="Times New Roman" w:hAnsi="Times New Roman" w:cs="Times New Roman"/>
          <w:color w:val="000000"/>
          <w:sz w:val="24"/>
          <w:szCs w:val="24"/>
        </w:rPr>
        <w:t xml:space="preserve">, </w:t>
      </w:r>
      <w:r w:rsidR="000B42F5">
        <w:rPr>
          <w:rFonts w:ascii="Times New Roman" w:hAnsi="Times New Roman" w:cs="Times New Roman"/>
          <w:color w:val="000000"/>
          <w:sz w:val="24"/>
          <w:szCs w:val="24"/>
        </w:rPr>
        <w:t>17</w:t>
      </w:r>
      <w:r w:rsidR="000B42F5" w:rsidRPr="00543C27">
        <w:rPr>
          <w:rFonts w:ascii="Times New Roman" w:hAnsi="Times New Roman" w:cs="Times New Roman"/>
          <w:color w:val="000000"/>
          <w:sz w:val="24"/>
          <w:szCs w:val="24"/>
        </w:rPr>
        <w:t xml:space="preserve"> patients had successfully conceived, suggesting that the test </w:t>
      </w:r>
      <w:r w:rsidR="000B42F5">
        <w:rPr>
          <w:rFonts w:ascii="Times New Roman" w:hAnsi="Times New Roman" w:cs="Times New Roman"/>
          <w:color w:val="000000"/>
          <w:sz w:val="24"/>
          <w:szCs w:val="24"/>
        </w:rPr>
        <w:t>oil</w:t>
      </w:r>
      <w:r w:rsidR="000B42F5" w:rsidRPr="00543C27">
        <w:rPr>
          <w:rFonts w:ascii="Times New Roman" w:hAnsi="Times New Roman" w:cs="Times New Roman"/>
          <w:color w:val="000000"/>
          <w:sz w:val="24"/>
          <w:szCs w:val="24"/>
        </w:rPr>
        <w:t xml:space="preserve"> may help in treating PCOS induced anovulatory infertility.</w:t>
      </w:r>
    </w:p>
    <w:p w14:paraId="2D74753A" w14:textId="77777777" w:rsidR="001F52C5" w:rsidRPr="008C51C9" w:rsidRDefault="001F52C5" w:rsidP="001F52C5">
      <w:pPr>
        <w:spacing w:after="0" w:line="240" w:lineRule="auto"/>
        <w:jc w:val="both"/>
        <w:rPr>
          <w:rFonts w:ascii="Times New Roman" w:hAnsi="Times New Roman" w:cs="Times New Roman"/>
          <w:sz w:val="24"/>
          <w:szCs w:val="24"/>
        </w:rPr>
      </w:pPr>
    </w:p>
    <w:p w14:paraId="67C1EA6A" w14:textId="77777777" w:rsidR="00DF573A" w:rsidRPr="008C51C9" w:rsidRDefault="00DF573A" w:rsidP="001F52C5">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During the study, no AE was reported. No participant was withdrawn due to any AE.</w:t>
      </w:r>
    </w:p>
    <w:p w14:paraId="154AD521" w14:textId="77777777" w:rsidR="005C3BF2" w:rsidRDefault="005C3BF2" w:rsidP="005C3BF2">
      <w:pPr>
        <w:spacing w:after="0" w:line="240" w:lineRule="auto"/>
        <w:rPr>
          <w:rFonts w:ascii="Times New Roman" w:hAnsi="Times New Roman" w:cs="Times New Roman"/>
          <w:sz w:val="24"/>
          <w:szCs w:val="24"/>
        </w:rPr>
      </w:pPr>
    </w:p>
    <w:p w14:paraId="72DF06B0" w14:textId="77777777" w:rsidR="00543C27" w:rsidRPr="008C51C9" w:rsidRDefault="00543C27" w:rsidP="005C3BF2">
      <w:pPr>
        <w:spacing w:after="0" w:line="240" w:lineRule="auto"/>
        <w:rPr>
          <w:rFonts w:ascii="Times New Roman" w:hAnsi="Times New Roman" w:cs="Times New Roman"/>
          <w:sz w:val="24"/>
          <w:szCs w:val="24"/>
        </w:rPr>
      </w:pPr>
    </w:p>
    <w:p w14:paraId="71107483" w14:textId="77777777" w:rsidR="005C3BF2" w:rsidRPr="008C51C9" w:rsidRDefault="005C3BF2" w:rsidP="005C3BF2">
      <w:pPr>
        <w:spacing w:after="0" w:line="240" w:lineRule="auto"/>
        <w:rPr>
          <w:rFonts w:ascii="Times New Roman" w:hAnsi="Times New Roman" w:cs="Times New Roman"/>
          <w:b/>
          <w:bCs/>
          <w:sz w:val="28"/>
          <w:szCs w:val="28"/>
        </w:rPr>
      </w:pPr>
      <w:r w:rsidRPr="008C51C9">
        <w:rPr>
          <w:rFonts w:ascii="Times New Roman" w:hAnsi="Times New Roman" w:cs="Times New Roman"/>
          <w:b/>
          <w:bCs/>
          <w:sz w:val="28"/>
          <w:szCs w:val="28"/>
        </w:rPr>
        <w:t>Discussion</w:t>
      </w:r>
    </w:p>
    <w:p w14:paraId="1F52B90F" w14:textId="77777777" w:rsidR="000F4FEC" w:rsidRDefault="000F4FEC" w:rsidP="002B25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PCOS represented by various symptoms </w:t>
      </w:r>
      <w:r w:rsidR="00B912B1">
        <w:rPr>
          <w:rFonts w:ascii="Times New Roman" w:hAnsi="Times New Roman" w:cs="Times New Roman"/>
          <w:sz w:val="24"/>
          <w:szCs w:val="24"/>
        </w:rPr>
        <w:t xml:space="preserve">needs to be managed in a </w:t>
      </w:r>
      <w:r>
        <w:rPr>
          <w:rFonts w:ascii="Times New Roman" w:hAnsi="Times New Roman" w:cs="Times New Roman"/>
          <w:sz w:val="24"/>
          <w:szCs w:val="24"/>
        </w:rPr>
        <w:t>comprehensive</w:t>
      </w:r>
      <w:r w:rsidR="00B912B1">
        <w:rPr>
          <w:rFonts w:ascii="Times New Roman" w:hAnsi="Times New Roman" w:cs="Times New Roman"/>
          <w:sz w:val="24"/>
          <w:szCs w:val="24"/>
        </w:rPr>
        <w:t xml:space="preserve"> way </w:t>
      </w:r>
      <w:r>
        <w:rPr>
          <w:rFonts w:ascii="Times New Roman" w:hAnsi="Times New Roman" w:cs="Times New Roman"/>
          <w:sz w:val="24"/>
          <w:szCs w:val="24"/>
        </w:rPr>
        <w:t>rather than answering only a few symptoms. Besides traditional medicine, CAM may provide a more sustainable solution to PCOS. The</w:t>
      </w:r>
      <w:r w:rsidRPr="008C51C9">
        <w:rPr>
          <w:rFonts w:ascii="Times New Roman" w:hAnsi="Times New Roman" w:cs="Times New Roman"/>
          <w:sz w:val="24"/>
          <w:szCs w:val="24"/>
        </w:rPr>
        <w:t xml:space="preserve"> studies to measure effectiveness of </w:t>
      </w:r>
      <w:r>
        <w:rPr>
          <w:rFonts w:ascii="Times New Roman" w:hAnsi="Times New Roman" w:cs="Times New Roman"/>
          <w:sz w:val="24"/>
          <w:szCs w:val="24"/>
        </w:rPr>
        <w:t>CAM</w:t>
      </w:r>
      <w:r w:rsidRPr="008C51C9">
        <w:rPr>
          <w:rFonts w:ascii="Times New Roman" w:hAnsi="Times New Roman" w:cs="Times New Roman"/>
          <w:sz w:val="24"/>
          <w:szCs w:val="24"/>
        </w:rPr>
        <w:t xml:space="preserve"> are </w:t>
      </w:r>
      <w:r w:rsidR="00AF21E7">
        <w:rPr>
          <w:rFonts w:ascii="Times New Roman" w:hAnsi="Times New Roman" w:cs="Times New Roman"/>
          <w:sz w:val="24"/>
          <w:szCs w:val="24"/>
        </w:rPr>
        <w:t xml:space="preserve">majorly </w:t>
      </w:r>
      <w:r w:rsidRPr="008C51C9">
        <w:rPr>
          <w:rFonts w:ascii="Times New Roman" w:hAnsi="Times New Roman" w:cs="Times New Roman"/>
          <w:sz w:val="24"/>
          <w:szCs w:val="24"/>
        </w:rPr>
        <w:t>done on rat models</w:t>
      </w:r>
      <w:r w:rsidR="00AF21E7" w:rsidRPr="00AF21E7">
        <w:rPr>
          <w:rFonts w:ascii="Times New Roman" w:hAnsi="Times New Roman" w:cs="Times New Roman"/>
          <w:sz w:val="24"/>
          <w:szCs w:val="24"/>
          <w:vertAlign w:val="superscript"/>
        </w:rPr>
        <w:t>32,35,36</w:t>
      </w:r>
      <w:r w:rsidRPr="008C51C9">
        <w:rPr>
          <w:rFonts w:ascii="Times New Roman" w:hAnsi="Times New Roman" w:cs="Times New Roman"/>
          <w:sz w:val="24"/>
          <w:szCs w:val="24"/>
        </w:rPr>
        <w:t xml:space="preserve">. </w:t>
      </w:r>
      <w:r w:rsidR="00AF21E7">
        <w:rPr>
          <w:rFonts w:ascii="Times New Roman" w:hAnsi="Times New Roman" w:cs="Times New Roman"/>
          <w:sz w:val="24"/>
          <w:szCs w:val="24"/>
        </w:rPr>
        <w:t xml:space="preserve">Mentha </w:t>
      </w:r>
      <w:r w:rsidR="00F67D66">
        <w:rPr>
          <w:rFonts w:ascii="Times New Roman" w:hAnsi="Times New Roman" w:cs="Times New Roman"/>
          <w:sz w:val="24"/>
          <w:szCs w:val="24"/>
        </w:rPr>
        <w:t>s</w:t>
      </w:r>
      <w:r w:rsidR="00AF21E7">
        <w:rPr>
          <w:rFonts w:ascii="Times New Roman" w:hAnsi="Times New Roman" w:cs="Times New Roman"/>
          <w:sz w:val="24"/>
          <w:szCs w:val="24"/>
        </w:rPr>
        <w:t xml:space="preserve">picata is found effective in </w:t>
      </w:r>
      <w:r w:rsidR="00B912B1">
        <w:rPr>
          <w:rFonts w:ascii="Times New Roman" w:hAnsi="Times New Roman" w:cs="Times New Roman"/>
          <w:sz w:val="24"/>
          <w:szCs w:val="24"/>
        </w:rPr>
        <w:t>reinstatement</w:t>
      </w:r>
      <w:r w:rsidR="00AF21E7">
        <w:rPr>
          <w:rFonts w:ascii="Times New Roman" w:hAnsi="Times New Roman" w:cs="Times New Roman"/>
          <w:sz w:val="24"/>
          <w:szCs w:val="24"/>
        </w:rPr>
        <w:t xml:space="preserve"> of follicular development in rat ovarian tissues</w:t>
      </w:r>
      <w:r w:rsidR="00AF21E7" w:rsidRPr="00AF21E7">
        <w:rPr>
          <w:rFonts w:ascii="Times New Roman" w:hAnsi="Times New Roman" w:cs="Times New Roman"/>
          <w:sz w:val="24"/>
          <w:szCs w:val="24"/>
          <w:vertAlign w:val="superscript"/>
        </w:rPr>
        <w:t>32</w:t>
      </w:r>
      <w:r w:rsidR="00AF21E7">
        <w:rPr>
          <w:rFonts w:ascii="Times New Roman" w:hAnsi="Times New Roman" w:cs="Times New Roman"/>
          <w:sz w:val="24"/>
          <w:szCs w:val="24"/>
        </w:rPr>
        <w:t xml:space="preserve">. T. </w:t>
      </w:r>
      <w:r w:rsidR="00F67D66">
        <w:rPr>
          <w:rFonts w:ascii="Times New Roman" w:hAnsi="Times New Roman" w:cs="Times New Roman"/>
          <w:sz w:val="24"/>
          <w:szCs w:val="24"/>
        </w:rPr>
        <w:t>o</w:t>
      </w:r>
      <w:r w:rsidR="00AF21E7">
        <w:rPr>
          <w:rFonts w:ascii="Times New Roman" w:hAnsi="Times New Roman" w:cs="Times New Roman"/>
          <w:sz w:val="24"/>
          <w:szCs w:val="24"/>
        </w:rPr>
        <w:t xml:space="preserve">ccidentalis essential oil is </w:t>
      </w:r>
      <w:r w:rsidR="00B912B1">
        <w:rPr>
          <w:rFonts w:ascii="Times New Roman" w:hAnsi="Times New Roman" w:cs="Times New Roman"/>
          <w:sz w:val="24"/>
          <w:szCs w:val="24"/>
        </w:rPr>
        <w:t xml:space="preserve">identified </w:t>
      </w:r>
      <w:r w:rsidR="00AF21E7">
        <w:rPr>
          <w:rFonts w:ascii="Times New Roman" w:hAnsi="Times New Roman" w:cs="Times New Roman"/>
          <w:sz w:val="24"/>
          <w:szCs w:val="24"/>
        </w:rPr>
        <w:t>to reduce ovarian cysts in rats without inducing osteoporosis</w:t>
      </w:r>
      <w:r w:rsidR="00AF21E7" w:rsidRPr="00AF21E7">
        <w:rPr>
          <w:rFonts w:ascii="Times New Roman" w:hAnsi="Times New Roman" w:cs="Times New Roman"/>
          <w:sz w:val="24"/>
          <w:szCs w:val="24"/>
          <w:vertAlign w:val="superscript"/>
        </w:rPr>
        <w:t>35</w:t>
      </w:r>
      <w:r w:rsidR="00AF21E7">
        <w:rPr>
          <w:rFonts w:ascii="Times New Roman" w:hAnsi="Times New Roman" w:cs="Times New Roman"/>
          <w:sz w:val="24"/>
          <w:szCs w:val="24"/>
        </w:rPr>
        <w:t>. Similarly</w:t>
      </w:r>
      <w:r w:rsidR="00B912B1">
        <w:rPr>
          <w:rFonts w:ascii="Times New Roman" w:hAnsi="Times New Roman" w:cs="Times New Roman"/>
          <w:sz w:val="24"/>
          <w:szCs w:val="24"/>
        </w:rPr>
        <w:t>,</w:t>
      </w:r>
      <w:r w:rsidR="00AF21E7">
        <w:rPr>
          <w:rFonts w:ascii="Times New Roman" w:hAnsi="Times New Roman" w:cs="Times New Roman"/>
          <w:sz w:val="24"/>
          <w:szCs w:val="24"/>
        </w:rPr>
        <w:t xml:space="preserve"> </w:t>
      </w:r>
      <w:r w:rsidR="00B912B1">
        <w:rPr>
          <w:rFonts w:ascii="Times New Roman" w:hAnsi="Times New Roman" w:cs="Times New Roman"/>
          <w:sz w:val="24"/>
          <w:szCs w:val="24"/>
        </w:rPr>
        <w:t xml:space="preserve">role of </w:t>
      </w:r>
      <w:r w:rsidR="00AF21E7">
        <w:rPr>
          <w:rFonts w:ascii="Times New Roman" w:hAnsi="Times New Roman" w:cs="Times New Roman"/>
          <w:sz w:val="24"/>
          <w:szCs w:val="24"/>
        </w:rPr>
        <w:t xml:space="preserve">Chamomile extract is </w:t>
      </w:r>
      <w:r w:rsidR="00B912B1">
        <w:rPr>
          <w:rFonts w:ascii="Times New Roman" w:hAnsi="Times New Roman" w:cs="Times New Roman"/>
          <w:sz w:val="24"/>
          <w:szCs w:val="24"/>
        </w:rPr>
        <w:t xml:space="preserve">studied </w:t>
      </w:r>
      <w:r w:rsidR="00AF21E7">
        <w:rPr>
          <w:rFonts w:ascii="Times New Roman" w:hAnsi="Times New Roman" w:cs="Times New Roman"/>
          <w:sz w:val="24"/>
          <w:szCs w:val="24"/>
        </w:rPr>
        <w:t>to reduce signs of PCOS in rat ovarian tissue</w:t>
      </w:r>
      <w:r w:rsidR="00AF21E7" w:rsidRPr="00AF21E7">
        <w:rPr>
          <w:rFonts w:ascii="Times New Roman" w:hAnsi="Times New Roman" w:cs="Times New Roman"/>
          <w:sz w:val="24"/>
          <w:szCs w:val="24"/>
          <w:vertAlign w:val="superscript"/>
        </w:rPr>
        <w:t>36</w:t>
      </w:r>
      <w:r w:rsidR="00AF21E7">
        <w:rPr>
          <w:rFonts w:ascii="Times New Roman" w:hAnsi="Times New Roman" w:cs="Times New Roman"/>
          <w:sz w:val="24"/>
          <w:szCs w:val="24"/>
        </w:rPr>
        <w:t>.</w:t>
      </w:r>
      <w:r w:rsidR="00AF21E7">
        <w:rPr>
          <w:rFonts w:ascii="Times New Roman" w:hAnsi="Times New Roman" w:cs="Times New Roman"/>
          <w:sz w:val="24"/>
          <w:szCs w:val="24"/>
          <w:vertAlign w:val="superscript"/>
        </w:rPr>
        <w:t xml:space="preserve"> </w:t>
      </w:r>
      <w:r w:rsidR="00B912B1">
        <w:rPr>
          <w:rFonts w:ascii="Times New Roman" w:hAnsi="Times New Roman" w:cs="Times New Roman"/>
          <w:sz w:val="24"/>
          <w:szCs w:val="24"/>
        </w:rPr>
        <w:t>One study with 15 PCOS women sample identified the role of Cinnamon extract on menstrual cycle through reduction in insulin resistance</w:t>
      </w:r>
      <w:r w:rsidR="00880413" w:rsidRPr="00880413">
        <w:rPr>
          <w:rFonts w:ascii="Times New Roman" w:hAnsi="Times New Roman" w:cs="Times New Roman"/>
          <w:sz w:val="24"/>
          <w:szCs w:val="24"/>
          <w:vertAlign w:val="superscript"/>
        </w:rPr>
        <w:t>31</w:t>
      </w:r>
      <w:r w:rsidR="00B912B1">
        <w:rPr>
          <w:rFonts w:ascii="Times New Roman" w:hAnsi="Times New Roman" w:cs="Times New Roman"/>
          <w:sz w:val="24"/>
          <w:szCs w:val="24"/>
        </w:rPr>
        <w:t xml:space="preserve">. </w:t>
      </w:r>
      <w:r w:rsidRPr="008C51C9">
        <w:rPr>
          <w:rFonts w:ascii="Times New Roman" w:hAnsi="Times New Roman" w:cs="Times New Roman"/>
          <w:sz w:val="24"/>
          <w:szCs w:val="24"/>
        </w:rPr>
        <w:t>Thus, there are al</w:t>
      </w:r>
      <w:r w:rsidR="00B912B1">
        <w:rPr>
          <w:rFonts w:ascii="Times New Roman" w:hAnsi="Times New Roman" w:cs="Times New Roman"/>
          <w:sz w:val="24"/>
          <w:szCs w:val="24"/>
        </w:rPr>
        <w:t>most</w:t>
      </w:r>
      <w:r w:rsidRPr="008C51C9">
        <w:rPr>
          <w:rFonts w:ascii="Times New Roman" w:hAnsi="Times New Roman" w:cs="Times New Roman"/>
          <w:sz w:val="24"/>
          <w:szCs w:val="24"/>
        </w:rPr>
        <w:t xml:space="preserve"> no human clinical trials to establish </w:t>
      </w:r>
      <w:r>
        <w:rPr>
          <w:rFonts w:ascii="Times New Roman" w:hAnsi="Times New Roman" w:cs="Times New Roman"/>
          <w:sz w:val="24"/>
          <w:szCs w:val="24"/>
        </w:rPr>
        <w:t>CAM</w:t>
      </w:r>
      <w:r w:rsidRPr="008C51C9">
        <w:rPr>
          <w:rFonts w:ascii="Times New Roman" w:hAnsi="Times New Roman" w:cs="Times New Roman"/>
          <w:sz w:val="24"/>
          <w:szCs w:val="24"/>
        </w:rPr>
        <w:t xml:space="preserve"> efficacy to manage PCOS</w:t>
      </w:r>
      <w:r w:rsidR="00B912B1">
        <w:rPr>
          <w:rFonts w:ascii="Times New Roman" w:hAnsi="Times New Roman" w:cs="Times New Roman"/>
          <w:sz w:val="24"/>
          <w:szCs w:val="24"/>
        </w:rPr>
        <w:t xml:space="preserve"> as a syndrome with multiple symptoms</w:t>
      </w:r>
      <w:r w:rsidRPr="008C51C9">
        <w:rPr>
          <w:rFonts w:ascii="Times New Roman" w:hAnsi="Times New Roman" w:cs="Times New Roman"/>
          <w:sz w:val="24"/>
          <w:szCs w:val="24"/>
        </w:rPr>
        <w:t>.</w:t>
      </w:r>
    </w:p>
    <w:p w14:paraId="4392247A" w14:textId="77777777" w:rsidR="00B912B1" w:rsidRDefault="00B912B1" w:rsidP="002B250B">
      <w:pPr>
        <w:spacing w:after="0" w:line="240" w:lineRule="auto"/>
        <w:jc w:val="both"/>
        <w:rPr>
          <w:rFonts w:ascii="Times New Roman" w:hAnsi="Times New Roman" w:cs="Times New Roman"/>
          <w:sz w:val="24"/>
          <w:szCs w:val="24"/>
        </w:rPr>
      </w:pPr>
    </w:p>
    <w:p w14:paraId="588E46B8" w14:textId="0AB6DC5A" w:rsidR="00880413" w:rsidRDefault="00880413" w:rsidP="002B250B">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This study </w:t>
      </w:r>
      <w:r w:rsidR="00400E8A" w:rsidRPr="00400E8A">
        <w:rPr>
          <w:rFonts w:ascii="Times New Roman" w:hAnsi="Times New Roman" w:cs="Times New Roman"/>
          <w:sz w:val="24"/>
          <w:szCs w:val="24"/>
        </w:rPr>
        <w:t>is</w:t>
      </w:r>
      <w:r>
        <w:rPr>
          <w:rFonts w:ascii="Times New Roman" w:hAnsi="Times New Roman" w:cs="Times New Roman"/>
          <w:sz w:val="24"/>
          <w:szCs w:val="24"/>
        </w:rPr>
        <w:t xml:space="preserve"> be the one to study the effect of natural oil-blend on PCOS symptoms including both subjective and objective ones. </w:t>
      </w:r>
      <w:r w:rsidR="00052553" w:rsidRPr="008C51C9">
        <w:rPr>
          <w:rFonts w:ascii="Times New Roman" w:hAnsi="Times New Roman" w:cs="Times New Roman"/>
          <w:sz w:val="24"/>
          <w:szCs w:val="24"/>
        </w:rPr>
        <w:t>T</w:t>
      </w:r>
      <w:r w:rsidR="00CE278B" w:rsidRPr="008C51C9">
        <w:rPr>
          <w:rFonts w:ascii="Times New Roman" w:hAnsi="Times New Roman" w:cs="Times New Roman"/>
          <w:sz w:val="24"/>
          <w:szCs w:val="24"/>
        </w:rPr>
        <w:t xml:space="preserve">he test group experienced </w:t>
      </w:r>
      <w:r>
        <w:rPr>
          <w:rFonts w:ascii="Times New Roman" w:hAnsi="Times New Roman" w:cs="Times New Roman"/>
          <w:sz w:val="24"/>
          <w:szCs w:val="24"/>
        </w:rPr>
        <w:t xml:space="preserve">1. </w:t>
      </w:r>
      <w:r w:rsidR="00CE278B" w:rsidRPr="008C51C9">
        <w:rPr>
          <w:rFonts w:ascii="Times New Roman" w:hAnsi="Times New Roman" w:cs="Times New Roman"/>
          <w:sz w:val="24"/>
          <w:szCs w:val="24"/>
        </w:rPr>
        <w:t>a significant decline in the level of irregularity of their menstrual cycles</w:t>
      </w:r>
      <w:r>
        <w:rPr>
          <w:rFonts w:ascii="Times New Roman" w:hAnsi="Times New Roman" w:cs="Times New Roman"/>
          <w:sz w:val="24"/>
          <w:szCs w:val="24"/>
        </w:rPr>
        <w:t xml:space="preserve">, 2. a </w:t>
      </w:r>
      <w:r w:rsidR="003545FB" w:rsidRPr="008C51C9">
        <w:rPr>
          <w:rFonts w:ascii="Times New Roman" w:hAnsi="Times New Roman" w:cs="Times New Roman"/>
          <w:sz w:val="24"/>
          <w:szCs w:val="24"/>
        </w:rPr>
        <w:t xml:space="preserve">significant improvement for severe and moderate duration of </w:t>
      </w:r>
      <w:r w:rsidR="00F46B6C" w:rsidRPr="008C51C9">
        <w:rPr>
          <w:rFonts w:ascii="Times New Roman" w:hAnsi="Times New Roman" w:cs="Times New Roman"/>
          <w:sz w:val="24"/>
          <w:szCs w:val="24"/>
        </w:rPr>
        <w:t>bleeding</w:t>
      </w:r>
      <w:r w:rsidR="003545FB" w:rsidRPr="008C51C9">
        <w:rPr>
          <w:rFonts w:ascii="Times New Roman" w:hAnsi="Times New Roman" w:cs="Times New Roman"/>
          <w:sz w:val="24"/>
          <w:szCs w:val="24"/>
        </w:rPr>
        <w:t xml:space="preserve"> cycle</w:t>
      </w:r>
      <w:r>
        <w:rPr>
          <w:rFonts w:ascii="Times New Roman" w:hAnsi="Times New Roman" w:cs="Times New Roman"/>
          <w:sz w:val="24"/>
          <w:szCs w:val="24"/>
        </w:rPr>
        <w:t xml:space="preserve">, 3. </w:t>
      </w:r>
      <w:r w:rsidR="002B250B" w:rsidRPr="008C51C9">
        <w:rPr>
          <w:rFonts w:ascii="Times New Roman" w:hAnsi="Times New Roman" w:cs="Times New Roman"/>
          <w:sz w:val="24"/>
          <w:szCs w:val="24"/>
        </w:rPr>
        <w:t>a</w:t>
      </w:r>
      <w:r w:rsidR="009B6BC8" w:rsidRPr="008C51C9">
        <w:rPr>
          <w:rFonts w:ascii="Times New Roman" w:hAnsi="Times New Roman" w:cs="Times New Roman"/>
          <w:sz w:val="24"/>
          <w:szCs w:val="24"/>
        </w:rPr>
        <w:t xml:space="preserve"> shift from heavier to regular menstrual bleeding</w:t>
      </w:r>
      <w:r>
        <w:rPr>
          <w:rFonts w:ascii="Times New Roman" w:hAnsi="Times New Roman" w:cs="Times New Roman"/>
          <w:sz w:val="24"/>
          <w:szCs w:val="24"/>
        </w:rPr>
        <w:t xml:space="preserve">, 4. </w:t>
      </w:r>
      <w:r w:rsidR="002B250B" w:rsidRPr="008C51C9">
        <w:rPr>
          <w:rFonts w:ascii="Times New Roman" w:hAnsi="Times New Roman" w:cs="Times New Roman"/>
          <w:iCs/>
          <w:sz w:val="24"/>
          <w:szCs w:val="24"/>
        </w:rPr>
        <w:t>a</w:t>
      </w:r>
      <w:r w:rsidR="003545FB" w:rsidRPr="008C51C9">
        <w:rPr>
          <w:rFonts w:ascii="Times New Roman" w:hAnsi="Times New Roman" w:cs="Times New Roman"/>
          <w:iCs/>
          <w:sz w:val="24"/>
          <w:szCs w:val="24"/>
        </w:rPr>
        <w:t xml:space="preserve"> significant shift in experiencing severe menstrual pain to mild or no pain as compared to placebo.</w:t>
      </w:r>
      <w:r w:rsidR="00F46B6C" w:rsidRPr="008C51C9">
        <w:rPr>
          <w:rFonts w:ascii="Times New Roman" w:hAnsi="Times New Roman" w:cs="Times New Roman"/>
          <w:iCs/>
          <w:sz w:val="24"/>
          <w:szCs w:val="24"/>
        </w:rPr>
        <w:t xml:space="preserve"> Overall, it can be inferred that test oil has positive impact in managing subjective symptoms of PCOS.</w:t>
      </w:r>
      <w:r>
        <w:rPr>
          <w:rFonts w:ascii="Times New Roman" w:hAnsi="Times New Roman" w:cs="Times New Roman"/>
          <w:iCs/>
          <w:sz w:val="24"/>
          <w:szCs w:val="24"/>
        </w:rPr>
        <w:t xml:space="preserve"> With respect to objective parameters, t</w:t>
      </w:r>
      <w:r w:rsidRPr="008C51C9">
        <w:rPr>
          <w:rFonts w:ascii="Times New Roman" w:hAnsi="Times New Roman" w:cs="Times New Roman"/>
          <w:iCs/>
          <w:sz w:val="24"/>
          <w:szCs w:val="24"/>
        </w:rPr>
        <w:t>here</w:t>
      </w:r>
      <w:r w:rsidR="00543C27" w:rsidRPr="008C51C9">
        <w:rPr>
          <w:rFonts w:ascii="Times New Roman" w:hAnsi="Times New Roman" w:cs="Times New Roman"/>
          <w:iCs/>
          <w:sz w:val="24"/>
          <w:szCs w:val="24"/>
        </w:rPr>
        <w:t xml:space="preserve"> was a significant decrease in hirsutism symptom.</w:t>
      </w:r>
      <w:r w:rsidR="00543C27">
        <w:rPr>
          <w:rFonts w:ascii="Times New Roman" w:hAnsi="Times New Roman" w:cs="Times New Roman"/>
          <w:iCs/>
          <w:sz w:val="24"/>
          <w:szCs w:val="24"/>
        </w:rPr>
        <w:t xml:space="preserve"> </w:t>
      </w:r>
      <w:r w:rsidR="002B250B" w:rsidRPr="008C51C9">
        <w:rPr>
          <w:rFonts w:ascii="Times New Roman" w:hAnsi="Times New Roman" w:cs="Times New Roman"/>
          <w:iCs/>
          <w:sz w:val="24"/>
          <w:szCs w:val="24"/>
        </w:rPr>
        <w:t xml:space="preserve">The USG results after test </w:t>
      </w:r>
      <w:r w:rsidR="009502F3" w:rsidRPr="008C51C9">
        <w:rPr>
          <w:rFonts w:ascii="Times New Roman" w:hAnsi="Times New Roman" w:cs="Times New Roman"/>
          <w:iCs/>
          <w:sz w:val="24"/>
          <w:szCs w:val="24"/>
        </w:rPr>
        <w:t>oil</w:t>
      </w:r>
      <w:r w:rsidR="002B250B" w:rsidRPr="008C51C9">
        <w:rPr>
          <w:rFonts w:ascii="Times New Roman" w:hAnsi="Times New Roman" w:cs="Times New Roman"/>
          <w:iCs/>
          <w:sz w:val="24"/>
          <w:szCs w:val="24"/>
        </w:rPr>
        <w:t xml:space="preserve"> treatment have shown significant reduction in </w:t>
      </w:r>
      <w:r w:rsidR="009502F3" w:rsidRPr="008C51C9">
        <w:rPr>
          <w:rFonts w:ascii="Times New Roman" w:hAnsi="Times New Roman" w:cs="Times New Roman"/>
          <w:iCs/>
          <w:sz w:val="24"/>
          <w:szCs w:val="24"/>
        </w:rPr>
        <w:t xml:space="preserve">ovarian </w:t>
      </w:r>
      <w:r w:rsidR="002B250B" w:rsidRPr="008C51C9">
        <w:rPr>
          <w:rFonts w:ascii="Times New Roman" w:hAnsi="Times New Roman" w:cs="Times New Roman"/>
          <w:iCs/>
          <w:sz w:val="24"/>
          <w:szCs w:val="24"/>
        </w:rPr>
        <w:t xml:space="preserve">volume as well as reduction is follicular cysts of both right and left ovaries. </w:t>
      </w:r>
      <w:r w:rsidR="009502F3" w:rsidRPr="008C51C9">
        <w:rPr>
          <w:rFonts w:ascii="Times New Roman" w:hAnsi="Times New Roman" w:cs="Times New Roman"/>
          <w:iCs/>
          <w:sz w:val="24"/>
          <w:szCs w:val="24"/>
        </w:rPr>
        <w:t xml:space="preserve">A </w:t>
      </w:r>
      <w:r w:rsidR="009502F3" w:rsidRPr="008C51C9">
        <w:rPr>
          <w:rFonts w:ascii="Times New Roman" w:hAnsi="Times New Roman" w:cs="Times New Roman"/>
          <w:iCs/>
          <w:sz w:val="24"/>
          <w:szCs w:val="24"/>
        </w:rPr>
        <w:lastRenderedPageBreak/>
        <w:t>significant increase in maturing follicles indicate increase</w:t>
      </w:r>
      <w:r w:rsidR="00F46B6C" w:rsidRPr="008C51C9">
        <w:rPr>
          <w:rFonts w:ascii="Times New Roman" w:hAnsi="Times New Roman" w:cs="Times New Roman"/>
          <w:iCs/>
          <w:sz w:val="24"/>
          <w:szCs w:val="24"/>
        </w:rPr>
        <w:t>d</w:t>
      </w:r>
      <w:r w:rsidR="009502F3" w:rsidRPr="008C51C9">
        <w:rPr>
          <w:rFonts w:ascii="Times New Roman" w:hAnsi="Times New Roman" w:cs="Times New Roman"/>
          <w:iCs/>
          <w:sz w:val="24"/>
          <w:szCs w:val="24"/>
        </w:rPr>
        <w:t xml:space="preserve"> chances of ovulation which may lead to </w:t>
      </w:r>
      <w:r w:rsidR="000C3954" w:rsidRPr="008C51C9">
        <w:rPr>
          <w:rFonts w:ascii="Times New Roman" w:hAnsi="Times New Roman" w:cs="Times New Roman"/>
          <w:iCs/>
          <w:sz w:val="24"/>
          <w:szCs w:val="24"/>
        </w:rPr>
        <w:t xml:space="preserve">improved </w:t>
      </w:r>
      <w:r w:rsidR="009502F3" w:rsidRPr="008C51C9">
        <w:rPr>
          <w:rFonts w:ascii="Times New Roman" w:hAnsi="Times New Roman" w:cs="Times New Roman"/>
          <w:iCs/>
          <w:sz w:val="24"/>
          <w:szCs w:val="24"/>
        </w:rPr>
        <w:t xml:space="preserve">fertility in women suffering from PCOS. </w:t>
      </w:r>
      <w:r w:rsidR="00543C27">
        <w:rPr>
          <w:rFonts w:ascii="Times New Roman" w:hAnsi="Times New Roman" w:cs="Times New Roman"/>
          <w:iCs/>
          <w:sz w:val="24"/>
          <w:szCs w:val="24"/>
        </w:rPr>
        <w:t xml:space="preserve">In a 6-month follow up nearly 38% patients had successfully conceived. </w:t>
      </w:r>
      <w:r w:rsidR="002B250B" w:rsidRPr="008C51C9">
        <w:rPr>
          <w:rFonts w:ascii="Times New Roman" w:hAnsi="Times New Roman" w:cs="Times New Roman"/>
          <w:iCs/>
          <w:sz w:val="24"/>
          <w:szCs w:val="24"/>
        </w:rPr>
        <w:t xml:space="preserve"> </w:t>
      </w:r>
    </w:p>
    <w:p w14:paraId="653BD7FC" w14:textId="77777777" w:rsidR="00880413" w:rsidRDefault="00880413" w:rsidP="002B250B">
      <w:pPr>
        <w:spacing w:after="0" w:line="240" w:lineRule="auto"/>
        <w:jc w:val="both"/>
        <w:rPr>
          <w:rFonts w:ascii="Times New Roman" w:hAnsi="Times New Roman" w:cs="Times New Roman"/>
          <w:iCs/>
          <w:sz w:val="24"/>
          <w:szCs w:val="24"/>
        </w:rPr>
      </w:pPr>
    </w:p>
    <w:p w14:paraId="43D9C1E7" w14:textId="6F269279" w:rsidR="007E07CF" w:rsidRPr="008C51C9" w:rsidRDefault="00880413" w:rsidP="002B250B">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promising results indicate that the test oil can be considered for PCOS management. Nonetheless, the results can’t be generalized considering </w:t>
      </w:r>
      <w:r w:rsidR="004B27BC">
        <w:rPr>
          <w:rFonts w:ascii="Times New Roman" w:hAnsi="Times New Roman" w:cs="Times New Roman"/>
          <w:iCs/>
          <w:sz w:val="24"/>
          <w:szCs w:val="24"/>
        </w:rPr>
        <w:t xml:space="preserve">various physiological parameters with patients and may be further explored. </w:t>
      </w:r>
      <w:r w:rsidR="002B250B" w:rsidRPr="008C51C9">
        <w:rPr>
          <w:rFonts w:ascii="Times New Roman" w:hAnsi="Times New Roman" w:cs="Times New Roman"/>
          <w:iCs/>
          <w:sz w:val="24"/>
          <w:szCs w:val="24"/>
        </w:rPr>
        <w:t xml:space="preserve"> </w:t>
      </w:r>
    </w:p>
    <w:p w14:paraId="13F08F37" w14:textId="77777777" w:rsidR="007E07CF" w:rsidRDefault="007E07CF" w:rsidP="002B250B">
      <w:pPr>
        <w:spacing w:after="0" w:line="240" w:lineRule="auto"/>
        <w:jc w:val="both"/>
        <w:rPr>
          <w:rFonts w:ascii="Times New Roman" w:hAnsi="Times New Roman" w:cs="Times New Roman"/>
          <w:iCs/>
          <w:sz w:val="24"/>
          <w:szCs w:val="24"/>
        </w:rPr>
      </w:pPr>
    </w:p>
    <w:p w14:paraId="204976D8" w14:textId="77777777" w:rsidR="008F71E9" w:rsidRDefault="008F71E9" w:rsidP="002B250B">
      <w:pPr>
        <w:spacing w:after="0" w:line="240" w:lineRule="auto"/>
        <w:jc w:val="both"/>
        <w:rPr>
          <w:rFonts w:ascii="Times New Roman" w:hAnsi="Times New Roman" w:cs="Times New Roman"/>
          <w:b/>
          <w:bCs/>
          <w:iCs/>
          <w:sz w:val="28"/>
          <w:szCs w:val="28"/>
        </w:rPr>
      </w:pPr>
    </w:p>
    <w:p w14:paraId="0EB2F1B9" w14:textId="79251FFF" w:rsidR="007C1659" w:rsidRPr="00C27150" w:rsidRDefault="007C1659" w:rsidP="002B250B">
      <w:pPr>
        <w:spacing w:after="0" w:line="240" w:lineRule="auto"/>
        <w:jc w:val="both"/>
        <w:rPr>
          <w:rFonts w:ascii="Times New Roman" w:hAnsi="Times New Roman" w:cs="Times New Roman"/>
          <w:iCs/>
          <w:sz w:val="28"/>
          <w:szCs w:val="28"/>
        </w:rPr>
      </w:pPr>
      <w:r w:rsidRPr="00C27150">
        <w:rPr>
          <w:rFonts w:ascii="Times New Roman" w:hAnsi="Times New Roman" w:cs="Times New Roman"/>
          <w:b/>
          <w:bCs/>
          <w:iCs/>
          <w:sz w:val="28"/>
          <w:szCs w:val="28"/>
        </w:rPr>
        <w:t>Conclusion</w:t>
      </w:r>
    </w:p>
    <w:p w14:paraId="01EFF74A" w14:textId="77777777" w:rsidR="007C1659" w:rsidRPr="008C51C9" w:rsidRDefault="007C1659" w:rsidP="007C1659">
      <w:pPr>
        <w:spacing w:after="0" w:line="240" w:lineRule="auto"/>
        <w:jc w:val="both"/>
        <w:rPr>
          <w:rFonts w:ascii="Times New Roman" w:hAnsi="Times New Roman" w:cs="Times New Roman"/>
          <w:sz w:val="24"/>
          <w:szCs w:val="24"/>
        </w:rPr>
      </w:pPr>
      <w:r w:rsidRPr="008C51C9">
        <w:rPr>
          <w:rFonts w:ascii="Times New Roman" w:hAnsi="Times New Roman" w:cs="Times New Roman"/>
          <w:sz w:val="24"/>
          <w:szCs w:val="24"/>
        </w:rPr>
        <w:t>This study is the one to assess the effectiveness of topical application of 100% plant-extract based natural oil</w:t>
      </w:r>
      <w:r>
        <w:rPr>
          <w:rFonts w:ascii="Times New Roman" w:hAnsi="Times New Roman" w:cs="Times New Roman"/>
          <w:sz w:val="24"/>
          <w:szCs w:val="24"/>
        </w:rPr>
        <w:t>-</w:t>
      </w:r>
      <w:r w:rsidRPr="008C51C9">
        <w:rPr>
          <w:rFonts w:ascii="Times New Roman" w:hAnsi="Times New Roman" w:cs="Times New Roman"/>
          <w:sz w:val="24"/>
          <w:szCs w:val="24"/>
        </w:rPr>
        <w:t>blend on the management of PCOS. There is nothing to ingest and only topical application is required. The test oil</w:t>
      </w:r>
      <w:r w:rsidR="00F67D66">
        <w:rPr>
          <w:rFonts w:ascii="Times New Roman" w:hAnsi="Times New Roman" w:cs="Times New Roman"/>
          <w:sz w:val="24"/>
          <w:szCs w:val="24"/>
        </w:rPr>
        <w:t>-</w:t>
      </w:r>
      <w:r w:rsidRPr="008C51C9">
        <w:rPr>
          <w:rFonts w:ascii="Times New Roman" w:hAnsi="Times New Roman" w:cs="Times New Roman"/>
          <w:sz w:val="24"/>
          <w:szCs w:val="24"/>
        </w:rPr>
        <w:t xml:space="preserve">blend is </w:t>
      </w:r>
      <w:r w:rsidR="00465811">
        <w:rPr>
          <w:rFonts w:ascii="Times New Roman" w:hAnsi="Times New Roman" w:cs="Times New Roman"/>
          <w:sz w:val="24"/>
          <w:szCs w:val="24"/>
        </w:rPr>
        <w:t xml:space="preserve">found effective </w:t>
      </w:r>
      <w:r w:rsidRPr="008C51C9">
        <w:rPr>
          <w:rFonts w:ascii="Times New Roman" w:hAnsi="Times New Roman" w:cs="Times New Roman"/>
          <w:sz w:val="24"/>
          <w:szCs w:val="24"/>
        </w:rPr>
        <w:t>to manage the syndrome by and large and effectively manage</w:t>
      </w:r>
      <w:r w:rsidR="00465811">
        <w:rPr>
          <w:rFonts w:ascii="Times New Roman" w:hAnsi="Times New Roman" w:cs="Times New Roman"/>
          <w:sz w:val="24"/>
          <w:szCs w:val="24"/>
        </w:rPr>
        <w:t>d</w:t>
      </w:r>
      <w:r w:rsidRPr="008C51C9">
        <w:rPr>
          <w:rFonts w:ascii="Times New Roman" w:hAnsi="Times New Roman" w:cs="Times New Roman"/>
          <w:sz w:val="24"/>
          <w:szCs w:val="24"/>
        </w:rPr>
        <w:t xml:space="preserve"> a number of symptoms of PCOS rather than working on isolated symptoms of PCOS. The cost effectiveness is not directly measured in the study but significant cost effectiveness is evident considering the cost of hospitalization, medicines among others plus huge cost of physical and psychological discomfort to patients suffering from PCOS. </w:t>
      </w:r>
    </w:p>
    <w:p w14:paraId="6DEE8462" w14:textId="77777777" w:rsidR="007C1659" w:rsidRPr="008C51C9" w:rsidRDefault="007C1659" w:rsidP="002B250B">
      <w:pPr>
        <w:spacing w:after="0" w:line="240" w:lineRule="auto"/>
        <w:jc w:val="both"/>
        <w:rPr>
          <w:rFonts w:ascii="Times New Roman" w:hAnsi="Times New Roman" w:cs="Times New Roman"/>
          <w:iCs/>
          <w:sz w:val="24"/>
          <w:szCs w:val="24"/>
        </w:rPr>
      </w:pPr>
    </w:p>
    <w:p w14:paraId="72598DC6" w14:textId="77777777" w:rsidR="005C3BF2" w:rsidRDefault="005C3BF2" w:rsidP="005C3BF2">
      <w:pPr>
        <w:spacing w:after="0" w:line="240" w:lineRule="auto"/>
        <w:rPr>
          <w:rFonts w:ascii="Times New Roman" w:hAnsi="Times New Roman" w:cs="Times New Roman"/>
          <w:sz w:val="24"/>
          <w:szCs w:val="24"/>
        </w:rPr>
      </w:pPr>
    </w:p>
    <w:p w14:paraId="71AC0C98"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Acknowledgements</w:t>
      </w:r>
    </w:p>
    <w:p w14:paraId="706C1DCD" w14:textId="77777777" w:rsidR="00F67D66" w:rsidRDefault="00F67D66" w:rsidP="00791D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author is thankful to the study participants.</w:t>
      </w:r>
    </w:p>
    <w:p w14:paraId="7EC038AE" w14:textId="77777777" w:rsidR="004C4683" w:rsidRPr="008C51C9" w:rsidRDefault="004C4683" w:rsidP="004C4683">
      <w:pPr>
        <w:spacing w:after="0" w:line="240" w:lineRule="auto"/>
        <w:rPr>
          <w:rFonts w:ascii="Times New Roman" w:hAnsi="Times New Roman" w:cs="Times New Roman"/>
          <w:sz w:val="24"/>
          <w:szCs w:val="24"/>
        </w:rPr>
      </w:pPr>
    </w:p>
    <w:p w14:paraId="2F4B6B1D" w14:textId="77777777" w:rsidR="004C4683" w:rsidRPr="008C51C9" w:rsidRDefault="004C4683" w:rsidP="004C4683">
      <w:pPr>
        <w:spacing w:after="0" w:line="240" w:lineRule="auto"/>
        <w:rPr>
          <w:rFonts w:ascii="Times New Roman" w:hAnsi="Times New Roman" w:cs="Times New Roman"/>
          <w:sz w:val="24"/>
          <w:szCs w:val="24"/>
        </w:rPr>
      </w:pPr>
    </w:p>
    <w:p w14:paraId="7B5913C5" w14:textId="77777777" w:rsidR="005C3BF2" w:rsidRPr="008C51C9" w:rsidRDefault="005C3BF2" w:rsidP="005C3BF2">
      <w:pPr>
        <w:spacing w:after="0" w:line="240" w:lineRule="auto"/>
        <w:rPr>
          <w:rFonts w:ascii="Times New Roman" w:hAnsi="Times New Roman" w:cs="Times New Roman"/>
          <w:b/>
          <w:bCs/>
          <w:sz w:val="24"/>
          <w:szCs w:val="24"/>
        </w:rPr>
      </w:pPr>
      <w:r w:rsidRPr="008C51C9">
        <w:rPr>
          <w:rFonts w:ascii="Times New Roman" w:hAnsi="Times New Roman" w:cs="Times New Roman"/>
          <w:b/>
          <w:bCs/>
          <w:sz w:val="24"/>
          <w:szCs w:val="24"/>
        </w:rPr>
        <w:t>References</w:t>
      </w:r>
    </w:p>
    <w:p w14:paraId="23585D69"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Pr="008C51C9">
        <w:rPr>
          <w:rFonts w:ascii="Times New Roman" w:hAnsi="Times New Roman" w:cs="Times New Roman"/>
          <w:sz w:val="24"/>
          <w:szCs w:val="24"/>
        </w:rPr>
        <w:tab/>
        <w:t>Evans TN</w:t>
      </w:r>
      <w:r w:rsidR="007501ED" w:rsidRPr="008C51C9">
        <w:rPr>
          <w:rFonts w:ascii="Times New Roman" w:hAnsi="Times New Roman" w:cs="Times New Roman"/>
          <w:sz w:val="24"/>
          <w:szCs w:val="24"/>
        </w:rPr>
        <w:t>,</w:t>
      </w:r>
      <w:r w:rsidRPr="008C51C9">
        <w:rPr>
          <w:rFonts w:ascii="Times New Roman" w:hAnsi="Times New Roman" w:cs="Times New Roman"/>
          <w:sz w:val="24"/>
          <w:szCs w:val="24"/>
        </w:rPr>
        <w:t xml:space="preserve"> Riley GM. Polycystic ovarian disease (Stein-Leventhal syndrome)</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etiology and rationale for surgical treatment. </w:t>
      </w:r>
      <w:r w:rsidRPr="008C51C9">
        <w:rPr>
          <w:rFonts w:ascii="Times New Roman" w:hAnsi="Times New Roman" w:cs="Times New Roman"/>
          <w:i/>
          <w:iCs/>
          <w:sz w:val="24"/>
          <w:szCs w:val="24"/>
        </w:rPr>
        <w:t>Obstet. Gynecol.</w:t>
      </w:r>
      <w:r w:rsidR="00FC185A" w:rsidRPr="008C51C9">
        <w:rPr>
          <w:rFonts w:ascii="Times New Roman" w:hAnsi="Times New Roman" w:cs="Times New Roman"/>
          <w:sz w:val="24"/>
          <w:szCs w:val="24"/>
        </w:rPr>
        <w:t xml:space="preserve"> 1958; </w:t>
      </w:r>
      <w:r w:rsidRPr="008C51C9">
        <w:rPr>
          <w:rFonts w:ascii="Times New Roman" w:hAnsi="Times New Roman" w:cs="Times New Roman"/>
          <w:b/>
          <w:bCs/>
          <w:sz w:val="24"/>
          <w:szCs w:val="24"/>
        </w:rPr>
        <w:t>12</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168–179.</w:t>
      </w:r>
    </w:p>
    <w:p w14:paraId="10044DE7"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Pr="008C51C9">
        <w:rPr>
          <w:rFonts w:ascii="Times New Roman" w:hAnsi="Times New Roman" w:cs="Times New Roman"/>
          <w:sz w:val="24"/>
          <w:szCs w:val="24"/>
        </w:rPr>
        <w:tab/>
      </w:r>
      <w:r w:rsidR="00FC185A" w:rsidRPr="008C51C9">
        <w:rPr>
          <w:rFonts w:ascii="Times New Roman" w:hAnsi="Times New Roman" w:cs="Times New Roman"/>
          <w:sz w:val="24"/>
          <w:szCs w:val="24"/>
        </w:rPr>
        <w:t>Azziz R, Woods KS, Reyna R, et al.</w:t>
      </w:r>
      <w:r w:rsidRPr="008C51C9">
        <w:rPr>
          <w:rFonts w:ascii="Times New Roman" w:hAnsi="Times New Roman" w:cs="Times New Roman"/>
          <w:sz w:val="24"/>
          <w:szCs w:val="24"/>
        </w:rPr>
        <w:t xml:space="preserve"> The prevalence and features of the polycystic ovary syndrome in an unselected population. </w:t>
      </w:r>
      <w:r w:rsidRPr="008C51C9">
        <w:rPr>
          <w:rFonts w:ascii="Times New Roman" w:hAnsi="Times New Roman" w:cs="Times New Roman"/>
          <w:i/>
          <w:iCs/>
          <w:sz w:val="24"/>
          <w:szCs w:val="24"/>
        </w:rPr>
        <w:t>J. Clin. Endocrinol. Metab.</w:t>
      </w:r>
      <w:r w:rsidR="00FC185A" w:rsidRPr="008C51C9">
        <w:rPr>
          <w:rFonts w:ascii="Times New Roman" w:hAnsi="Times New Roman" w:cs="Times New Roman"/>
          <w:sz w:val="24"/>
          <w:szCs w:val="24"/>
        </w:rPr>
        <w:t xml:space="preserve"> 2004; </w:t>
      </w:r>
      <w:r w:rsidRPr="008C51C9">
        <w:rPr>
          <w:rFonts w:ascii="Times New Roman" w:hAnsi="Times New Roman" w:cs="Times New Roman"/>
          <w:b/>
          <w:bCs/>
          <w:sz w:val="24"/>
          <w:szCs w:val="24"/>
        </w:rPr>
        <w:t>89</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2745–2749.</w:t>
      </w:r>
    </w:p>
    <w:p w14:paraId="102D58B5"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Pr="008C51C9">
        <w:rPr>
          <w:rFonts w:ascii="Times New Roman" w:hAnsi="Times New Roman" w:cs="Times New Roman"/>
          <w:sz w:val="24"/>
          <w:szCs w:val="24"/>
        </w:rPr>
        <w:tab/>
        <w:t>Yildiz BO, Bozdag G, Yapici Z, Esinler I</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Yarali, H. Prevalence, phenotype and cardiometabolic risk of polycystic ovary syndrome under different diagnostic criteria. </w:t>
      </w:r>
      <w:r w:rsidRPr="008C51C9">
        <w:rPr>
          <w:rFonts w:ascii="Times New Roman" w:hAnsi="Times New Roman" w:cs="Times New Roman"/>
          <w:i/>
          <w:iCs/>
          <w:sz w:val="24"/>
          <w:szCs w:val="24"/>
        </w:rPr>
        <w:t>Hum. Reprod.</w:t>
      </w:r>
      <w:r w:rsidR="00FC185A" w:rsidRPr="008C51C9">
        <w:rPr>
          <w:rFonts w:ascii="Times New Roman" w:hAnsi="Times New Roman" w:cs="Times New Roman"/>
          <w:sz w:val="24"/>
          <w:szCs w:val="24"/>
        </w:rPr>
        <w:t xml:space="preserve"> 2012; </w:t>
      </w:r>
      <w:r w:rsidRPr="008C51C9">
        <w:rPr>
          <w:rFonts w:ascii="Times New Roman" w:hAnsi="Times New Roman" w:cs="Times New Roman"/>
          <w:b/>
          <w:bCs/>
          <w:sz w:val="24"/>
          <w:szCs w:val="24"/>
        </w:rPr>
        <w:t>27</w:t>
      </w:r>
      <w:r w:rsidR="00FC185A"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3067–3073.</w:t>
      </w:r>
    </w:p>
    <w:p w14:paraId="36B0DDAA"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4.</w:t>
      </w:r>
      <w:r w:rsidRPr="008C51C9">
        <w:rPr>
          <w:rFonts w:ascii="Times New Roman" w:hAnsi="Times New Roman" w:cs="Times New Roman"/>
          <w:sz w:val="24"/>
          <w:szCs w:val="24"/>
        </w:rPr>
        <w:tab/>
        <w:t>El Hayek S, Bitar L, Hamdar LH, Mirza FG</w:t>
      </w:r>
      <w:r w:rsidR="00FC185A" w:rsidRPr="008C51C9">
        <w:rPr>
          <w:rFonts w:ascii="Times New Roman" w:hAnsi="Times New Roman" w:cs="Times New Roman"/>
          <w:sz w:val="24"/>
          <w:szCs w:val="24"/>
        </w:rPr>
        <w:t>,</w:t>
      </w:r>
      <w:r w:rsidRPr="008C51C9">
        <w:rPr>
          <w:rFonts w:ascii="Times New Roman" w:hAnsi="Times New Roman" w:cs="Times New Roman"/>
          <w:sz w:val="24"/>
          <w:szCs w:val="24"/>
        </w:rPr>
        <w:t xml:space="preserve"> Daoud G. Poly Cystic Ovarian Syndrome: </w:t>
      </w:r>
      <w:r w:rsidR="00A023BB" w:rsidRPr="008C51C9">
        <w:rPr>
          <w:rFonts w:ascii="Times New Roman" w:hAnsi="Times New Roman" w:cs="Times New Roman"/>
          <w:sz w:val="24"/>
          <w:szCs w:val="24"/>
        </w:rPr>
        <w:t>a</w:t>
      </w:r>
      <w:r w:rsidRPr="008C51C9">
        <w:rPr>
          <w:rFonts w:ascii="Times New Roman" w:hAnsi="Times New Roman" w:cs="Times New Roman"/>
          <w:sz w:val="24"/>
          <w:szCs w:val="24"/>
        </w:rPr>
        <w:t xml:space="preserve">n Updated Overview. </w:t>
      </w:r>
      <w:r w:rsidRPr="008C51C9">
        <w:rPr>
          <w:rFonts w:ascii="Times New Roman" w:hAnsi="Times New Roman" w:cs="Times New Roman"/>
          <w:i/>
          <w:iCs/>
          <w:sz w:val="24"/>
          <w:szCs w:val="24"/>
        </w:rPr>
        <w:t>Front. Physiol.</w:t>
      </w:r>
      <w:r w:rsidR="00FC185A"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7</w:t>
      </w:r>
      <w:r w:rsidR="00FC185A" w:rsidRPr="008C51C9">
        <w:rPr>
          <w:rFonts w:ascii="Times New Roman" w:hAnsi="Times New Roman" w:cs="Times New Roman"/>
          <w:b/>
          <w:bCs/>
          <w:sz w:val="24"/>
          <w:szCs w:val="24"/>
        </w:rPr>
        <w:t xml:space="preserve">: </w:t>
      </w:r>
      <w:r w:rsidR="00FC185A" w:rsidRPr="008C51C9">
        <w:rPr>
          <w:rFonts w:ascii="Times New Roman" w:hAnsi="Times New Roman" w:cs="Times New Roman"/>
          <w:sz w:val="24"/>
          <w:szCs w:val="24"/>
        </w:rPr>
        <w:t>124</w:t>
      </w:r>
      <w:r w:rsidRPr="008C51C9">
        <w:rPr>
          <w:rFonts w:ascii="Times New Roman" w:hAnsi="Times New Roman" w:cs="Times New Roman"/>
          <w:sz w:val="24"/>
          <w:szCs w:val="24"/>
        </w:rPr>
        <w:t>.</w:t>
      </w:r>
    </w:p>
    <w:p w14:paraId="3A34884B"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5.</w:t>
      </w:r>
      <w:r w:rsidRPr="008C51C9">
        <w:rPr>
          <w:rFonts w:ascii="Times New Roman" w:hAnsi="Times New Roman" w:cs="Times New Roman"/>
          <w:sz w:val="24"/>
          <w:szCs w:val="24"/>
        </w:rPr>
        <w:tab/>
        <w:t>Sirmans SM</w:t>
      </w:r>
      <w:r w:rsidR="00834E1C" w:rsidRPr="008C51C9">
        <w:rPr>
          <w:rFonts w:ascii="Times New Roman" w:hAnsi="Times New Roman" w:cs="Times New Roman"/>
          <w:sz w:val="24"/>
          <w:szCs w:val="24"/>
        </w:rPr>
        <w:t>,</w:t>
      </w:r>
      <w:r w:rsidRPr="008C51C9">
        <w:rPr>
          <w:rFonts w:ascii="Times New Roman" w:hAnsi="Times New Roman" w:cs="Times New Roman"/>
          <w:sz w:val="24"/>
          <w:szCs w:val="24"/>
        </w:rPr>
        <w:t xml:space="preserve"> Pate KA. Epidemiology, diagnosis, and management of polycystic ovary syndrome. </w:t>
      </w:r>
      <w:r w:rsidRPr="008C51C9">
        <w:rPr>
          <w:rFonts w:ascii="Times New Roman" w:hAnsi="Times New Roman" w:cs="Times New Roman"/>
          <w:i/>
          <w:iCs/>
          <w:sz w:val="24"/>
          <w:szCs w:val="24"/>
        </w:rPr>
        <w:t>Clin. Epidemiol.</w:t>
      </w:r>
      <w:r w:rsidR="00834E1C" w:rsidRPr="008C51C9">
        <w:rPr>
          <w:rFonts w:ascii="Times New Roman" w:hAnsi="Times New Roman" w:cs="Times New Roman"/>
          <w:sz w:val="24"/>
          <w:szCs w:val="24"/>
        </w:rPr>
        <w:t xml:space="preserve"> 2013; </w:t>
      </w:r>
      <w:r w:rsidRPr="008C51C9">
        <w:rPr>
          <w:rFonts w:ascii="Times New Roman" w:hAnsi="Times New Roman" w:cs="Times New Roman"/>
          <w:b/>
          <w:bCs/>
          <w:sz w:val="24"/>
          <w:szCs w:val="24"/>
        </w:rPr>
        <w:t>6</w:t>
      </w:r>
      <w:r w:rsidR="00834E1C"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1–13.</w:t>
      </w:r>
    </w:p>
    <w:p w14:paraId="0C5D6E4E"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6.</w:t>
      </w:r>
      <w:r w:rsidRPr="008C51C9">
        <w:rPr>
          <w:rFonts w:ascii="Times New Roman" w:hAnsi="Times New Roman" w:cs="Times New Roman"/>
          <w:sz w:val="24"/>
          <w:szCs w:val="24"/>
        </w:rPr>
        <w:tab/>
      </w:r>
      <w:r w:rsidR="0007242D" w:rsidRPr="008C51C9">
        <w:rPr>
          <w:rFonts w:ascii="Times New Roman" w:hAnsi="Times New Roman" w:cs="Times New Roman"/>
          <w:sz w:val="24"/>
          <w:szCs w:val="24"/>
        </w:rPr>
        <w:t>Leo VD, Musacchio MC, Cappelli V, et al.</w:t>
      </w:r>
      <w:r w:rsidRPr="008C51C9">
        <w:rPr>
          <w:rFonts w:ascii="Times New Roman" w:hAnsi="Times New Roman" w:cs="Times New Roman"/>
          <w:sz w:val="24"/>
          <w:szCs w:val="24"/>
        </w:rPr>
        <w:t xml:space="preserve"> Genetic, hormonal and metabolic aspects of PCOS: an update. </w:t>
      </w:r>
      <w:r w:rsidRPr="008C51C9">
        <w:rPr>
          <w:rFonts w:ascii="Times New Roman" w:hAnsi="Times New Roman" w:cs="Times New Roman"/>
          <w:i/>
          <w:iCs/>
          <w:sz w:val="24"/>
          <w:szCs w:val="24"/>
        </w:rPr>
        <w:t>Reprod. Biol. Endocrinol.</w:t>
      </w:r>
      <w:r w:rsidR="0007242D"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14</w:t>
      </w:r>
      <w:r w:rsidR="0007242D"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38.</w:t>
      </w:r>
    </w:p>
    <w:p w14:paraId="775D5DA1"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7.</w:t>
      </w:r>
      <w:r w:rsidRPr="008C51C9">
        <w:rPr>
          <w:rFonts w:ascii="Times New Roman" w:hAnsi="Times New Roman" w:cs="Times New Roman"/>
          <w:sz w:val="24"/>
          <w:szCs w:val="24"/>
        </w:rPr>
        <w:tab/>
        <w:t>Stein IF</w:t>
      </w:r>
      <w:r w:rsidR="00275974" w:rsidRPr="008C51C9">
        <w:rPr>
          <w:rFonts w:ascii="Times New Roman" w:hAnsi="Times New Roman" w:cs="Times New Roman"/>
          <w:sz w:val="24"/>
          <w:szCs w:val="24"/>
        </w:rPr>
        <w:t>,</w:t>
      </w:r>
      <w:r w:rsidRPr="008C51C9">
        <w:rPr>
          <w:rFonts w:ascii="Times New Roman" w:hAnsi="Times New Roman" w:cs="Times New Roman"/>
          <w:sz w:val="24"/>
          <w:szCs w:val="24"/>
        </w:rPr>
        <w:t xml:space="preserve"> Leventhal ML. Amenorrhea associated with bilateral polycystic ovaries. </w:t>
      </w:r>
      <w:r w:rsidRPr="008C51C9">
        <w:rPr>
          <w:rFonts w:ascii="Times New Roman" w:hAnsi="Times New Roman" w:cs="Times New Roman"/>
          <w:i/>
          <w:iCs/>
          <w:sz w:val="24"/>
          <w:szCs w:val="24"/>
        </w:rPr>
        <w:t>Am. J. Obstet. Gynecol.</w:t>
      </w:r>
      <w:r w:rsidR="00275974" w:rsidRPr="008C51C9">
        <w:rPr>
          <w:rFonts w:ascii="Times New Roman" w:hAnsi="Times New Roman" w:cs="Times New Roman"/>
          <w:sz w:val="24"/>
          <w:szCs w:val="24"/>
        </w:rPr>
        <w:t xml:space="preserve"> 1935; </w:t>
      </w:r>
      <w:r w:rsidRPr="008C51C9">
        <w:rPr>
          <w:rFonts w:ascii="Times New Roman" w:hAnsi="Times New Roman" w:cs="Times New Roman"/>
          <w:b/>
          <w:bCs/>
          <w:sz w:val="24"/>
          <w:szCs w:val="24"/>
        </w:rPr>
        <w:t>29</w:t>
      </w:r>
      <w:r w:rsidR="00275974"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181–191.</w:t>
      </w:r>
    </w:p>
    <w:p w14:paraId="53DDEBA3"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8.</w:t>
      </w:r>
      <w:r w:rsidRPr="008C51C9">
        <w:rPr>
          <w:rFonts w:ascii="Times New Roman" w:hAnsi="Times New Roman" w:cs="Times New Roman"/>
          <w:sz w:val="24"/>
          <w:szCs w:val="24"/>
        </w:rPr>
        <w:tab/>
        <w:t>Balen A</w:t>
      </w:r>
      <w:r w:rsidR="00275974" w:rsidRPr="008C51C9">
        <w:rPr>
          <w:rFonts w:ascii="Times New Roman" w:hAnsi="Times New Roman" w:cs="Times New Roman"/>
          <w:sz w:val="24"/>
          <w:szCs w:val="24"/>
        </w:rPr>
        <w:t>,</w:t>
      </w:r>
      <w:r w:rsidRPr="008C51C9">
        <w:rPr>
          <w:rFonts w:ascii="Times New Roman" w:hAnsi="Times New Roman" w:cs="Times New Roman"/>
          <w:sz w:val="24"/>
          <w:szCs w:val="24"/>
        </w:rPr>
        <w:t xml:space="preserve"> Rajkowha M. Polycystic ovary syndrome-a systemic disorder? </w:t>
      </w:r>
      <w:r w:rsidRPr="008C51C9">
        <w:rPr>
          <w:rFonts w:ascii="Times New Roman" w:hAnsi="Times New Roman" w:cs="Times New Roman"/>
          <w:i/>
          <w:iCs/>
          <w:sz w:val="24"/>
          <w:szCs w:val="24"/>
        </w:rPr>
        <w:t>Best Pract. Res. Clin. Obstet. Gynaecol.</w:t>
      </w:r>
      <w:r w:rsidR="00275974" w:rsidRPr="008C51C9">
        <w:rPr>
          <w:rFonts w:ascii="Times New Roman" w:hAnsi="Times New Roman" w:cs="Times New Roman"/>
          <w:sz w:val="24"/>
          <w:szCs w:val="24"/>
        </w:rPr>
        <w:t xml:space="preserve"> 2003; </w:t>
      </w:r>
      <w:r w:rsidRPr="008C51C9">
        <w:rPr>
          <w:rFonts w:ascii="Times New Roman" w:hAnsi="Times New Roman" w:cs="Times New Roman"/>
          <w:b/>
          <w:bCs/>
          <w:sz w:val="24"/>
          <w:szCs w:val="24"/>
        </w:rPr>
        <w:t>17</w:t>
      </w:r>
      <w:r w:rsidR="00275974" w:rsidRPr="008C51C9">
        <w:rPr>
          <w:rFonts w:ascii="Times New Roman" w:hAnsi="Times New Roman" w:cs="Times New Roman"/>
          <w:b/>
          <w:bCs/>
          <w:sz w:val="24"/>
          <w:szCs w:val="24"/>
        </w:rPr>
        <w:t>:</w:t>
      </w:r>
      <w:r w:rsidRPr="008C51C9">
        <w:rPr>
          <w:rFonts w:ascii="Times New Roman" w:hAnsi="Times New Roman" w:cs="Times New Roman"/>
          <w:sz w:val="24"/>
          <w:szCs w:val="24"/>
        </w:rPr>
        <w:t>263–274.</w:t>
      </w:r>
    </w:p>
    <w:p w14:paraId="03A5B9B0"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9.</w:t>
      </w:r>
      <w:r w:rsidRPr="008C51C9">
        <w:rPr>
          <w:rFonts w:ascii="Times New Roman" w:hAnsi="Times New Roman" w:cs="Times New Roman"/>
          <w:sz w:val="24"/>
          <w:szCs w:val="24"/>
        </w:rPr>
        <w:tab/>
      </w:r>
      <w:r w:rsidR="000D1B31" w:rsidRPr="008C51C9">
        <w:rPr>
          <w:rFonts w:ascii="Times New Roman" w:hAnsi="Times New Roman" w:cs="Times New Roman"/>
          <w:sz w:val="24"/>
          <w:szCs w:val="24"/>
        </w:rPr>
        <w:t xml:space="preserve">Lizneva D, Suturina L, Walker W, et al. </w:t>
      </w:r>
      <w:r w:rsidRPr="008C51C9">
        <w:rPr>
          <w:rFonts w:ascii="Times New Roman" w:hAnsi="Times New Roman" w:cs="Times New Roman"/>
          <w:sz w:val="24"/>
          <w:szCs w:val="24"/>
        </w:rPr>
        <w:t xml:space="preserve">Criteria, prevalence, and phenotypes of polycystic ovary syndrome. </w:t>
      </w:r>
      <w:r w:rsidRPr="008C51C9">
        <w:rPr>
          <w:rFonts w:ascii="Times New Roman" w:hAnsi="Times New Roman" w:cs="Times New Roman"/>
          <w:i/>
          <w:iCs/>
          <w:sz w:val="24"/>
          <w:szCs w:val="24"/>
        </w:rPr>
        <w:t>Fertil. Steril.</w:t>
      </w:r>
      <w:r w:rsidR="000D1B31" w:rsidRPr="008C51C9">
        <w:rPr>
          <w:rFonts w:ascii="Times New Roman" w:hAnsi="Times New Roman" w:cs="Times New Roman"/>
          <w:sz w:val="24"/>
          <w:szCs w:val="24"/>
        </w:rPr>
        <w:t xml:space="preserve"> 2016; </w:t>
      </w:r>
      <w:r w:rsidRPr="008C51C9">
        <w:rPr>
          <w:rFonts w:ascii="Times New Roman" w:hAnsi="Times New Roman" w:cs="Times New Roman"/>
          <w:b/>
          <w:bCs/>
          <w:sz w:val="24"/>
          <w:szCs w:val="24"/>
        </w:rPr>
        <w:t>106</w:t>
      </w:r>
      <w:r w:rsidR="000D1B31"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6–15.</w:t>
      </w:r>
    </w:p>
    <w:p w14:paraId="07D156E1" w14:textId="77777777" w:rsidR="00D44DD1" w:rsidRPr="008C51C9" w:rsidRDefault="00D44DD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lastRenderedPageBreak/>
        <w:t>10.</w:t>
      </w:r>
      <w:r w:rsidRPr="008C51C9">
        <w:rPr>
          <w:rFonts w:ascii="Times New Roman" w:hAnsi="Times New Roman" w:cs="Times New Roman"/>
          <w:sz w:val="24"/>
          <w:szCs w:val="24"/>
        </w:rPr>
        <w:tab/>
      </w:r>
      <w:hyperlink r:id="rId8" w:history="1">
        <w:r w:rsidR="00A238EE" w:rsidRPr="008C51C9">
          <w:rPr>
            <w:rFonts w:ascii="Times New Roman" w:eastAsia="Times New Roman" w:hAnsi="Times New Roman" w:cs="Times New Roman"/>
            <w:sz w:val="24"/>
            <w:szCs w:val="24"/>
          </w:rPr>
          <w:t>Mykhalchenko K</w:t>
        </w:r>
      </w:hyperlink>
      <w:r w:rsidR="00A238EE" w:rsidRPr="008C51C9">
        <w:rPr>
          <w:rFonts w:ascii="Times New Roman" w:eastAsia="Times New Roman" w:hAnsi="Times New Roman" w:cs="Times New Roman"/>
          <w:sz w:val="24"/>
          <w:szCs w:val="24"/>
        </w:rPr>
        <w:t>, </w:t>
      </w:r>
      <w:hyperlink r:id="rId9" w:history="1">
        <w:r w:rsidR="00A238EE" w:rsidRPr="008C51C9">
          <w:rPr>
            <w:rFonts w:ascii="Times New Roman" w:eastAsia="Times New Roman" w:hAnsi="Times New Roman" w:cs="Times New Roman"/>
            <w:sz w:val="24"/>
            <w:szCs w:val="24"/>
          </w:rPr>
          <w:t>Lizneva D</w:t>
        </w:r>
      </w:hyperlink>
      <w:r w:rsidR="00A238EE" w:rsidRPr="008C51C9">
        <w:rPr>
          <w:rFonts w:ascii="Times New Roman" w:eastAsia="Times New Roman" w:hAnsi="Times New Roman" w:cs="Times New Roman"/>
          <w:sz w:val="24"/>
          <w:szCs w:val="24"/>
        </w:rPr>
        <w:t>, </w:t>
      </w:r>
      <w:hyperlink r:id="rId10" w:history="1">
        <w:r w:rsidR="00A238EE" w:rsidRPr="008C51C9">
          <w:rPr>
            <w:rFonts w:ascii="Times New Roman" w:eastAsia="Times New Roman" w:hAnsi="Times New Roman" w:cs="Times New Roman"/>
            <w:sz w:val="24"/>
            <w:szCs w:val="24"/>
          </w:rPr>
          <w:t>Trofimova T</w:t>
        </w:r>
      </w:hyperlink>
      <w:r w:rsidR="00A238EE" w:rsidRPr="008C51C9">
        <w:rPr>
          <w:rFonts w:ascii="Times New Roman" w:eastAsia="Times New Roman" w:hAnsi="Times New Roman" w:cs="Times New Roman"/>
          <w:sz w:val="24"/>
          <w:szCs w:val="24"/>
        </w:rPr>
        <w:t xml:space="preserve">, et al. </w:t>
      </w:r>
      <w:r w:rsidRPr="008C51C9">
        <w:rPr>
          <w:rFonts w:ascii="Times New Roman" w:hAnsi="Times New Roman" w:cs="Times New Roman"/>
          <w:sz w:val="24"/>
          <w:szCs w:val="24"/>
        </w:rPr>
        <w:t xml:space="preserve">Genetics of polycystic ovary syndrome. </w:t>
      </w:r>
      <w:r w:rsidRPr="008C51C9">
        <w:rPr>
          <w:rFonts w:ascii="Times New Roman" w:hAnsi="Times New Roman" w:cs="Times New Roman"/>
          <w:i/>
          <w:iCs/>
          <w:sz w:val="24"/>
          <w:szCs w:val="24"/>
        </w:rPr>
        <w:t>Expert Rev. Mol. Diagn.</w:t>
      </w:r>
      <w:r w:rsidR="00A238EE" w:rsidRPr="008C51C9">
        <w:rPr>
          <w:rFonts w:ascii="Times New Roman" w:hAnsi="Times New Roman" w:cs="Times New Roman"/>
          <w:sz w:val="24"/>
          <w:szCs w:val="24"/>
        </w:rPr>
        <w:t xml:space="preserve"> 2017; </w:t>
      </w:r>
      <w:r w:rsidRPr="008C51C9">
        <w:rPr>
          <w:rFonts w:ascii="Times New Roman" w:hAnsi="Times New Roman" w:cs="Times New Roman"/>
          <w:b/>
          <w:bCs/>
          <w:sz w:val="24"/>
          <w:szCs w:val="24"/>
        </w:rPr>
        <w:t>17</w:t>
      </w:r>
      <w:r w:rsidR="00A238EE" w:rsidRPr="008C51C9">
        <w:rPr>
          <w:rFonts w:ascii="Times New Roman" w:hAnsi="Times New Roman" w:cs="Times New Roman"/>
          <w:b/>
          <w:bCs/>
          <w:sz w:val="24"/>
          <w:szCs w:val="24"/>
        </w:rPr>
        <w:t>:</w:t>
      </w:r>
      <w:r w:rsidRPr="008C51C9">
        <w:rPr>
          <w:rFonts w:ascii="Times New Roman" w:hAnsi="Times New Roman" w:cs="Times New Roman"/>
          <w:sz w:val="24"/>
          <w:szCs w:val="24"/>
        </w:rPr>
        <w:t xml:space="preserve"> 723–733.</w:t>
      </w:r>
    </w:p>
    <w:p w14:paraId="04FEA339"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Boyle JA, Cunningham J, O’Dea K, Dunbar T</w:t>
      </w:r>
      <w:r w:rsidR="00B05D11"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Norman RJ. Prevalence of polycystic ovary syndrome in a sample of Indigenous women in Darwin, Australia. </w:t>
      </w:r>
      <w:r w:rsidR="00D44DD1" w:rsidRPr="008C51C9">
        <w:rPr>
          <w:rFonts w:ascii="Times New Roman" w:hAnsi="Times New Roman" w:cs="Times New Roman"/>
          <w:i/>
          <w:iCs/>
          <w:sz w:val="24"/>
          <w:szCs w:val="24"/>
        </w:rPr>
        <w:t>Med. J. Aust.</w:t>
      </w:r>
      <w:r w:rsidR="00B05D11"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196</w:t>
      </w:r>
      <w:r w:rsidR="00B05D11"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62–66.</w:t>
      </w:r>
    </w:p>
    <w:p w14:paraId="37C87F00"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Gabrielli L</w:t>
      </w:r>
      <w:r w:rsidR="00633F54"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Aquino EM. Polycystic ovary syndrome in Salvador, Brazil: a prevalence study in primary healthcare. </w:t>
      </w:r>
      <w:r w:rsidR="00D44DD1" w:rsidRPr="008C51C9">
        <w:rPr>
          <w:rFonts w:ascii="Times New Roman" w:hAnsi="Times New Roman" w:cs="Times New Roman"/>
          <w:i/>
          <w:iCs/>
          <w:sz w:val="24"/>
          <w:szCs w:val="24"/>
        </w:rPr>
        <w:t>Reprod. Biol. Endocrinol.</w:t>
      </w:r>
      <w:r w:rsidR="00633F54"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10</w:t>
      </w:r>
      <w:r w:rsidR="00633F54"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96.</w:t>
      </w:r>
    </w:p>
    <w:p w14:paraId="21BCECCE"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r w:rsidR="00CC4555" w:rsidRPr="008C51C9">
        <w:rPr>
          <w:rFonts w:ascii="Times New Roman" w:hAnsi="Times New Roman" w:cs="Times New Roman"/>
          <w:sz w:val="24"/>
          <w:szCs w:val="24"/>
        </w:rPr>
        <w:t>Zhuang J, Liu Y, Xu L, Zhou L, et al.</w:t>
      </w:r>
      <w:r w:rsidR="00D44DD1" w:rsidRPr="008C51C9">
        <w:rPr>
          <w:rFonts w:ascii="Times New Roman" w:hAnsi="Times New Roman" w:cs="Times New Roman"/>
          <w:sz w:val="24"/>
          <w:szCs w:val="24"/>
        </w:rPr>
        <w:t xml:space="preserve"> Prevalence of the </w:t>
      </w:r>
      <w:r w:rsidR="00CC4555"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CC4555"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CC4555"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in </w:t>
      </w:r>
      <w:r w:rsidR="00CC4555" w:rsidRPr="008C51C9">
        <w:rPr>
          <w:rFonts w:ascii="Times New Roman" w:hAnsi="Times New Roman" w:cs="Times New Roman"/>
          <w:sz w:val="24"/>
          <w:szCs w:val="24"/>
        </w:rPr>
        <w:t>f</w:t>
      </w:r>
      <w:r w:rsidR="00D44DD1" w:rsidRPr="008C51C9">
        <w:rPr>
          <w:rFonts w:ascii="Times New Roman" w:hAnsi="Times New Roman" w:cs="Times New Roman"/>
          <w:sz w:val="24"/>
          <w:szCs w:val="24"/>
        </w:rPr>
        <w:t xml:space="preserve">emale </w:t>
      </w:r>
      <w:r w:rsidR="00CC4555"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esidents of Chengdu, China. </w:t>
      </w:r>
      <w:r w:rsidR="00D44DD1" w:rsidRPr="008C51C9">
        <w:rPr>
          <w:rFonts w:ascii="Times New Roman" w:hAnsi="Times New Roman" w:cs="Times New Roman"/>
          <w:i/>
          <w:iCs/>
          <w:sz w:val="24"/>
          <w:szCs w:val="24"/>
        </w:rPr>
        <w:t>Gynecol. Obstet. Invest.</w:t>
      </w:r>
      <w:r w:rsidR="00CC4555"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77</w:t>
      </w:r>
      <w:r w:rsidR="00CC4555"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217–223.</w:t>
      </w:r>
    </w:p>
    <w:p w14:paraId="67D5717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14</w:t>
      </w:r>
      <w:r w:rsidR="00D82CC8" w:rsidRPr="008C51C9">
        <w:rPr>
          <w:rFonts w:ascii="Times New Roman" w:hAnsi="Times New Roman" w:cs="Times New Roman"/>
          <w:sz w:val="24"/>
          <w:szCs w:val="24"/>
        </w:rPr>
        <w:t>.</w:t>
      </w:r>
      <w:r w:rsidR="00D44DD1" w:rsidRPr="008C51C9">
        <w:rPr>
          <w:rFonts w:ascii="Times New Roman" w:hAnsi="Times New Roman" w:cs="Times New Roman"/>
          <w:sz w:val="24"/>
          <w:szCs w:val="24"/>
        </w:rPr>
        <w:tab/>
        <w:t>Tehrani FR, Khomami MB, Tohidi M</w:t>
      </w:r>
      <w:r w:rsidR="00D82CC8"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Azizi F. The prevalence of metabolic disorders in various phenotypes of polycystic ovary syndrome: a community based study in Southwest of Iran. </w:t>
      </w:r>
      <w:r w:rsidR="00D44DD1" w:rsidRPr="008C51C9">
        <w:rPr>
          <w:rFonts w:ascii="Times New Roman" w:hAnsi="Times New Roman" w:cs="Times New Roman"/>
          <w:i/>
          <w:iCs/>
          <w:sz w:val="24"/>
          <w:szCs w:val="24"/>
        </w:rPr>
        <w:t xml:space="preserve">Reprod. Biol. Endocrinol. </w:t>
      </w:r>
      <w:r w:rsidR="00D44DD1" w:rsidRPr="008C51C9">
        <w:rPr>
          <w:rFonts w:ascii="Times New Roman" w:hAnsi="Times New Roman" w:cs="Times New Roman"/>
          <w:sz w:val="24"/>
          <w:szCs w:val="24"/>
        </w:rPr>
        <w:t>RBE</w:t>
      </w:r>
      <w:r w:rsidR="00D82CC8"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12</w:t>
      </w:r>
      <w:r w:rsidR="00D82CC8"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89.</w:t>
      </w:r>
    </w:p>
    <w:p w14:paraId="026E4816"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15</w:t>
      </w:r>
      <w:r w:rsidR="002C1C7D"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11" w:history="1">
        <w:r w:rsidR="002C1C7D" w:rsidRPr="008C51C9">
          <w:rPr>
            <w:rFonts w:ascii="Times New Roman" w:eastAsia="Times New Roman" w:hAnsi="Times New Roman" w:cs="Times New Roman"/>
            <w:sz w:val="24"/>
            <w:szCs w:val="24"/>
          </w:rPr>
          <w:t>Moran C</w:t>
        </w:r>
      </w:hyperlink>
      <w:r w:rsidR="002C1C7D" w:rsidRPr="008C51C9">
        <w:rPr>
          <w:rFonts w:ascii="Times New Roman" w:eastAsia="Times New Roman" w:hAnsi="Times New Roman" w:cs="Times New Roman"/>
          <w:sz w:val="24"/>
          <w:szCs w:val="24"/>
        </w:rPr>
        <w:t>, </w:t>
      </w:r>
      <w:hyperlink r:id="rId12" w:history="1">
        <w:r w:rsidR="002C1C7D" w:rsidRPr="008C51C9">
          <w:rPr>
            <w:rFonts w:ascii="Times New Roman" w:eastAsia="Times New Roman" w:hAnsi="Times New Roman" w:cs="Times New Roman"/>
            <w:sz w:val="24"/>
            <w:szCs w:val="24"/>
          </w:rPr>
          <w:t>Tena G</w:t>
        </w:r>
      </w:hyperlink>
      <w:r w:rsidR="002C1C7D" w:rsidRPr="008C51C9">
        <w:rPr>
          <w:rFonts w:ascii="Times New Roman" w:eastAsia="Times New Roman" w:hAnsi="Times New Roman" w:cs="Times New Roman"/>
          <w:sz w:val="24"/>
          <w:szCs w:val="24"/>
        </w:rPr>
        <w:t>, </w:t>
      </w:r>
      <w:hyperlink r:id="rId13" w:history="1">
        <w:r w:rsidR="002C1C7D" w:rsidRPr="008C51C9">
          <w:rPr>
            <w:rFonts w:ascii="Times New Roman" w:eastAsia="Times New Roman" w:hAnsi="Times New Roman" w:cs="Times New Roman"/>
            <w:sz w:val="24"/>
            <w:szCs w:val="24"/>
          </w:rPr>
          <w:t>Moran S</w:t>
        </w:r>
      </w:hyperlink>
      <w:r w:rsidR="002C1C7D" w:rsidRPr="008C51C9">
        <w:rPr>
          <w:rFonts w:ascii="Times New Roman" w:eastAsia="Times New Roman" w:hAnsi="Times New Roman" w:cs="Times New Roman"/>
          <w:sz w:val="24"/>
          <w:szCs w:val="24"/>
        </w:rPr>
        <w:t>, </w:t>
      </w:r>
      <w:hyperlink r:id="rId14" w:history="1">
        <w:r w:rsidR="002C1C7D" w:rsidRPr="008C51C9">
          <w:rPr>
            <w:rFonts w:ascii="Times New Roman" w:eastAsia="Times New Roman" w:hAnsi="Times New Roman" w:cs="Times New Roman"/>
            <w:sz w:val="24"/>
            <w:szCs w:val="24"/>
          </w:rPr>
          <w:t>Ruiz P</w:t>
        </w:r>
      </w:hyperlink>
      <w:r w:rsidR="002C1C7D" w:rsidRPr="008C51C9">
        <w:rPr>
          <w:rFonts w:ascii="Times New Roman" w:eastAsia="Times New Roman" w:hAnsi="Times New Roman" w:cs="Times New Roman"/>
          <w:sz w:val="24"/>
          <w:szCs w:val="24"/>
        </w:rPr>
        <w:t>, </w:t>
      </w:r>
      <w:hyperlink r:id="rId15" w:history="1">
        <w:r w:rsidR="002C1C7D" w:rsidRPr="008C51C9">
          <w:rPr>
            <w:rFonts w:ascii="Times New Roman" w:eastAsia="Times New Roman" w:hAnsi="Times New Roman" w:cs="Times New Roman"/>
            <w:sz w:val="24"/>
            <w:szCs w:val="24"/>
          </w:rPr>
          <w:t>Reyna R</w:t>
        </w:r>
      </w:hyperlink>
      <w:r w:rsidR="002C1C7D" w:rsidRPr="008C51C9">
        <w:rPr>
          <w:rFonts w:ascii="Times New Roman" w:eastAsia="Times New Roman" w:hAnsi="Times New Roman" w:cs="Times New Roman"/>
          <w:sz w:val="24"/>
          <w:szCs w:val="24"/>
        </w:rPr>
        <w:t>, </w:t>
      </w:r>
      <w:hyperlink r:id="rId16" w:history="1">
        <w:r w:rsidR="002C1C7D" w:rsidRPr="008C51C9">
          <w:rPr>
            <w:rFonts w:ascii="Times New Roman" w:eastAsia="Times New Roman" w:hAnsi="Times New Roman" w:cs="Times New Roman"/>
            <w:sz w:val="24"/>
            <w:szCs w:val="24"/>
          </w:rPr>
          <w:t>Duque X</w:t>
        </w:r>
      </w:hyperlink>
      <w:r w:rsidR="00D44DD1" w:rsidRPr="008C51C9">
        <w:rPr>
          <w:rFonts w:ascii="Times New Roman" w:hAnsi="Times New Roman" w:cs="Times New Roman"/>
          <w:i/>
          <w:iCs/>
          <w:sz w:val="24"/>
          <w:szCs w:val="24"/>
        </w:rPr>
        <w:t>.</w:t>
      </w:r>
      <w:r w:rsidR="00D44DD1" w:rsidRPr="008C51C9">
        <w:rPr>
          <w:rFonts w:ascii="Times New Roman" w:hAnsi="Times New Roman" w:cs="Times New Roman"/>
          <w:sz w:val="24"/>
          <w:szCs w:val="24"/>
        </w:rPr>
        <w:t xml:space="preserve"> Prevalence of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and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elated </w:t>
      </w:r>
      <w:r w:rsidR="00A023BB" w:rsidRPr="008C51C9">
        <w:rPr>
          <w:rFonts w:ascii="Times New Roman" w:hAnsi="Times New Roman" w:cs="Times New Roman"/>
          <w:sz w:val="24"/>
          <w:szCs w:val="24"/>
        </w:rPr>
        <w:t>d</w:t>
      </w:r>
      <w:r w:rsidR="00D44DD1" w:rsidRPr="008C51C9">
        <w:rPr>
          <w:rFonts w:ascii="Times New Roman" w:hAnsi="Times New Roman" w:cs="Times New Roman"/>
          <w:sz w:val="24"/>
          <w:szCs w:val="24"/>
        </w:rPr>
        <w:t xml:space="preserve">isorders in Mexican </w:t>
      </w:r>
      <w:r w:rsidR="00A023BB" w:rsidRPr="008C51C9">
        <w:rPr>
          <w:rFonts w:ascii="Times New Roman" w:hAnsi="Times New Roman" w:cs="Times New Roman"/>
          <w:sz w:val="24"/>
          <w:szCs w:val="24"/>
        </w:rPr>
        <w:t>w</w:t>
      </w:r>
      <w:r w:rsidR="00D44DD1" w:rsidRPr="008C51C9">
        <w:rPr>
          <w:rFonts w:ascii="Times New Roman" w:hAnsi="Times New Roman" w:cs="Times New Roman"/>
          <w:sz w:val="24"/>
          <w:szCs w:val="24"/>
        </w:rPr>
        <w:t xml:space="preserve">omen. </w:t>
      </w:r>
      <w:r w:rsidR="00D44DD1" w:rsidRPr="008C51C9">
        <w:rPr>
          <w:rFonts w:ascii="Times New Roman" w:hAnsi="Times New Roman" w:cs="Times New Roman"/>
          <w:i/>
          <w:iCs/>
          <w:sz w:val="24"/>
          <w:szCs w:val="24"/>
        </w:rPr>
        <w:t>Gynecol. Obstet. Invest.</w:t>
      </w:r>
      <w:r w:rsidR="002C1C7D"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69</w:t>
      </w:r>
      <w:r w:rsidR="002C1C7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274–280.</w:t>
      </w:r>
    </w:p>
    <w:p w14:paraId="5BD01868"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17" w:history="1">
        <w:r w:rsidR="002C1C7D" w:rsidRPr="008C51C9">
          <w:rPr>
            <w:rFonts w:ascii="Times New Roman" w:eastAsia="Times New Roman" w:hAnsi="Times New Roman" w:cs="Times New Roman"/>
            <w:sz w:val="24"/>
            <w:szCs w:val="24"/>
          </w:rPr>
          <w:t>Lauritsen MP</w:t>
        </w:r>
      </w:hyperlink>
      <w:r w:rsidR="002C1C7D" w:rsidRPr="008C51C9">
        <w:rPr>
          <w:rFonts w:ascii="Times New Roman" w:eastAsia="Times New Roman" w:hAnsi="Times New Roman" w:cs="Times New Roman"/>
          <w:sz w:val="24"/>
          <w:szCs w:val="24"/>
        </w:rPr>
        <w:t>, </w:t>
      </w:r>
      <w:hyperlink r:id="rId18" w:history="1">
        <w:r w:rsidR="002C1C7D" w:rsidRPr="008C51C9">
          <w:rPr>
            <w:rFonts w:ascii="Times New Roman" w:eastAsia="Times New Roman" w:hAnsi="Times New Roman" w:cs="Times New Roman"/>
            <w:sz w:val="24"/>
            <w:szCs w:val="24"/>
          </w:rPr>
          <w:t>Bentzen JG</w:t>
        </w:r>
      </w:hyperlink>
      <w:r w:rsidR="002C1C7D" w:rsidRPr="008C51C9">
        <w:rPr>
          <w:rFonts w:ascii="Times New Roman" w:eastAsia="Times New Roman" w:hAnsi="Times New Roman" w:cs="Times New Roman"/>
          <w:sz w:val="24"/>
          <w:szCs w:val="24"/>
        </w:rPr>
        <w:t>, </w:t>
      </w:r>
      <w:hyperlink r:id="rId19" w:history="1">
        <w:r w:rsidR="002C1C7D" w:rsidRPr="008C51C9">
          <w:rPr>
            <w:rFonts w:ascii="Times New Roman" w:eastAsia="Times New Roman" w:hAnsi="Times New Roman" w:cs="Times New Roman"/>
            <w:sz w:val="24"/>
            <w:szCs w:val="24"/>
          </w:rPr>
          <w:t>Pinborg A</w:t>
        </w:r>
      </w:hyperlink>
      <w:r w:rsidR="002C1C7D" w:rsidRPr="008C51C9">
        <w:rPr>
          <w:rFonts w:ascii="Times New Roman" w:eastAsia="Times New Roman" w:hAnsi="Times New Roman" w:cs="Times New Roman"/>
          <w:sz w:val="24"/>
          <w:szCs w:val="24"/>
        </w:rPr>
        <w:t>, </w:t>
      </w:r>
      <w:hyperlink r:id="rId20" w:history="1">
        <w:r w:rsidR="002C1C7D" w:rsidRPr="008C51C9">
          <w:rPr>
            <w:rFonts w:ascii="Times New Roman" w:eastAsia="Times New Roman" w:hAnsi="Times New Roman" w:cs="Times New Roman"/>
            <w:sz w:val="24"/>
            <w:szCs w:val="24"/>
          </w:rPr>
          <w:t>Loft A</w:t>
        </w:r>
      </w:hyperlink>
      <w:r w:rsidR="002C1C7D" w:rsidRPr="008C51C9">
        <w:rPr>
          <w:rFonts w:ascii="Arial" w:eastAsia="Times New Roman" w:hAnsi="Arial" w:cs="Arial"/>
          <w:color w:val="000000"/>
        </w:rPr>
        <w:t>,</w:t>
      </w:r>
      <w:r w:rsidR="00D44DD1" w:rsidRPr="008C51C9">
        <w:rPr>
          <w:rFonts w:ascii="Times New Roman" w:hAnsi="Times New Roman" w:cs="Times New Roman"/>
          <w:sz w:val="24"/>
          <w:szCs w:val="24"/>
        </w:rPr>
        <w:t xml:space="preserve"> et al. The prevalence of polycystic ovary syndrome in a normal population according to the Rotterdam criteria versus revised criteria including anti-Müllerian hormone. </w:t>
      </w:r>
      <w:r w:rsidR="00D44DD1" w:rsidRPr="008C51C9">
        <w:rPr>
          <w:rFonts w:ascii="Times New Roman" w:hAnsi="Times New Roman" w:cs="Times New Roman"/>
          <w:i/>
          <w:iCs/>
          <w:sz w:val="24"/>
          <w:szCs w:val="24"/>
        </w:rPr>
        <w:t>Hum. Reprod.</w:t>
      </w:r>
      <w:r w:rsidR="002C1C7D"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29</w:t>
      </w:r>
      <w:r w:rsidR="002C1C7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791–801.</w:t>
      </w:r>
    </w:p>
    <w:p w14:paraId="59453243" w14:textId="77777777" w:rsidR="00C40B52"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17</w:t>
      </w:r>
      <w:r w:rsidR="00395D29" w:rsidRPr="008C51C9">
        <w:rPr>
          <w:rFonts w:ascii="Times New Roman" w:hAnsi="Times New Roman" w:cs="Times New Roman"/>
          <w:sz w:val="24"/>
          <w:szCs w:val="24"/>
        </w:rPr>
        <w:t>.</w:t>
      </w:r>
      <w:r w:rsidR="00395D29" w:rsidRPr="008C51C9">
        <w:rPr>
          <w:rFonts w:ascii="Times New Roman" w:hAnsi="Times New Roman" w:cs="Times New Roman"/>
          <w:sz w:val="24"/>
          <w:szCs w:val="24"/>
        </w:rPr>
        <w:tab/>
        <w:t xml:space="preserve">Norman RJ, Dewailly D, Legro RS, Hickey TE. Polycystic ovary syndrome. </w:t>
      </w:r>
      <w:r w:rsidRPr="008C51C9">
        <w:rPr>
          <w:rFonts w:ascii="Times New Roman" w:hAnsi="Times New Roman" w:cs="Times New Roman"/>
          <w:i/>
          <w:iCs/>
          <w:sz w:val="24"/>
          <w:szCs w:val="24"/>
        </w:rPr>
        <w:t>Lancet</w:t>
      </w:r>
      <w:r w:rsidR="00395D29" w:rsidRPr="008C51C9">
        <w:rPr>
          <w:rFonts w:ascii="Times New Roman" w:hAnsi="Times New Roman" w:cs="Times New Roman"/>
          <w:sz w:val="24"/>
          <w:szCs w:val="24"/>
        </w:rPr>
        <w:t xml:space="preserve">. 2007; </w:t>
      </w:r>
      <w:r w:rsidR="00395D29" w:rsidRPr="008C51C9">
        <w:rPr>
          <w:rFonts w:ascii="Times New Roman" w:hAnsi="Times New Roman" w:cs="Times New Roman"/>
          <w:b/>
          <w:bCs/>
          <w:sz w:val="24"/>
          <w:szCs w:val="24"/>
        </w:rPr>
        <w:t>370</w:t>
      </w:r>
      <w:r w:rsidR="00395D29" w:rsidRPr="008C51C9">
        <w:rPr>
          <w:rFonts w:ascii="Times New Roman" w:hAnsi="Times New Roman" w:cs="Times New Roman"/>
          <w:sz w:val="24"/>
          <w:szCs w:val="24"/>
        </w:rPr>
        <w:t>(9588): 685-697.</w:t>
      </w:r>
    </w:p>
    <w:p w14:paraId="4EA61512"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00C40B52" w:rsidRPr="008C51C9">
        <w:rPr>
          <w:rFonts w:ascii="Times New Roman" w:hAnsi="Times New Roman" w:cs="Times New Roman"/>
          <w:sz w:val="24"/>
          <w:szCs w:val="24"/>
        </w:rPr>
        <w:t>8</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Azziz R, Marin C, Hoq L, Badamgarav E</w:t>
      </w:r>
      <w:r w:rsidR="00F619F6"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Song P. Health care-related economic burden of the polycystic ovary syndrome during the reproductive life span. </w:t>
      </w:r>
      <w:r w:rsidR="00D44DD1" w:rsidRPr="008C51C9">
        <w:rPr>
          <w:rFonts w:ascii="Times New Roman" w:hAnsi="Times New Roman" w:cs="Times New Roman"/>
          <w:i/>
          <w:iCs/>
          <w:sz w:val="24"/>
          <w:szCs w:val="24"/>
        </w:rPr>
        <w:t>J. Clin. Endocrinol. Metab.</w:t>
      </w:r>
      <w:r w:rsidR="00F619F6" w:rsidRPr="008C51C9">
        <w:rPr>
          <w:rFonts w:ascii="Times New Roman" w:hAnsi="Times New Roman" w:cs="Times New Roman"/>
          <w:sz w:val="24"/>
          <w:szCs w:val="24"/>
        </w:rPr>
        <w:t xml:space="preserve"> 2005; </w:t>
      </w:r>
      <w:r w:rsidR="00D44DD1" w:rsidRPr="008C51C9">
        <w:rPr>
          <w:rFonts w:ascii="Times New Roman" w:hAnsi="Times New Roman" w:cs="Times New Roman"/>
          <w:b/>
          <w:bCs/>
          <w:sz w:val="24"/>
          <w:szCs w:val="24"/>
        </w:rPr>
        <w:t>90</w:t>
      </w:r>
      <w:r w:rsidR="00F619F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4650–4658</w:t>
      </w:r>
      <w:r w:rsidR="00F619F6" w:rsidRPr="008C51C9">
        <w:rPr>
          <w:rFonts w:ascii="Times New Roman" w:hAnsi="Times New Roman" w:cs="Times New Roman"/>
          <w:sz w:val="24"/>
          <w:szCs w:val="24"/>
        </w:rPr>
        <w:t>.</w:t>
      </w:r>
    </w:p>
    <w:p w14:paraId="5483407C"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1</w:t>
      </w:r>
      <w:r w:rsidR="00C40B52" w:rsidRPr="008C51C9">
        <w:rPr>
          <w:rFonts w:ascii="Times New Roman" w:hAnsi="Times New Roman" w:cs="Times New Roman"/>
          <w:sz w:val="24"/>
          <w:szCs w:val="24"/>
        </w:rPr>
        <w:t>9</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Hart R</w:t>
      </w:r>
      <w:r w:rsidR="00714E2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Doherty DA. The potential implications of a PCOS diagnosis on a woman’s long-term health using data linkage. </w:t>
      </w:r>
      <w:r w:rsidR="00D44DD1" w:rsidRPr="008C51C9">
        <w:rPr>
          <w:rFonts w:ascii="Times New Roman" w:hAnsi="Times New Roman" w:cs="Times New Roman"/>
          <w:i/>
          <w:iCs/>
          <w:sz w:val="24"/>
          <w:szCs w:val="24"/>
        </w:rPr>
        <w:t>J. Clin. Endocrinol. Metab.</w:t>
      </w:r>
      <w:r w:rsidR="00714E23"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100</w:t>
      </w:r>
      <w:r w:rsidR="00714E2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911–919.</w:t>
      </w:r>
    </w:p>
    <w:p w14:paraId="4A4DB2EF" w14:textId="77777777" w:rsidR="00D44DD1"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20</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Teede H, Deeks A</w:t>
      </w:r>
      <w:r w:rsidR="00714E2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Moran L. Polycystic ovary syndrome: a complex condition with psychological, reproductive and metabolic manifestations that impacts on health across the lifespan. </w:t>
      </w:r>
      <w:r w:rsidR="00D44DD1" w:rsidRPr="008C51C9">
        <w:rPr>
          <w:rFonts w:ascii="Times New Roman" w:hAnsi="Times New Roman" w:cs="Times New Roman"/>
          <w:i/>
          <w:iCs/>
          <w:sz w:val="24"/>
          <w:szCs w:val="24"/>
        </w:rPr>
        <w:t>BMC Med.</w:t>
      </w:r>
      <w:r w:rsidR="00714E23"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8</w:t>
      </w:r>
      <w:r w:rsidR="00714E2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41.</w:t>
      </w:r>
    </w:p>
    <w:p w14:paraId="21D64528"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Badawy A</w:t>
      </w:r>
      <w:r w:rsidR="001D1FBA"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Elnashar A. Treatment options for polycystic ovary syndrome. </w:t>
      </w:r>
      <w:r w:rsidR="00D44DD1" w:rsidRPr="008C51C9">
        <w:rPr>
          <w:rFonts w:ascii="Times New Roman" w:hAnsi="Times New Roman" w:cs="Times New Roman"/>
          <w:i/>
          <w:iCs/>
          <w:sz w:val="24"/>
          <w:szCs w:val="24"/>
        </w:rPr>
        <w:t xml:space="preserve">Int. J. Womens </w:t>
      </w:r>
      <w:r w:rsidR="00D44DD1" w:rsidRPr="008C51C9">
        <w:rPr>
          <w:rFonts w:ascii="Times New Roman" w:hAnsi="Times New Roman" w:cs="Times New Roman"/>
          <w:sz w:val="24"/>
          <w:szCs w:val="24"/>
        </w:rPr>
        <w:t>Health</w:t>
      </w:r>
      <w:r w:rsidR="001D1FBA" w:rsidRPr="008C51C9">
        <w:rPr>
          <w:rFonts w:ascii="Times New Roman" w:hAnsi="Times New Roman" w:cs="Times New Roman"/>
          <w:sz w:val="24"/>
          <w:szCs w:val="24"/>
        </w:rPr>
        <w:t xml:space="preserve">. 2011; </w:t>
      </w:r>
      <w:r w:rsidR="00D44DD1" w:rsidRPr="008C51C9">
        <w:rPr>
          <w:rFonts w:ascii="Times New Roman" w:hAnsi="Times New Roman" w:cs="Times New Roman"/>
          <w:b/>
          <w:bCs/>
          <w:sz w:val="24"/>
          <w:szCs w:val="24"/>
        </w:rPr>
        <w:t>3</w:t>
      </w:r>
      <w:r w:rsidR="001D1FB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25–35.</w:t>
      </w:r>
    </w:p>
    <w:p w14:paraId="3427CA3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Misso M, Boyle J, Norman R</w:t>
      </w:r>
      <w:r w:rsidR="001D1FBA"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Teede H. Development of evidenced-based guidelines for PCOS and implications for community health. </w:t>
      </w:r>
      <w:r w:rsidR="00D44DD1" w:rsidRPr="008C51C9">
        <w:rPr>
          <w:rFonts w:ascii="Times New Roman" w:hAnsi="Times New Roman" w:cs="Times New Roman"/>
          <w:i/>
          <w:iCs/>
          <w:sz w:val="24"/>
          <w:szCs w:val="24"/>
        </w:rPr>
        <w:t>Semin. Reprod. Med.</w:t>
      </w:r>
      <w:r w:rsidR="001D1FBA"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32</w:t>
      </w:r>
      <w:r w:rsidR="001D1FB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230–240</w:t>
      </w:r>
      <w:r w:rsidR="001D1FBA" w:rsidRPr="008C51C9">
        <w:rPr>
          <w:rFonts w:ascii="Times New Roman" w:hAnsi="Times New Roman" w:cs="Times New Roman"/>
          <w:sz w:val="24"/>
          <w:szCs w:val="24"/>
        </w:rPr>
        <w:t>.</w:t>
      </w:r>
    </w:p>
    <w:p w14:paraId="7584E8FB"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Costello M, Shrestha B, Eden J, Sjoblom P</w:t>
      </w:r>
      <w:r w:rsidR="00B7734C"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 xml:space="preserve">Johnson N. Insulin-sensitising drugs versus the combined oral contraceptive pill for hirsutism, acne and risk of diabetes, cardiovascular disease, and endometrial cancer in polycystic ovary syndrome. </w:t>
      </w:r>
      <w:r w:rsidR="00D44DD1" w:rsidRPr="008C51C9">
        <w:rPr>
          <w:rFonts w:ascii="Times New Roman" w:hAnsi="Times New Roman" w:cs="Times New Roman"/>
          <w:i/>
          <w:iCs/>
          <w:sz w:val="24"/>
          <w:szCs w:val="24"/>
        </w:rPr>
        <w:t>Cochrane Database Syst. Rev.</w:t>
      </w:r>
      <w:r w:rsidR="00B7734C" w:rsidRPr="008C51C9">
        <w:rPr>
          <w:rFonts w:ascii="Times New Roman" w:hAnsi="Times New Roman" w:cs="Times New Roman"/>
          <w:sz w:val="24"/>
          <w:szCs w:val="24"/>
        </w:rPr>
        <w:t xml:space="preserve"> 2007; </w:t>
      </w:r>
      <w:r w:rsidR="00142F0C" w:rsidRPr="008C51C9">
        <w:rPr>
          <w:rFonts w:ascii="Times New Roman" w:hAnsi="Times New Roman" w:cs="Times New Roman"/>
          <w:b/>
          <w:bCs/>
          <w:sz w:val="24"/>
          <w:szCs w:val="24"/>
        </w:rPr>
        <w:t>1</w:t>
      </w:r>
      <w:r w:rsidR="00142F0C"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CD005552.</w:t>
      </w:r>
    </w:p>
    <w:p w14:paraId="06EAD8F4"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4</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Yildiz BO. Approach to the patient: contraception in women with polycystic ovary syndrome. </w:t>
      </w:r>
      <w:r w:rsidR="00D44DD1" w:rsidRPr="008C51C9">
        <w:rPr>
          <w:rFonts w:ascii="Times New Roman" w:hAnsi="Times New Roman" w:cs="Times New Roman"/>
          <w:i/>
          <w:iCs/>
          <w:sz w:val="24"/>
          <w:szCs w:val="24"/>
        </w:rPr>
        <w:t>J. Clin. Endocrinol. Metab.</w:t>
      </w:r>
      <w:r w:rsidR="00CD49DA"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100</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794–802.</w:t>
      </w:r>
    </w:p>
    <w:p w14:paraId="7A91AE2D"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lastRenderedPageBreak/>
        <w:t>2</w:t>
      </w:r>
      <w:r w:rsidR="00C40B52" w:rsidRPr="008C51C9">
        <w:rPr>
          <w:rFonts w:ascii="Times New Roman" w:hAnsi="Times New Roman" w:cs="Times New Roman"/>
          <w:sz w:val="24"/>
          <w:szCs w:val="24"/>
        </w:rPr>
        <w:t>5</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ACOG Committee on Practice Bulletins--Gynecology. ACOG Practice Bulletin No. 108: Polycystic ovary syndrome. </w:t>
      </w:r>
      <w:r w:rsidR="00D44DD1" w:rsidRPr="008C51C9">
        <w:rPr>
          <w:rFonts w:ascii="Times New Roman" w:hAnsi="Times New Roman" w:cs="Times New Roman"/>
          <w:i/>
          <w:iCs/>
          <w:sz w:val="24"/>
          <w:szCs w:val="24"/>
        </w:rPr>
        <w:t>Obstet. Gynecol.</w:t>
      </w:r>
      <w:r w:rsidR="00CD49DA" w:rsidRPr="008C51C9">
        <w:rPr>
          <w:rFonts w:ascii="Times New Roman" w:hAnsi="Times New Roman" w:cs="Times New Roman"/>
          <w:i/>
          <w:iCs/>
          <w:sz w:val="24"/>
          <w:szCs w:val="24"/>
        </w:rPr>
        <w:t xml:space="preserve"> </w:t>
      </w:r>
      <w:r w:rsidR="00CD49DA" w:rsidRPr="008C51C9">
        <w:rPr>
          <w:rFonts w:ascii="Times New Roman" w:hAnsi="Times New Roman" w:cs="Times New Roman"/>
          <w:sz w:val="24"/>
          <w:szCs w:val="24"/>
        </w:rPr>
        <w:t xml:space="preserve">2009; </w:t>
      </w:r>
      <w:r w:rsidR="00D44DD1" w:rsidRPr="008C51C9">
        <w:rPr>
          <w:rFonts w:ascii="Times New Roman" w:hAnsi="Times New Roman" w:cs="Times New Roman"/>
          <w:b/>
          <w:bCs/>
          <w:sz w:val="24"/>
          <w:szCs w:val="24"/>
        </w:rPr>
        <w:t>114</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936–949.</w:t>
      </w:r>
    </w:p>
    <w:p w14:paraId="41D3F4A0"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 xml:space="preserve">Thessaloniki ESHRE/ASRM-Sponsored PCOS Consensus Workshop Group. Consensus on infertility treatment related to polycystic ovary syndrome. </w:t>
      </w:r>
      <w:r w:rsidR="00D44DD1" w:rsidRPr="008C51C9">
        <w:rPr>
          <w:rFonts w:ascii="Times New Roman" w:hAnsi="Times New Roman" w:cs="Times New Roman"/>
          <w:i/>
          <w:iCs/>
          <w:sz w:val="24"/>
          <w:szCs w:val="24"/>
        </w:rPr>
        <w:t>Fertil. Steril.</w:t>
      </w:r>
      <w:r w:rsidR="00CD49DA" w:rsidRPr="008C51C9">
        <w:rPr>
          <w:rFonts w:ascii="Times New Roman" w:hAnsi="Times New Roman" w:cs="Times New Roman"/>
          <w:sz w:val="24"/>
          <w:szCs w:val="24"/>
        </w:rPr>
        <w:t xml:space="preserve"> 2008; </w:t>
      </w:r>
      <w:r w:rsidR="00D44DD1" w:rsidRPr="008C51C9">
        <w:rPr>
          <w:rFonts w:ascii="Times New Roman" w:hAnsi="Times New Roman" w:cs="Times New Roman"/>
          <w:b/>
          <w:bCs/>
          <w:sz w:val="24"/>
          <w:szCs w:val="24"/>
        </w:rPr>
        <w:t>89</w:t>
      </w:r>
      <w:r w:rsidR="00CD49DA"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505–522.</w:t>
      </w:r>
    </w:p>
    <w:p w14:paraId="7B5C76C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7</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Raja-Khan N, Stener-Victorin E, Wu X</w:t>
      </w:r>
      <w:r w:rsidR="003A249E"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 xml:space="preserve">Legro RS. The physiological basis of complementary and alternative medicines for polycystic ovary syndrome. </w:t>
      </w:r>
      <w:r w:rsidR="00D44DD1" w:rsidRPr="008C51C9">
        <w:rPr>
          <w:rFonts w:ascii="Times New Roman" w:hAnsi="Times New Roman" w:cs="Times New Roman"/>
          <w:i/>
          <w:iCs/>
          <w:sz w:val="24"/>
          <w:szCs w:val="24"/>
        </w:rPr>
        <w:t>Am. J. Physiol. - Endocrinol. Metab.</w:t>
      </w:r>
      <w:r w:rsidR="003A249E" w:rsidRPr="008C51C9">
        <w:rPr>
          <w:rFonts w:ascii="Times New Roman" w:hAnsi="Times New Roman" w:cs="Times New Roman"/>
          <w:sz w:val="24"/>
          <w:szCs w:val="24"/>
        </w:rPr>
        <w:t xml:space="preserve"> 2011; </w:t>
      </w:r>
      <w:r w:rsidR="00D44DD1" w:rsidRPr="008C51C9">
        <w:rPr>
          <w:rFonts w:ascii="Times New Roman" w:hAnsi="Times New Roman" w:cs="Times New Roman"/>
          <w:b/>
          <w:bCs/>
          <w:sz w:val="24"/>
          <w:szCs w:val="24"/>
        </w:rPr>
        <w:t>301</w:t>
      </w:r>
      <w:r w:rsidR="003A249E"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E1–E10.</w:t>
      </w:r>
    </w:p>
    <w:p w14:paraId="25451279"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8</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Lidegaard Ø, Løkkegaard E, Jensen A, Skovlund CW</w:t>
      </w:r>
      <w:r w:rsidR="002D6E49"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Keiding N. Thrombotic stroke and myocardial infarction with hormonal contraception. </w:t>
      </w:r>
      <w:r w:rsidR="00D44DD1" w:rsidRPr="008C51C9">
        <w:rPr>
          <w:rFonts w:ascii="Times New Roman" w:hAnsi="Times New Roman" w:cs="Times New Roman"/>
          <w:i/>
          <w:iCs/>
          <w:sz w:val="24"/>
          <w:szCs w:val="24"/>
        </w:rPr>
        <w:t>N. Engl. J. Med.</w:t>
      </w:r>
      <w:r w:rsidR="002D6E49" w:rsidRPr="008C51C9">
        <w:rPr>
          <w:rFonts w:ascii="Times New Roman" w:hAnsi="Times New Roman" w:cs="Times New Roman"/>
          <w:sz w:val="24"/>
          <w:szCs w:val="24"/>
        </w:rPr>
        <w:t xml:space="preserve"> 2012</w:t>
      </w:r>
      <w:r w:rsidR="0075440B" w:rsidRPr="008C51C9">
        <w:rPr>
          <w:rFonts w:ascii="Times New Roman" w:hAnsi="Times New Roman" w:cs="Times New Roman"/>
          <w:sz w:val="24"/>
          <w:szCs w:val="24"/>
        </w:rPr>
        <w:t xml:space="preserve">; </w:t>
      </w:r>
      <w:r w:rsidR="00D44DD1" w:rsidRPr="008C51C9">
        <w:rPr>
          <w:rFonts w:ascii="Times New Roman" w:hAnsi="Times New Roman" w:cs="Times New Roman"/>
          <w:b/>
          <w:bCs/>
          <w:sz w:val="24"/>
          <w:szCs w:val="24"/>
        </w:rPr>
        <w:t>366</w:t>
      </w:r>
      <w:r w:rsidR="0075440B"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2257–2266.</w:t>
      </w:r>
    </w:p>
    <w:p w14:paraId="65E27AB4"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2</w:t>
      </w:r>
      <w:r w:rsidR="00C40B52" w:rsidRPr="008C51C9">
        <w:rPr>
          <w:rFonts w:ascii="Times New Roman" w:hAnsi="Times New Roman" w:cs="Times New Roman"/>
          <w:sz w:val="24"/>
          <w:szCs w:val="24"/>
        </w:rPr>
        <w:t>9</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Arentz S, Abbott JA, Smith CA</w:t>
      </w:r>
      <w:r w:rsidR="0075440B"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Bensoussan A. Herbal medicine for the management of polycystic ovary syndrome (PCOS) and associated oligo/amenorrhoea and hyperandrogenism; a review of the laboratory evidence for effects with corroborative clinical findings. </w:t>
      </w:r>
      <w:r w:rsidR="00D44DD1" w:rsidRPr="008C51C9">
        <w:rPr>
          <w:rFonts w:ascii="Times New Roman" w:hAnsi="Times New Roman" w:cs="Times New Roman"/>
          <w:i/>
          <w:iCs/>
          <w:sz w:val="24"/>
          <w:szCs w:val="24"/>
        </w:rPr>
        <w:t>BMC Complement. Altern. Med.</w:t>
      </w:r>
      <w:r w:rsidR="0075440B"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14</w:t>
      </w:r>
      <w:r w:rsidR="0075440B"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511.</w:t>
      </w:r>
    </w:p>
    <w:p w14:paraId="3C8A47EC" w14:textId="77777777" w:rsidR="00D44DD1" w:rsidRPr="008C51C9" w:rsidRDefault="00C40B52"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30</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Dehghan A, Esfandiari A</w:t>
      </w:r>
      <w:r w:rsidR="00B131E3"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Bigdeli SM. Alternative treatment of ovarian cysts with Tribulus terrestris extract: a rat model. </w:t>
      </w:r>
      <w:r w:rsidR="00D44DD1" w:rsidRPr="008C51C9">
        <w:rPr>
          <w:rFonts w:ascii="Times New Roman" w:hAnsi="Times New Roman" w:cs="Times New Roman"/>
          <w:i/>
          <w:iCs/>
          <w:sz w:val="24"/>
          <w:szCs w:val="24"/>
        </w:rPr>
        <w:t>Reprod. Domest. Anim. Zuchthyg.</w:t>
      </w:r>
      <w:r w:rsidR="00B131E3" w:rsidRPr="008C51C9">
        <w:rPr>
          <w:rFonts w:ascii="Times New Roman" w:hAnsi="Times New Roman" w:cs="Times New Roman"/>
          <w:sz w:val="24"/>
          <w:szCs w:val="24"/>
        </w:rPr>
        <w:t xml:space="preserve"> 2012; </w:t>
      </w:r>
      <w:r w:rsidR="00D44DD1" w:rsidRPr="008C51C9">
        <w:rPr>
          <w:rFonts w:ascii="Times New Roman" w:hAnsi="Times New Roman" w:cs="Times New Roman"/>
          <w:b/>
          <w:bCs/>
          <w:sz w:val="24"/>
          <w:szCs w:val="24"/>
        </w:rPr>
        <w:t>47</w:t>
      </w:r>
      <w:r w:rsidR="00B131E3"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e12-15.</w:t>
      </w:r>
    </w:p>
    <w:p w14:paraId="1FF5FE3B"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1</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1" w:history="1">
        <w:r w:rsidR="002448B6" w:rsidRPr="008C51C9">
          <w:rPr>
            <w:rFonts w:ascii="Times New Roman" w:eastAsia="Times New Roman" w:hAnsi="Times New Roman" w:cs="Times New Roman"/>
            <w:sz w:val="24"/>
            <w:szCs w:val="24"/>
          </w:rPr>
          <w:t>Wang JG</w:t>
        </w:r>
      </w:hyperlink>
      <w:r w:rsidR="002448B6" w:rsidRPr="008C51C9">
        <w:rPr>
          <w:rFonts w:ascii="Times New Roman" w:eastAsia="Times New Roman" w:hAnsi="Times New Roman" w:cs="Times New Roman"/>
          <w:sz w:val="24"/>
          <w:szCs w:val="24"/>
        </w:rPr>
        <w:t>, </w:t>
      </w:r>
      <w:hyperlink r:id="rId22" w:history="1">
        <w:r w:rsidR="002448B6" w:rsidRPr="008C51C9">
          <w:rPr>
            <w:rFonts w:ascii="Times New Roman" w:eastAsia="Times New Roman" w:hAnsi="Times New Roman" w:cs="Times New Roman"/>
            <w:sz w:val="24"/>
            <w:szCs w:val="24"/>
          </w:rPr>
          <w:t>Anderson RA</w:t>
        </w:r>
      </w:hyperlink>
      <w:r w:rsidR="002448B6" w:rsidRPr="008C51C9">
        <w:rPr>
          <w:rFonts w:ascii="Times New Roman" w:eastAsia="Times New Roman" w:hAnsi="Times New Roman" w:cs="Times New Roman"/>
          <w:sz w:val="24"/>
          <w:szCs w:val="24"/>
        </w:rPr>
        <w:t>, </w:t>
      </w:r>
      <w:hyperlink r:id="rId23" w:history="1">
        <w:r w:rsidR="002448B6" w:rsidRPr="008C51C9">
          <w:rPr>
            <w:rFonts w:ascii="Times New Roman" w:eastAsia="Times New Roman" w:hAnsi="Times New Roman" w:cs="Times New Roman"/>
            <w:sz w:val="24"/>
            <w:szCs w:val="24"/>
          </w:rPr>
          <w:t>Graham GM 3rd</w:t>
        </w:r>
      </w:hyperlink>
      <w:r w:rsidR="002448B6" w:rsidRPr="008C51C9">
        <w:rPr>
          <w:rFonts w:ascii="Times New Roman" w:eastAsia="Times New Roman" w:hAnsi="Times New Roman" w:cs="Times New Roman"/>
          <w:sz w:val="24"/>
          <w:szCs w:val="24"/>
        </w:rPr>
        <w:t>, </w:t>
      </w:r>
      <w:hyperlink r:id="rId24" w:history="1">
        <w:r w:rsidR="002448B6" w:rsidRPr="008C51C9">
          <w:rPr>
            <w:rFonts w:ascii="Times New Roman" w:eastAsia="Times New Roman" w:hAnsi="Times New Roman" w:cs="Times New Roman"/>
            <w:sz w:val="24"/>
            <w:szCs w:val="24"/>
          </w:rPr>
          <w:t>Chu MC</w:t>
        </w:r>
      </w:hyperlink>
      <w:r w:rsidR="002448B6"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 xml:space="preserve">The effect of cinnamon extract on insulin resistance parameters in polycystic ovary syndrome: a pilot study. </w:t>
      </w:r>
      <w:r w:rsidR="00D44DD1" w:rsidRPr="008C51C9">
        <w:rPr>
          <w:rFonts w:ascii="Times New Roman" w:hAnsi="Times New Roman" w:cs="Times New Roman"/>
          <w:i/>
          <w:iCs/>
          <w:sz w:val="24"/>
          <w:szCs w:val="24"/>
        </w:rPr>
        <w:t>Fertil. Steril.</w:t>
      </w:r>
      <w:r w:rsidR="002448B6" w:rsidRPr="008C51C9">
        <w:rPr>
          <w:rFonts w:ascii="Times New Roman" w:hAnsi="Times New Roman" w:cs="Times New Roman"/>
          <w:sz w:val="24"/>
          <w:szCs w:val="24"/>
        </w:rPr>
        <w:t xml:space="preserve"> 2007; </w:t>
      </w:r>
      <w:r w:rsidR="00D44DD1" w:rsidRPr="008C51C9">
        <w:rPr>
          <w:rFonts w:ascii="Times New Roman" w:hAnsi="Times New Roman" w:cs="Times New Roman"/>
          <w:b/>
          <w:bCs/>
          <w:sz w:val="24"/>
          <w:szCs w:val="24"/>
        </w:rPr>
        <w:t>88</w:t>
      </w:r>
      <w:r w:rsidR="002448B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240–243.</w:t>
      </w:r>
    </w:p>
    <w:p w14:paraId="3B26DA93"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2</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Sadeghi AM, Alaee S, Bagheri MJ</w:t>
      </w:r>
      <w:r w:rsidR="005A60F6" w:rsidRPr="008C51C9">
        <w:rPr>
          <w:rFonts w:ascii="Times New Roman" w:hAnsi="Times New Roman" w:cs="Times New Roman"/>
          <w:sz w:val="24"/>
          <w:szCs w:val="24"/>
        </w:rPr>
        <w:t>,</w:t>
      </w:r>
      <w:r w:rsidR="00D44DD1" w:rsidRPr="008C51C9">
        <w:rPr>
          <w:rFonts w:ascii="Times New Roman" w:hAnsi="Times New Roman" w:cs="Times New Roman"/>
          <w:sz w:val="24"/>
          <w:szCs w:val="24"/>
        </w:rPr>
        <w:t xml:space="preserve"> Bahmanpoor S. Role of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ssential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il of Mentha Spicata (Spearmint) in </w:t>
      </w:r>
      <w:r w:rsidR="00A023BB"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ddressing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everse </w:t>
      </w:r>
      <w:r w:rsidR="00A023BB" w:rsidRPr="008C51C9">
        <w:rPr>
          <w:rFonts w:ascii="Times New Roman" w:hAnsi="Times New Roman" w:cs="Times New Roman"/>
          <w:sz w:val="24"/>
          <w:szCs w:val="24"/>
        </w:rPr>
        <w:t>h</w:t>
      </w:r>
      <w:r w:rsidR="00D44DD1" w:rsidRPr="008C51C9">
        <w:rPr>
          <w:rFonts w:ascii="Times New Roman" w:hAnsi="Times New Roman" w:cs="Times New Roman"/>
          <w:sz w:val="24"/>
          <w:szCs w:val="24"/>
        </w:rPr>
        <w:t xml:space="preserve">ormonal and </w:t>
      </w:r>
      <w:r w:rsidR="00A023BB" w:rsidRPr="008C51C9">
        <w:rPr>
          <w:rFonts w:ascii="Times New Roman" w:hAnsi="Times New Roman" w:cs="Times New Roman"/>
          <w:sz w:val="24"/>
          <w:szCs w:val="24"/>
        </w:rPr>
        <w:t>f</w:t>
      </w:r>
      <w:r w:rsidR="00D44DD1" w:rsidRPr="008C51C9">
        <w:rPr>
          <w:rFonts w:ascii="Times New Roman" w:hAnsi="Times New Roman" w:cs="Times New Roman"/>
          <w:sz w:val="24"/>
          <w:szCs w:val="24"/>
        </w:rPr>
        <w:t xml:space="preserve">olliculogenesis </w:t>
      </w:r>
      <w:r w:rsidR="00A023BB" w:rsidRPr="008C51C9">
        <w:rPr>
          <w:rFonts w:ascii="Times New Roman" w:hAnsi="Times New Roman" w:cs="Times New Roman"/>
          <w:sz w:val="24"/>
          <w:szCs w:val="24"/>
        </w:rPr>
        <w:t>d</w:t>
      </w:r>
      <w:r w:rsidR="00D44DD1" w:rsidRPr="008C51C9">
        <w:rPr>
          <w:rFonts w:ascii="Times New Roman" w:hAnsi="Times New Roman" w:cs="Times New Roman"/>
          <w:sz w:val="24"/>
          <w:szCs w:val="24"/>
        </w:rPr>
        <w:t xml:space="preserve">isturbances in a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varian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in a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at </w:t>
      </w:r>
      <w:r w:rsidR="00A023BB" w:rsidRPr="008C51C9">
        <w:rPr>
          <w:rFonts w:ascii="Times New Roman" w:hAnsi="Times New Roman" w:cs="Times New Roman"/>
          <w:sz w:val="24"/>
          <w:szCs w:val="24"/>
        </w:rPr>
        <w:t>m</w:t>
      </w:r>
      <w:r w:rsidR="00D44DD1" w:rsidRPr="008C51C9">
        <w:rPr>
          <w:rFonts w:ascii="Times New Roman" w:hAnsi="Times New Roman" w:cs="Times New Roman"/>
          <w:sz w:val="24"/>
          <w:szCs w:val="24"/>
        </w:rPr>
        <w:t xml:space="preserve">odel. </w:t>
      </w:r>
      <w:r w:rsidR="00D44DD1" w:rsidRPr="008C51C9">
        <w:rPr>
          <w:rFonts w:ascii="Times New Roman" w:hAnsi="Times New Roman" w:cs="Times New Roman"/>
          <w:i/>
          <w:iCs/>
          <w:sz w:val="24"/>
          <w:szCs w:val="24"/>
        </w:rPr>
        <w:t>Adv. Pharm. Bull.</w:t>
      </w:r>
      <w:r w:rsidR="005A60F6" w:rsidRPr="008C51C9">
        <w:rPr>
          <w:rFonts w:ascii="Times New Roman" w:hAnsi="Times New Roman" w:cs="Times New Roman"/>
          <w:sz w:val="24"/>
          <w:szCs w:val="24"/>
        </w:rPr>
        <w:t xml:space="preserve"> 2017; </w:t>
      </w:r>
      <w:r w:rsidR="00D44DD1" w:rsidRPr="008C51C9">
        <w:rPr>
          <w:rFonts w:ascii="Times New Roman" w:hAnsi="Times New Roman" w:cs="Times New Roman"/>
          <w:b/>
          <w:bCs/>
          <w:sz w:val="24"/>
          <w:szCs w:val="24"/>
        </w:rPr>
        <w:t>7</w:t>
      </w:r>
      <w:r w:rsidR="005A60F6"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651–654.</w:t>
      </w:r>
    </w:p>
    <w:p w14:paraId="5C9C1BA2"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3</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5" w:anchor="!" w:history="1">
        <w:r w:rsidR="003C36AE" w:rsidRPr="008C51C9">
          <w:rPr>
            <w:rFonts w:ascii="Times New Roman" w:eastAsia="Times New Roman" w:hAnsi="Times New Roman" w:cs="Times New Roman"/>
            <w:sz w:val="24"/>
            <w:szCs w:val="24"/>
          </w:rPr>
          <w:t>Ali</w:t>
        </w:r>
      </w:hyperlink>
      <w:r w:rsidR="003C36AE" w:rsidRPr="008C51C9">
        <w:rPr>
          <w:rFonts w:ascii="Times New Roman" w:eastAsia="Times New Roman" w:hAnsi="Times New Roman" w:cs="Times New Roman"/>
          <w:sz w:val="24"/>
          <w:szCs w:val="24"/>
        </w:rPr>
        <w:t xml:space="preserve"> B, </w:t>
      </w:r>
      <w:hyperlink r:id="rId26" w:anchor="!" w:history="1">
        <w:r w:rsidR="003C36AE" w:rsidRPr="008C51C9">
          <w:rPr>
            <w:rFonts w:ascii="Times New Roman" w:eastAsia="Times New Roman" w:hAnsi="Times New Roman" w:cs="Times New Roman"/>
            <w:sz w:val="24"/>
            <w:szCs w:val="24"/>
          </w:rPr>
          <w:t>Al-Wabel</w:t>
        </w:r>
      </w:hyperlink>
      <w:r w:rsidR="003C36AE" w:rsidRPr="008C51C9">
        <w:rPr>
          <w:rFonts w:ascii="Times New Roman" w:eastAsia="Times New Roman" w:hAnsi="Times New Roman" w:cs="Times New Roman"/>
          <w:sz w:val="24"/>
          <w:szCs w:val="24"/>
        </w:rPr>
        <w:t xml:space="preserve"> NA, </w:t>
      </w:r>
      <w:hyperlink r:id="rId27" w:anchor="!" w:history="1">
        <w:r w:rsidR="003C36AE" w:rsidRPr="008C51C9">
          <w:rPr>
            <w:rFonts w:ascii="Times New Roman" w:eastAsia="Times New Roman" w:hAnsi="Times New Roman" w:cs="Times New Roman"/>
            <w:sz w:val="24"/>
            <w:szCs w:val="24"/>
          </w:rPr>
          <w:t>Shams</w:t>
        </w:r>
      </w:hyperlink>
      <w:r w:rsidR="003C36AE" w:rsidRPr="008C51C9">
        <w:rPr>
          <w:rFonts w:ascii="Times New Roman" w:eastAsia="Times New Roman" w:hAnsi="Times New Roman" w:cs="Times New Roman"/>
          <w:sz w:val="24"/>
          <w:szCs w:val="24"/>
        </w:rPr>
        <w:t xml:space="preserve"> S, </w:t>
      </w:r>
      <w:hyperlink r:id="rId28" w:anchor="!" w:history="1">
        <w:r w:rsidR="003C36AE" w:rsidRPr="008C51C9">
          <w:rPr>
            <w:rFonts w:ascii="Times New Roman" w:eastAsia="Times New Roman" w:hAnsi="Times New Roman" w:cs="Times New Roman"/>
            <w:sz w:val="24"/>
            <w:szCs w:val="24"/>
          </w:rPr>
          <w:t>Ahamad A</w:t>
        </w:r>
      </w:hyperlink>
      <w:r w:rsidR="003C36AE"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 xml:space="preserve">Essential oils used in aromatherapy: </w:t>
      </w:r>
      <w:r w:rsidR="00A023BB"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 systemic review. </w:t>
      </w:r>
      <w:r w:rsidR="00D44DD1" w:rsidRPr="008C51C9">
        <w:rPr>
          <w:rFonts w:ascii="Times New Roman" w:hAnsi="Times New Roman" w:cs="Times New Roman"/>
          <w:i/>
          <w:iCs/>
          <w:sz w:val="24"/>
          <w:szCs w:val="24"/>
        </w:rPr>
        <w:t>Asian Pac. J. Trop. Biomed.</w:t>
      </w:r>
      <w:r w:rsidR="003C36AE"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5</w:t>
      </w:r>
      <w:r w:rsidR="003C36AE"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601–611.</w:t>
      </w:r>
    </w:p>
    <w:p w14:paraId="6BDCF4B5" w14:textId="77777777" w:rsidR="00D44DD1" w:rsidRPr="008C51C9" w:rsidRDefault="00434581" w:rsidP="00C65601">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4</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r w:rsidR="003C36AE" w:rsidRPr="008C51C9">
        <w:rPr>
          <w:rFonts w:ascii="Times New Roman" w:hAnsi="Times New Roman" w:cs="Times New Roman"/>
          <w:sz w:val="24"/>
          <w:szCs w:val="24"/>
        </w:rPr>
        <w:t xml:space="preserve">Medling A. </w:t>
      </w:r>
      <w:r w:rsidR="00D44DD1" w:rsidRPr="008C51C9">
        <w:rPr>
          <w:rFonts w:ascii="Times New Roman" w:hAnsi="Times New Roman" w:cs="Times New Roman"/>
          <w:sz w:val="24"/>
          <w:szCs w:val="24"/>
        </w:rPr>
        <w:t xml:space="preserve">Top 5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ssential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ils for PCOS. </w:t>
      </w:r>
      <w:r w:rsidR="00D44DD1" w:rsidRPr="008C51C9">
        <w:rPr>
          <w:rFonts w:ascii="Times New Roman" w:hAnsi="Times New Roman" w:cs="Times New Roman"/>
          <w:i/>
          <w:iCs/>
          <w:sz w:val="24"/>
          <w:szCs w:val="24"/>
        </w:rPr>
        <w:t>PCOS Diva</w:t>
      </w:r>
      <w:r w:rsidR="003C36AE"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2017.  https://pcosdiva.com/2017/01/top-5-essential-oils-for-pcos/. (</w:t>
      </w:r>
      <w:r w:rsidR="003C36AE" w:rsidRPr="008C51C9">
        <w:rPr>
          <w:rFonts w:ascii="Times New Roman" w:hAnsi="Times New Roman" w:cs="Times New Roman"/>
          <w:sz w:val="24"/>
          <w:szCs w:val="24"/>
        </w:rPr>
        <w:t>a</w:t>
      </w:r>
      <w:r w:rsidR="00D44DD1" w:rsidRPr="008C51C9">
        <w:rPr>
          <w:rFonts w:ascii="Times New Roman" w:hAnsi="Times New Roman" w:cs="Times New Roman"/>
          <w:sz w:val="24"/>
          <w:szCs w:val="24"/>
        </w:rPr>
        <w:t>ccessed Feb</w:t>
      </w:r>
      <w:r w:rsidR="003C36AE" w:rsidRPr="008C51C9">
        <w:rPr>
          <w:rFonts w:ascii="Times New Roman" w:hAnsi="Times New Roman" w:cs="Times New Roman"/>
          <w:sz w:val="24"/>
          <w:szCs w:val="24"/>
        </w:rPr>
        <w:t xml:space="preserve"> 25,</w:t>
      </w:r>
      <w:r w:rsidR="00D44DD1" w:rsidRPr="008C51C9">
        <w:rPr>
          <w:rFonts w:ascii="Times New Roman" w:hAnsi="Times New Roman" w:cs="Times New Roman"/>
          <w:sz w:val="24"/>
          <w:szCs w:val="24"/>
        </w:rPr>
        <w:t xml:space="preserve"> 2018)</w:t>
      </w:r>
    </w:p>
    <w:p w14:paraId="16A4C250" w14:textId="77777777" w:rsidR="00D44DD1" w:rsidRPr="008C51C9"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5</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29" w:history="1">
        <w:r w:rsidR="00C5280D" w:rsidRPr="008C51C9">
          <w:rPr>
            <w:rFonts w:ascii="Times New Roman" w:eastAsia="Times New Roman" w:hAnsi="Times New Roman" w:cs="Times New Roman"/>
            <w:sz w:val="24"/>
            <w:szCs w:val="24"/>
          </w:rPr>
          <w:t>Küpeli AE</w:t>
        </w:r>
      </w:hyperlink>
      <w:r w:rsidR="00C5280D" w:rsidRPr="008C51C9">
        <w:rPr>
          <w:rFonts w:ascii="Times New Roman" w:eastAsia="Times New Roman" w:hAnsi="Times New Roman" w:cs="Times New Roman"/>
          <w:sz w:val="24"/>
          <w:szCs w:val="24"/>
        </w:rPr>
        <w:t>, </w:t>
      </w:r>
      <w:hyperlink r:id="rId30" w:history="1">
        <w:r w:rsidR="00C5280D" w:rsidRPr="008C51C9">
          <w:rPr>
            <w:rFonts w:ascii="Times New Roman" w:eastAsia="Times New Roman" w:hAnsi="Times New Roman" w:cs="Times New Roman"/>
            <w:sz w:val="24"/>
            <w:szCs w:val="24"/>
          </w:rPr>
          <w:t>İlhan M</w:t>
        </w:r>
      </w:hyperlink>
      <w:r w:rsidR="00C5280D" w:rsidRPr="008C51C9">
        <w:rPr>
          <w:rFonts w:ascii="Times New Roman" w:eastAsia="Times New Roman" w:hAnsi="Times New Roman" w:cs="Times New Roman"/>
          <w:sz w:val="24"/>
          <w:szCs w:val="24"/>
        </w:rPr>
        <w:t>, </w:t>
      </w:r>
      <w:hyperlink r:id="rId31" w:history="1">
        <w:r w:rsidR="00C5280D" w:rsidRPr="008C51C9">
          <w:rPr>
            <w:rFonts w:ascii="Times New Roman" w:eastAsia="Times New Roman" w:hAnsi="Times New Roman" w:cs="Times New Roman"/>
            <w:sz w:val="24"/>
            <w:szCs w:val="24"/>
          </w:rPr>
          <w:t>Ayşe DM</w:t>
        </w:r>
      </w:hyperlink>
      <w:r w:rsidR="00C5280D" w:rsidRPr="008C51C9">
        <w:rPr>
          <w:rFonts w:ascii="Times New Roman" w:eastAsia="Times New Roman" w:hAnsi="Times New Roman" w:cs="Times New Roman"/>
          <w:sz w:val="24"/>
          <w:szCs w:val="24"/>
        </w:rPr>
        <w:t>, </w:t>
      </w:r>
      <w:hyperlink r:id="rId32" w:history="1">
        <w:r w:rsidR="00C5280D" w:rsidRPr="008C51C9">
          <w:rPr>
            <w:rFonts w:ascii="Times New Roman" w:eastAsia="Times New Roman" w:hAnsi="Times New Roman" w:cs="Times New Roman"/>
            <w:sz w:val="24"/>
            <w:szCs w:val="24"/>
          </w:rPr>
          <w:t>Keleş H</w:t>
        </w:r>
      </w:hyperlink>
      <w:r w:rsidR="00C5280D" w:rsidRPr="008C51C9">
        <w:rPr>
          <w:rFonts w:ascii="Times New Roman" w:eastAsia="Times New Roman" w:hAnsi="Times New Roman" w:cs="Times New Roman"/>
          <w:sz w:val="24"/>
          <w:szCs w:val="24"/>
        </w:rPr>
        <w:t>, et al.</w:t>
      </w:r>
      <w:r w:rsidR="00D44DD1" w:rsidRPr="008C51C9">
        <w:rPr>
          <w:rFonts w:ascii="Times New Roman" w:hAnsi="Times New Roman" w:cs="Times New Roman"/>
          <w:sz w:val="24"/>
          <w:szCs w:val="24"/>
        </w:rPr>
        <w:t xml:space="preserve"> Thuja occidentalis L. and its active compound, α-thujone: </w:t>
      </w:r>
      <w:r w:rsidR="00C5280D"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romising effects in the treatment of polycystic ovary syndrome without inducing osteoporosis. </w:t>
      </w:r>
      <w:r w:rsidR="00D44DD1" w:rsidRPr="008C51C9">
        <w:rPr>
          <w:rFonts w:ascii="Times New Roman" w:hAnsi="Times New Roman" w:cs="Times New Roman"/>
          <w:i/>
          <w:iCs/>
          <w:sz w:val="24"/>
          <w:szCs w:val="24"/>
        </w:rPr>
        <w:t>J. Ethnopharmacol.</w:t>
      </w:r>
      <w:r w:rsidR="00C5280D" w:rsidRPr="008C51C9">
        <w:rPr>
          <w:rFonts w:ascii="Times New Roman" w:hAnsi="Times New Roman" w:cs="Times New Roman"/>
          <w:sz w:val="24"/>
          <w:szCs w:val="24"/>
        </w:rPr>
        <w:t xml:space="preserve"> 2015; </w:t>
      </w:r>
      <w:r w:rsidR="00D44DD1" w:rsidRPr="008C51C9">
        <w:rPr>
          <w:rFonts w:ascii="Times New Roman" w:hAnsi="Times New Roman" w:cs="Times New Roman"/>
          <w:b/>
          <w:bCs/>
          <w:sz w:val="24"/>
          <w:szCs w:val="24"/>
        </w:rPr>
        <w:t>168</w:t>
      </w:r>
      <w:r w:rsidR="00C5280D" w:rsidRPr="008C51C9">
        <w:rPr>
          <w:rFonts w:ascii="Times New Roman" w:hAnsi="Times New Roman" w:cs="Times New Roman"/>
          <w:b/>
          <w:bCs/>
          <w:sz w:val="24"/>
          <w:szCs w:val="24"/>
        </w:rPr>
        <w:t>:</w:t>
      </w:r>
      <w:r w:rsidR="00D44DD1" w:rsidRPr="008C51C9">
        <w:rPr>
          <w:rFonts w:ascii="Times New Roman" w:hAnsi="Times New Roman" w:cs="Times New Roman"/>
          <w:sz w:val="24"/>
          <w:szCs w:val="24"/>
        </w:rPr>
        <w:t xml:space="preserve"> 25–30.</w:t>
      </w:r>
    </w:p>
    <w:p w14:paraId="49BF2298" w14:textId="77777777" w:rsidR="00D44DD1" w:rsidRPr="008C51C9"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6</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t>Zangeneh F</w:t>
      </w:r>
      <w:r w:rsidR="00BC7F98" w:rsidRPr="008C51C9">
        <w:rPr>
          <w:rFonts w:ascii="Times New Roman" w:hAnsi="Times New Roman" w:cs="Times New Roman"/>
          <w:sz w:val="24"/>
          <w:szCs w:val="24"/>
        </w:rPr>
        <w:t>Z</w:t>
      </w:r>
      <w:r w:rsidR="00D44DD1" w:rsidRPr="008C51C9">
        <w:rPr>
          <w:rFonts w:ascii="Times New Roman" w:hAnsi="Times New Roman" w:cs="Times New Roman"/>
          <w:sz w:val="24"/>
          <w:szCs w:val="24"/>
        </w:rPr>
        <w:t>, Minaee B, Amirzargar A, Ahangarpour A</w:t>
      </w:r>
      <w:r w:rsidR="005405D8" w:rsidRPr="008C51C9">
        <w:rPr>
          <w:rFonts w:ascii="Times New Roman" w:hAnsi="Times New Roman" w:cs="Times New Roman"/>
          <w:sz w:val="24"/>
          <w:szCs w:val="24"/>
        </w:rPr>
        <w:t xml:space="preserve">, </w:t>
      </w:r>
      <w:r w:rsidR="00D44DD1" w:rsidRPr="008C51C9">
        <w:rPr>
          <w:rFonts w:ascii="Times New Roman" w:hAnsi="Times New Roman" w:cs="Times New Roman"/>
          <w:sz w:val="24"/>
          <w:szCs w:val="24"/>
        </w:rPr>
        <w:t xml:space="preserve">Mousavizadeh K. Effects of Chamomile </w:t>
      </w:r>
      <w:r w:rsidR="00A023BB" w:rsidRPr="008C51C9">
        <w:rPr>
          <w:rFonts w:ascii="Times New Roman" w:hAnsi="Times New Roman" w:cs="Times New Roman"/>
          <w:sz w:val="24"/>
          <w:szCs w:val="24"/>
        </w:rPr>
        <w:t>e</w:t>
      </w:r>
      <w:r w:rsidR="00D44DD1" w:rsidRPr="008C51C9">
        <w:rPr>
          <w:rFonts w:ascii="Times New Roman" w:hAnsi="Times New Roman" w:cs="Times New Roman"/>
          <w:sz w:val="24"/>
          <w:szCs w:val="24"/>
        </w:rPr>
        <w:t xml:space="preserve">xtract on </w:t>
      </w:r>
      <w:r w:rsidR="00A023BB" w:rsidRPr="008C51C9">
        <w:rPr>
          <w:rFonts w:ascii="Times New Roman" w:hAnsi="Times New Roman" w:cs="Times New Roman"/>
          <w:sz w:val="24"/>
          <w:szCs w:val="24"/>
        </w:rPr>
        <w:t>b</w:t>
      </w:r>
      <w:r w:rsidR="00D44DD1" w:rsidRPr="008C51C9">
        <w:rPr>
          <w:rFonts w:ascii="Times New Roman" w:hAnsi="Times New Roman" w:cs="Times New Roman"/>
          <w:sz w:val="24"/>
          <w:szCs w:val="24"/>
        </w:rPr>
        <w:t xml:space="preserve">iochemical and </w:t>
      </w:r>
      <w:r w:rsidR="00A023BB" w:rsidRPr="008C51C9">
        <w:rPr>
          <w:rFonts w:ascii="Times New Roman" w:hAnsi="Times New Roman" w:cs="Times New Roman"/>
          <w:sz w:val="24"/>
          <w:szCs w:val="24"/>
        </w:rPr>
        <w:t>c</w:t>
      </w:r>
      <w:r w:rsidR="00D44DD1" w:rsidRPr="008C51C9">
        <w:rPr>
          <w:rFonts w:ascii="Times New Roman" w:hAnsi="Times New Roman" w:cs="Times New Roman"/>
          <w:sz w:val="24"/>
          <w:szCs w:val="24"/>
        </w:rPr>
        <w:t xml:space="preserve">linical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arameters in a </w:t>
      </w:r>
      <w:r w:rsidR="00A023BB" w:rsidRPr="008C51C9">
        <w:rPr>
          <w:rFonts w:ascii="Times New Roman" w:hAnsi="Times New Roman" w:cs="Times New Roman"/>
          <w:sz w:val="24"/>
          <w:szCs w:val="24"/>
        </w:rPr>
        <w:t>r</w:t>
      </w:r>
      <w:r w:rsidR="00D44DD1" w:rsidRPr="008C51C9">
        <w:rPr>
          <w:rFonts w:ascii="Times New Roman" w:hAnsi="Times New Roman" w:cs="Times New Roman"/>
          <w:sz w:val="24"/>
          <w:szCs w:val="24"/>
        </w:rPr>
        <w:t xml:space="preserve">at </w:t>
      </w:r>
      <w:r w:rsidR="00A023BB" w:rsidRPr="008C51C9">
        <w:rPr>
          <w:rFonts w:ascii="Times New Roman" w:hAnsi="Times New Roman" w:cs="Times New Roman"/>
          <w:sz w:val="24"/>
          <w:szCs w:val="24"/>
        </w:rPr>
        <w:t>m</w:t>
      </w:r>
      <w:r w:rsidR="00D44DD1" w:rsidRPr="008C51C9">
        <w:rPr>
          <w:rFonts w:ascii="Times New Roman" w:hAnsi="Times New Roman" w:cs="Times New Roman"/>
          <w:sz w:val="24"/>
          <w:szCs w:val="24"/>
        </w:rPr>
        <w:t xml:space="preserve">odel of </w:t>
      </w:r>
      <w:r w:rsidR="00A023BB" w:rsidRPr="008C51C9">
        <w:rPr>
          <w:rFonts w:ascii="Times New Roman" w:hAnsi="Times New Roman" w:cs="Times New Roman"/>
          <w:sz w:val="24"/>
          <w:szCs w:val="24"/>
        </w:rPr>
        <w:t>p</w:t>
      </w:r>
      <w:r w:rsidR="00D44DD1" w:rsidRPr="008C51C9">
        <w:rPr>
          <w:rFonts w:ascii="Times New Roman" w:hAnsi="Times New Roman" w:cs="Times New Roman"/>
          <w:sz w:val="24"/>
          <w:szCs w:val="24"/>
        </w:rPr>
        <w:t xml:space="preserve">olycystic </w:t>
      </w:r>
      <w:r w:rsidR="00A023BB" w:rsidRPr="008C51C9">
        <w:rPr>
          <w:rFonts w:ascii="Times New Roman" w:hAnsi="Times New Roman" w:cs="Times New Roman"/>
          <w:sz w:val="24"/>
          <w:szCs w:val="24"/>
        </w:rPr>
        <w:t>o</w:t>
      </w:r>
      <w:r w:rsidR="00D44DD1" w:rsidRPr="008C51C9">
        <w:rPr>
          <w:rFonts w:ascii="Times New Roman" w:hAnsi="Times New Roman" w:cs="Times New Roman"/>
          <w:sz w:val="24"/>
          <w:szCs w:val="24"/>
        </w:rPr>
        <w:t xml:space="preserve">vary </w:t>
      </w:r>
      <w:r w:rsidR="00A023BB" w:rsidRPr="008C51C9">
        <w:rPr>
          <w:rFonts w:ascii="Times New Roman" w:hAnsi="Times New Roman" w:cs="Times New Roman"/>
          <w:sz w:val="24"/>
          <w:szCs w:val="24"/>
        </w:rPr>
        <w:t>s</w:t>
      </w:r>
      <w:r w:rsidR="00D44DD1" w:rsidRPr="008C51C9">
        <w:rPr>
          <w:rFonts w:ascii="Times New Roman" w:hAnsi="Times New Roman" w:cs="Times New Roman"/>
          <w:sz w:val="24"/>
          <w:szCs w:val="24"/>
        </w:rPr>
        <w:t xml:space="preserve">yndrome. </w:t>
      </w:r>
      <w:r w:rsidR="00D44DD1" w:rsidRPr="008C51C9">
        <w:rPr>
          <w:rFonts w:ascii="Times New Roman" w:hAnsi="Times New Roman" w:cs="Times New Roman"/>
          <w:i/>
          <w:iCs/>
          <w:sz w:val="24"/>
          <w:szCs w:val="24"/>
        </w:rPr>
        <w:t>J. Reprod. Infertil.</w:t>
      </w:r>
      <w:r w:rsidR="005405D8" w:rsidRPr="008C51C9">
        <w:rPr>
          <w:rFonts w:ascii="Times New Roman" w:hAnsi="Times New Roman" w:cs="Times New Roman"/>
          <w:sz w:val="24"/>
          <w:szCs w:val="24"/>
        </w:rPr>
        <w:t xml:space="preserve"> 2010; </w:t>
      </w:r>
      <w:r w:rsidR="00D44DD1" w:rsidRPr="008C51C9">
        <w:rPr>
          <w:rFonts w:ascii="Times New Roman" w:hAnsi="Times New Roman" w:cs="Times New Roman"/>
          <w:b/>
          <w:bCs/>
          <w:sz w:val="24"/>
          <w:szCs w:val="24"/>
        </w:rPr>
        <w:t>11</w:t>
      </w:r>
      <w:r w:rsidR="005405D8" w:rsidRPr="008C51C9">
        <w:rPr>
          <w:rFonts w:ascii="Times New Roman" w:hAnsi="Times New Roman" w:cs="Times New Roman"/>
          <w:b/>
          <w:bCs/>
          <w:sz w:val="24"/>
          <w:szCs w:val="24"/>
        </w:rPr>
        <w:t xml:space="preserve">: </w:t>
      </w:r>
      <w:r w:rsidR="00D44DD1" w:rsidRPr="008C51C9">
        <w:rPr>
          <w:rFonts w:ascii="Times New Roman" w:hAnsi="Times New Roman" w:cs="Times New Roman"/>
          <w:sz w:val="24"/>
          <w:szCs w:val="24"/>
        </w:rPr>
        <w:t>169–174.</w:t>
      </w:r>
    </w:p>
    <w:p w14:paraId="449F0F83" w14:textId="77777777" w:rsidR="00D44DD1" w:rsidRPr="00D44DD1" w:rsidRDefault="00434581" w:rsidP="00393D67">
      <w:pPr>
        <w:ind w:left="540" w:hanging="540"/>
        <w:rPr>
          <w:rFonts w:ascii="Times New Roman" w:hAnsi="Times New Roman" w:cs="Times New Roman"/>
          <w:sz w:val="24"/>
          <w:szCs w:val="24"/>
        </w:rPr>
      </w:pPr>
      <w:r w:rsidRPr="008C51C9">
        <w:rPr>
          <w:rFonts w:ascii="Times New Roman" w:hAnsi="Times New Roman" w:cs="Times New Roman"/>
          <w:sz w:val="24"/>
          <w:szCs w:val="24"/>
        </w:rPr>
        <w:t>3</w:t>
      </w:r>
      <w:r w:rsidR="00C40B52" w:rsidRPr="008C51C9">
        <w:rPr>
          <w:rFonts w:ascii="Times New Roman" w:hAnsi="Times New Roman" w:cs="Times New Roman"/>
          <w:sz w:val="24"/>
          <w:szCs w:val="24"/>
        </w:rPr>
        <w:t>7</w:t>
      </w:r>
      <w:r w:rsidR="00D44DD1" w:rsidRPr="008C51C9">
        <w:rPr>
          <w:rFonts w:ascii="Times New Roman" w:hAnsi="Times New Roman" w:cs="Times New Roman"/>
          <w:sz w:val="24"/>
          <w:szCs w:val="24"/>
        </w:rPr>
        <w:t>.</w:t>
      </w:r>
      <w:r w:rsidR="00D44DD1" w:rsidRPr="008C51C9">
        <w:rPr>
          <w:rFonts w:ascii="Times New Roman" w:hAnsi="Times New Roman" w:cs="Times New Roman"/>
          <w:sz w:val="24"/>
          <w:szCs w:val="24"/>
        </w:rPr>
        <w:tab/>
      </w:r>
      <w:hyperlink r:id="rId33" w:history="1">
        <w:r w:rsidR="00687BDE" w:rsidRPr="008C51C9">
          <w:rPr>
            <w:rFonts w:ascii="Times New Roman" w:eastAsia="Times New Roman" w:hAnsi="Times New Roman" w:cs="Times New Roman"/>
            <w:sz w:val="24"/>
            <w:szCs w:val="24"/>
          </w:rPr>
          <w:t>Heidarifar R</w:t>
        </w:r>
      </w:hyperlink>
      <w:r w:rsidR="00687BDE" w:rsidRPr="008C51C9">
        <w:rPr>
          <w:rFonts w:ascii="Times New Roman" w:eastAsia="Times New Roman" w:hAnsi="Times New Roman" w:cs="Times New Roman"/>
          <w:sz w:val="24"/>
          <w:szCs w:val="24"/>
        </w:rPr>
        <w:t>, </w:t>
      </w:r>
      <w:hyperlink r:id="rId34" w:history="1">
        <w:r w:rsidR="00687BDE" w:rsidRPr="008C51C9">
          <w:rPr>
            <w:rFonts w:ascii="Times New Roman" w:eastAsia="Times New Roman" w:hAnsi="Times New Roman" w:cs="Times New Roman"/>
            <w:sz w:val="24"/>
            <w:szCs w:val="24"/>
          </w:rPr>
          <w:t>Mehran N</w:t>
        </w:r>
      </w:hyperlink>
      <w:r w:rsidR="00687BDE" w:rsidRPr="008C51C9">
        <w:rPr>
          <w:rFonts w:ascii="Times New Roman" w:eastAsia="Times New Roman" w:hAnsi="Times New Roman" w:cs="Times New Roman"/>
          <w:sz w:val="24"/>
          <w:szCs w:val="24"/>
        </w:rPr>
        <w:t>, </w:t>
      </w:r>
      <w:hyperlink r:id="rId35" w:history="1">
        <w:r w:rsidR="00687BDE" w:rsidRPr="008C51C9">
          <w:rPr>
            <w:rFonts w:ascii="Times New Roman" w:eastAsia="Times New Roman" w:hAnsi="Times New Roman" w:cs="Times New Roman"/>
            <w:sz w:val="24"/>
            <w:szCs w:val="24"/>
          </w:rPr>
          <w:t>Heidari A</w:t>
        </w:r>
      </w:hyperlink>
      <w:r w:rsidR="00687BDE" w:rsidRPr="008C51C9">
        <w:rPr>
          <w:rFonts w:ascii="Times New Roman" w:eastAsia="Times New Roman" w:hAnsi="Times New Roman" w:cs="Times New Roman"/>
          <w:sz w:val="24"/>
          <w:szCs w:val="24"/>
        </w:rPr>
        <w:t>, </w:t>
      </w:r>
      <w:hyperlink r:id="rId36" w:history="1">
        <w:r w:rsidR="00687BDE" w:rsidRPr="008C51C9">
          <w:rPr>
            <w:rFonts w:ascii="Times New Roman" w:eastAsia="Times New Roman" w:hAnsi="Times New Roman" w:cs="Times New Roman"/>
            <w:sz w:val="24"/>
            <w:szCs w:val="24"/>
          </w:rPr>
          <w:t>Tehran HA</w:t>
        </w:r>
      </w:hyperlink>
      <w:r w:rsidR="00687BDE" w:rsidRPr="008C51C9">
        <w:rPr>
          <w:rFonts w:ascii="Times New Roman" w:eastAsia="Times New Roman" w:hAnsi="Times New Roman" w:cs="Times New Roman"/>
          <w:sz w:val="24"/>
          <w:szCs w:val="24"/>
        </w:rPr>
        <w:t xml:space="preserve">, et al. </w:t>
      </w:r>
      <w:r w:rsidR="00D44DD1" w:rsidRPr="008C51C9">
        <w:rPr>
          <w:rFonts w:ascii="Times New Roman" w:hAnsi="Times New Roman" w:cs="Times New Roman"/>
          <w:sz w:val="24"/>
          <w:szCs w:val="24"/>
        </w:rPr>
        <w:t xml:space="preserve">Effect of Dill (Anethum graveolens) on the severity of primary dysmenorrhea in compared with mefenamic acid: </w:t>
      </w:r>
      <w:r w:rsidR="00687BDE" w:rsidRPr="008C51C9">
        <w:rPr>
          <w:rFonts w:ascii="Times New Roman" w:hAnsi="Times New Roman" w:cs="Times New Roman"/>
          <w:sz w:val="24"/>
          <w:szCs w:val="24"/>
        </w:rPr>
        <w:t>a</w:t>
      </w:r>
      <w:r w:rsidR="00D44DD1" w:rsidRPr="008C51C9">
        <w:rPr>
          <w:rFonts w:ascii="Times New Roman" w:hAnsi="Times New Roman" w:cs="Times New Roman"/>
          <w:sz w:val="24"/>
          <w:szCs w:val="24"/>
        </w:rPr>
        <w:t xml:space="preserve"> randomized, double-blind trial. </w:t>
      </w:r>
      <w:r w:rsidR="00D44DD1" w:rsidRPr="008C51C9">
        <w:rPr>
          <w:rFonts w:ascii="Times New Roman" w:hAnsi="Times New Roman" w:cs="Times New Roman"/>
          <w:i/>
          <w:iCs/>
          <w:sz w:val="24"/>
          <w:szCs w:val="24"/>
        </w:rPr>
        <w:t>J. Res. Med. Sci. Off. J. Isfahan Univ. Med. Sci.</w:t>
      </w:r>
      <w:r w:rsidR="00687BDE" w:rsidRPr="008C51C9">
        <w:rPr>
          <w:rFonts w:ascii="Times New Roman" w:hAnsi="Times New Roman" w:cs="Times New Roman"/>
          <w:sz w:val="24"/>
          <w:szCs w:val="24"/>
        </w:rPr>
        <w:t xml:space="preserve"> 2014; </w:t>
      </w:r>
      <w:r w:rsidR="00D44DD1" w:rsidRPr="008C51C9">
        <w:rPr>
          <w:rFonts w:ascii="Times New Roman" w:hAnsi="Times New Roman" w:cs="Times New Roman"/>
          <w:b/>
          <w:bCs/>
          <w:sz w:val="24"/>
          <w:szCs w:val="24"/>
        </w:rPr>
        <w:t>19</w:t>
      </w:r>
      <w:r w:rsidR="00687BDE" w:rsidRPr="008C51C9">
        <w:rPr>
          <w:rFonts w:ascii="Times New Roman" w:hAnsi="Times New Roman" w:cs="Times New Roman"/>
          <w:b/>
          <w:bCs/>
          <w:sz w:val="24"/>
          <w:szCs w:val="24"/>
        </w:rPr>
        <w:t xml:space="preserve">: </w:t>
      </w:r>
      <w:r w:rsidR="00D44DD1" w:rsidRPr="008C51C9">
        <w:rPr>
          <w:rFonts w:ascii="Times New Roman" w:hAnsi="Times New Roman" w:cs="Times New Roman"/>
          <w:sz w:val="24"/>
          <w:szCs w:val="24"/>
        </w:rPr>
        <w:t>326–330.</w:t>
      </w:r>
    </w:p>
    <w:p w14:paraId="2522FCD1" w14:textId="77777777" w:rsidR="005C3BF2" w:rsidRPr="005C3BF2" w:rsidRDefault="005C3BF2" w:rsidP="005C3BF2">
      <w:pPr>
        <w:spacing w:after="0" w:line="240" w:lineRule="auto"/>
        <w:rPr>
          <w:rFonts w:ascii="Times New Roman" w:hAnsi="Times New Roman" w:cs="Times New Roman"/>
          <w:sz w:val="24"/>
          <w:szCs w:val="24"/>
        </w:rPr>
      </w:pPr>
    </w:p>
    <w:sectPr w:rsidR="005C3BF2" w:rsidRPr="005C3BF2">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14D0D" w14:textId="77777777" w:rsidR="00E06DF0" w:rsidRDefault="00E06DF0" w:rsidP="00E35863">
      <w:pPr>
        <w:spacing w:after="0" w:line="240" w:lineRule="auto"/>
      </w:pPr>
      <w:r>
        <w:separator/>
      </w:r>
    </w:p>
  </w:endnote>
  <w:endnote w:type="continuationSeparator" w:id="0">
    <w:p w14:paraId="0ADE14FE" w14:textId="77777777" w:rsidR="00E06DF0" w:rsidRDefault="00E06DF0" w:rsidP="00E35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2623609"/>
      <w:docPartObj>
        <w:docPartGallery w:val="Page Numbers (Bottom of Page)"/>
        <w:docPartUnique/>
      </w:docPartObj>
    </w:sdtPr>
    <w:sdtEndPr>
      <w:rPr>
        <w:noProof/>
      </w:rPr>
    </w:sdtEndPr>
    <w:sdtContent>
      <w:p w14:paraId="0F3FE828" w14:textId="774B89CD" w:rsidR="00D04D65" w:rsidRDefault="00D04D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BD3701" w14:textId="77777777" w:rsidR="00D04D65" w:rsidRDefault="00D04D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ED98F" w14:textId="77777777" w:rsidR="00E06DF0" w:rsidRDefault="00E06DF0" w:rsidP="00E35863">
      <w:pPr>
        <w:spacing w:after="0" w:line="240" w:lineRule="auto"/>
      </w:pPr>
      <w:r>
        <w:separator/>
      </w:r>
    </w:p>
  </w:footnote>
  <w:footnote w:type="continuationSeparator" w:id="0">
    <w:p w14:paraId="51F9A9C8" w14:textId="77777777" w:rsidR="00E06DF0" w:rsidRDefault="00E06DF0" w:rsidP="00E35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B0006"/>
    <w:multiLevelType w:val="hybridMultilevel"/>
    <w:tmpl w:val="2EC22F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4013FD"/>
    <w:multiLevelType w:val="hybridMultilevel"/>
    <w:tmpl w:val="9BE07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804FD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1672BE1"/>
    <w:multiLevelType w:val="hybridMultilevel"/>
    <w:tmpl w:val="4774BE4A"/>
    <w:lvl w:ilvl="0" w:tplc="169A643A">
      <w:start w:val="1"/>
      <w:numFmt w:val="bullet"/>
      <w:lvlText w:val=""/>
      <w:lvlJc w:val="left"/>
      <w:pPr>
        <w:ind w:left="1021"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A566A9"/>
    <w:multiLevelType w:val="hybridMultilevel"/>
    <w:tmpl w:val="269212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wNTIwMzAzNDAztrRU0lEKTi0uzszPAykwMq4FABIcL5ctAAAA"/>
  </w:docVars>
  <w:rsids>
    <w:rsidRoot w:val="005C3BF2"/>
    <w:rsid w:val="00003EFB"/>
    <w:rsid w:val="00006B69"/>
    <w:rsid w:val="000127AD"/>
    <w:rsid w:val="00030205"/>
    <w:rsid w:val="0004252C"/>
    <w:rsid w:val="000507F3"/>
    <w:rsid w:val="00052553"/>
    <w:rsid w:val="000528BE"/>
    <w:rsid w:val="00057BBB"/>
    <w:rsid w:val="00066834"/>
    <w:rsid w:val="0007242D"/>
    <w:rsid w:val="000758AB"/>
    <w:rsid w:val="00077488"/>
    <w:rsid w:val="0008010B"/>
    <w:rsid w:val="000822CD"/>
    <w:rsid w:val="000A42B7"/>
    <w:rsid w:val="000A5DC4"/>
    <w:rsid w:val="000B22EE"/>
    <w:rsid w:val="000B42F5"/>
    <w:rsid w:val="000C04C4"/>
    <w:rsid w:val="000C3954"/>
    <w:rsid w:val="000D1B31"/>
    <w:rsid w:val="000D28DD"/>
    <w:rsid w:val="000D47C5"/>
    <w:rsid w:val="000D75DB"/>
    <w:rsid w:val="000D7DA1"/>
    <w:rsid w:val="000F11C1"/>
    <w:rsid w:val="000F4FEC"/>
    <w:rsid w:val="001028A2"/>
    <w:rsid w:val="001062E3"/>
    <w:rsid w:val="001322DF"/>
    <w:rsid w:val="00134291"/>
    <w:rsid w:val="001378DB"/>
    <w:rsid w:val="00140EC1"/>
    <w:rsid w:val="00142F0C"/>
    <w:rsid w:val="0015165D"/>
    <w:rsid w:val="00151A1C"/>
    <w:rsid w:val="00157C18"/>
    <w:rsid w:val="00162123"/>
    <w:rsid w:val="001631E1"/>
    <w:rsid w:val="00165429"/>
    <w:rsid w:val="00176129"/>
    <w:rsid w:val="0017731F"/>
    <w:rsid w:val="00182EDA"/>
    <w:rsid w:val="00191A99"/>
    <w:rsid w:val="001A0F09"/>
    <w:rsid w:val="001A2593"/>
    <w:rsid w:val="001A7991"/>
    <w:rsid w:val="001A7F39"/>
    <w:rsid w:val="001B0828"/>
    <w:rsid w:val="001B6345"/>
    <w:rsid w:val="001C5ABD"/>
    <w:rsid w:val="001C6AEC"/>
    <w:rsid w:val="001D1FBA"/>
    <w:rsid w:val="001E2727"/>
    <w:rsid w:val="001F0E37"/>
    <w:rsid w:val="001F52C5"/>
    <w:rsid w:val="00214C8D"/>
    <w:rsid w:val="00216B54"/>
    <w:rsid w:val="00222236"/>
    <w:rsid w:val="00230B9F"/>
    <w:rsid w:val="00236223"/>
    <w:rsid w:val="00241C08"/>
    <w:rsid w:val="002448B6"/>
    <w:rsid w:val="00262F06"/>
    <w:rsid w:val="00275974"/>
    <w:rsid w:val="00285B89"/>
    <w:rsid w:val="00286E61"/>
    <w:rsid w:val="0029199D"/>
    <w:rsid w:val="00296994"/>
    <w:rsid w:val="002A00DB"/>
    <w:rsid w:val="002A76B9"/>
    <w:rsid w:val="002B250B"/>
    <w:rsid w:val="002B2EB5"/>
    <w:rsid w:val="002B3565"/>
    <w:rsid w:val="002C1C7D"/>
    <w:rsid w:val="002D6E49"/>
    <w:rsid w:val="002D73F3"/>
    <w:rsid w:val="002D7E66"/>
    <w:rsid w:val="002F3415"/>
    <w:rsid w:val="00304226"/>
    <w:rsid w:val="00341750"/>
    <w:rsid w:val="00343A08"/>
    <w:rsid w:val="0034731D"/>
    <w:rsid w:val="003544B9"/>
    <w:rsid w:val="003545FB"/>
    <w:rsid w:val="0036138C"/>
    <w:rsid w:val="0036183E"/>
    <w:rsid w:val="0037384F"/>
    <w:rsid w:val="00380417"/>
    <w:rsid w:val="00381843"/>
    <w:rsid w:val="00382613"/>
    <w:rsid w:val="00393D67"/>
    <w:rsid w:val="00395D29"/>
    <w:rsid w:val="003A249E"/>
    <w:rsid w:val="003B7385"/>
    <w:rsid w:val="003C36AE"/>
    <w:rsid w:val="003C7798"/>
    <w:rsid w:val="003D6D50"/>
    <w:rsid w:val="003D73BA"/>
    <w:rsid w:val="003E1CEB"/>
    <w:rsid w:val="003E6382"/>
    <w:rsid w:val="003E7BCB"/>
    <w:rsid w:val="003F3381"/>
    <w:rsid w:val="00400E8A"/>
    <w:rsid w:val="004051BA"/>
    <w:rsid w:val="00414343"/>
    <w:rsid w:val="00416A2E"/>
    <w:rsid w:val="0042175B"/>
    <w:rsid w:val="00434581"/>
    <w:rsid w:val="004513E5"/>
    <w:rsid w:val="004549E7"/>
    <w:rsid w:val="00456EA8"/>
    <w:rsid w:val="00465811"/>
    <w:rsid w:val="004716D0"/>
    <w:rsid w:val="0049249B"/>
    <w:rsid w:val="00493DD3"/>
    <w:rsid w:val="004976DB"/>
    <w:rsid w:val="004A090A"/>
    <w:rsid w:val="004A1ED5"/>
    <w:rsid w:val="004A2E6E"/>
    <w:rsid w:val="004A70F0"/>
    <w:rsid w:val="004A74CC"/>
    <w:rsid w:val="004B27BC"/>
    <w:rsid w:val="004C4683"/>
    <w:rsid w:val="004C79E3"/>
    <w:rsid w:val="004D56B6"/>
    <w:rsid w:val="004E1BA1"/>
    <w:rsid w:val="004E3497"/>
    <w:rsid w:val="004E7D97"/>
    <w:rsid w:val="004F1784"/>
    <w:rsid w:val="004F4805"/>
    <w:rsid w:val="00505017"/>
    <w:rsid w:val="00507E1D"/>
    <w:rsid w:val="005160C7"/>
    <w:rsid w:val="00533B42"/>
    <w:rsid w:val="0053411B"/>
    <w:rsid w:val="00535E54"/>
    <w:rsid w:val="005405D8"/>
    <w:rsid w:val="00543C27"/>
    <w:rsid w:val="005469B7"/>
    <w:rsid w:val="0055712C"/>
    <w:rsid w:val="00560B82"/>
    <w:rsid w:val="00560BFA"/>
    <w:rsid w:val="0058011A"/>
    <w:rsid w:val="00587F91"/>
    <w:rsid w:val="005930E1"/>
    <w:rsid w:val="005A32F2"/>
    <w:rsid w:val="005A4A13"/>
    <w:rsid w:val="005A60F6"/>
    <w:rsid w:val="005B0486"/>
    <w:rsid w:val="005B2AC8"/>
    <w:rsid w:val="005B79CD"/>
    <w:rsid w:val="005C1491"/>
    <w:rsid w:val="005C3BF2"/>
    <w:rsid w:val="005C3CF6"/>
    <w:rsid w:val="005C5352"/>
    <w:rsid w:val="005C6F26"/>
    <w:rsid w:val="005D7D13"/>
    <w:rsid w:val="005E3346"/>
    <w:rsid w:val="005F7150"/>
    <w:rsid w:val="006048AA"/>
    <w:rsid w:val="00604B28"/>
    <w:rsid w:val="00616123"/>
    <w:rsid w:val="00633F54"/>
    <w:rsid w:val="00633FA1"/>
    <w:rsid w:val="00634CCE"/>
    <w:rsid w:val="00640B9F"/>
    <w:rsid w:val="00652BE0"/>
    <w:rsid w:val="0065449D"/>
    <w:rsid w:val="006574F2"/>
    <w:rsid w:val="00686995"/>
    <w:rsid w:val="00687BDE"/>
    <w:rsid w:val="006A5FC3"/>
    <w:rsid w:val="006B3305"/>
    <w:rsid w:val="006B3B44"/>
    <w:rsid w:val="006B5CFF"/>
    <w:rsid w:val="006C320B"/>
    <w:rsid w:val="006C5AA8"/>
    <w:rsid w:val="006E10CE"/>
    <w:rsid w:val="006E6943"/>
    <w:rsid w:val="00701E47"/>
    <w:rsid w:val="0070436A"/>
    <w:rsid w:val="00704545"/>
    <w:rsid w:val="0071040E"/>
    <w:rsid w:val="007114F1"/>
    <w:rsid w:val="007131BF"/>
    <w:rsid w:val="00714E23"/>
    <w:rsid w:val="00725528"/>
    <w:rsid w:val="00734DF6"/>
    <w:rsid w:val="007451BA"/>
    <w:rsid w:val="00746523"/>
    <w:rsid w:val="007501ED"/>
    <w:rsid w:val="00753C89"/>
    <w:rsid w:val="0075440B"/>
    <w:rsid w:val="007576C1"/>
    <w:rsid w:val="00762AFB"/>
    <w:rsid w:val="007768FB"/>
    <w:rsid w:val="00791D82"/>
    <w:rsid w:val="007C1659"/>
    <w:rsid w:val="007C330E"/>
    <w:rsid w:val="007D6DF6"/>
    <w:rsid w:val="007D7481"/>
    <w:rsid w:val="007E07CF"/>
    <w:rsid w:val="007E228B"/>
    <w:rsid w:val="007E7618"/>
    <w:rsid w:val="007F1FA2"/>
    <w:rsid w:val="007F4FCF"/>
    <w:rsid w:val="00801660"/>
    <w:rsid w:val="00805162"/>
    <w:rsid w:val="00813454"/>
    <w:rsid w:val="00830315"/>
    <w:rsid w:val="00830EB0"/>
    <w:rsid w:val="00834E1C"/>
    <w:rsid w:val="008357F7"/>
    <w:rsid w:val="00843113"/>
    <w:rsid w:val="008454ED"/>
    <w:rsid w:val="00852545"/>
    <w:rsid w:val="00863750"/>
    <w:rsid w:val="008659CA"/>
    <w:rsid w:val="00870185"/>
    <w:rsid w:val="00870191"/>
    <w:rsid w:val="0087061E"/>
    <w:rsid w:val="00873B79"/>
    <w:rsid w:val="00880413"/>
    <w:rsid w:val="00886C53"/>
    <w:rsid w:val="00887515"/>
    <w:rsid w:val="008952F3"/>
    <w:rsid w:val="008B15AD"/>
    <w:rsid w:val="008B5544"/>
    <w:rsid w:val="008B7D78"/>
    <w:rsid w:val="008C51C9"/>
    <w:rsid w:val="008E38CF"/>
    <w:rsid w:val="008F2B02"/>
    <w:rsid w:val="008F71E9"/>
    <w:rsid w:val="009051B8"/>
    <w:rsid w:val="009053C9"/>
    <w:rsid w:val="00915E6F"/>
    <w:rsid w:val="00920C4A"/>
    <w:rsid w:val="0092679A"/>
    <w:rsid w:val="009329A6"/>
    <w:rsid w:val="00935F4C"/>
    <w:rsid w:val="0094024C"/>
    <w:rsid w:val="0094533F"/>
    <w:rsid w:val="009471F1"/>
    <w:rsid w:val="009502F3"/>
    <w:rsid w:val="009551E4"/>
    <w:rsid w:val="0095735A"/>
    <w:rsid w:val="00960E8B"/>
    <w:rsid w:val="00975C0E"/>
    <w:rsid w:val="00981EA8"/>
    <w:rsid w:val="00987E85"/>
    <w:rsid w:val="00992B35"/>
    <w:rsid w:val="009A42C8"/>
    <w:rsid w:val="009B0BB9"/>
    <w:rsid w:val="009B622D"/>
    <w:rsid w:val="009B6BC8"/>
    <w:rsid w:val="009C24BF"/>
    <w:rsid w:val="009D141C"/>
    <w:rsid w:val="009D2E89"/>
    <w:rsid w:val="009D4199"/>
    <w:rsid w:val="009D63D8"/>
    <w:rsid w:val="00A008D7"/>
    <w:rsid w:val="00A023BB"/>
    <w:rsid w:val="00A213BD"/>
    <w:rsid w:val="00A238EE"/>
    <w:rsid w:val="00A23B75"/>
    <w:rsid w:val="00A2731D"/>
    <w:rsid w:val="00A31778"/>
    <w:rsid w:val="00A34012"/>
    <w:rsid w:val="00A41C13"/>
    <w:rsid w:val="00A477D4"/>
    <w:rsid w:val="00A673AB"/>
    <w:rsid w:val="00A67AB3"/>
    <w:rsid w:val="00A7366D"/>
    <w:rsid w:val="00A76E5A"/>
    <w:rsid w:val="00A81A9C"/>
    <w:rsid w:val="00A8228D"/>
    <w:rsid w:val="00A83313"/>
    <w:rsid w:val="00A83361"/>
    <w:rsid w:val="00A86CF6"/>
    <w:rsid w:val="00A9352D"/>
    <w:rsid w:val="00A96722"/>
    <w:rsid w:val="00AA1FF5"/>
    <w:rsid w:val="00AA792F"/>
    <w:rsid w:val="00AD2028"/>
    <w:rsid w:val="00AF21E7"/>
    <w:rsid w:val="00AF2443"/>
    <w:rsid w:val="00AF4EC2"/>
    <w:rsid w:val="00B05A2A"/>
    <w:rsid w:val="00B05D11"/>
    <w:rsid w:val="00B131E3"/>
    <w:rsid w:val="00B14605"/>
    <w:rsid w:val="00B216FD"/>
    <w:rsid w:val="00B400D8"/>
    <w:rsid w:val="00B526F6"/>
    <w:rsid w:val="00B60CCF"/>
    <w:rsid w:val="00B70210"/>
    <w:rsid w:val="00B72E75"/>
    <w:rsid w:val="00B7421A"/>
    <w:rsid w:val="00B7734C"/>
    <w:rsid w:val="00B81685"/>
    <w:rsid w:val="00B82AA5"/>
    <w:rsid w:val="00B908A8"/>
    <w:rsid w:val="00B912B1"/>
    <w:rsid w:val="00B95135"/>
    <w:rsid w:val="00B95928"/>
    <w:rsid w:val="00BA2237"/>
    <w:rsid w:val="00BA5E68"/>
    <w:rsid w:val="00BA76B0"/>
    <w:rsid w:val="00BB4FAC"/>
    <w:rsid w:val="00BC166F"/>
    <w:rsid w:val="00BC7F98"/>
    <w:rsid w:val="00BD2431"/>
    <w:rsid w:val="00BD5132"/>
    <w:rsid w:val="00BD68F6"/>
    <w:rsid w:val="00BF63BF"/>
    <w:rsid w:val="00C01D4E"/>
    <w:rsid w:val="00C135B0"/>
    <w:rsid w:val="00C13A62"/>
    <w:rsid w:val="00C13C9A"/>
    <w:rsid w:val="00C17C02"/>
    <w:rsid w:val="00C27150"/>
    <w:rsid w:val="00C33095"/>
    <w:rsid w:val="00C40B52"/>
    <w:rsid w:val="00C45531"/>
    <w:rsid w:val="00C46707"/>
    <w:rsid w:val="00C5280D"/>
    <w:rsid w:val="00C574F8"/>
    <w:rsid w:val="00C57B41"/>
    <w:rsid w:val="00C6032C"/>
    <w:rsid w:val="00C65601"/>
    <w:rsid w:val="00C747F9"/>
    <w:rsid w:val="00C96798"/>
    <w:rsid w:val="00C9710D"/>
    <w:rsid w:val="00C97169"/>
    <w:rsid w:val="00CA2E3B"/>
    <w:rsid w:val="00CB2324"/>
    <w:rsid w:val="00CB3065"/>
    <w:rsid w:val="00CB71C1"/>
    <w:rsid w:val="00CC113A"/>
    <w:rsid w:val="00CC3031"/>
    <w:rsid w:val="00CC4555"/>
    <w:rsid w:val="00CC6BD9"/>
    <w:rsid w:val="00CD49DA"/>
    <w:rsid w:val="00CD5860"/>
    <w:rsid w:val="00CE11F0"/>
    <w:rsid w:val="00CE278B"/>
    <w:rsid w:val="00CE54D1"/>
    <w:rsid w:val="00D04D65"/>
    <w:rsid w:val="00D07672"/>
    <w:rsid w:val="00D145E2"/>
    <w:rsid w:val="00D17EE5"/>
    <w:rsid w:val="00D226AF"/>
    <w:rsid w:val="00D22810"/>
    <w:rsid w:val="00D23262"/>
    <w:rsid w:val="00D24B26"/>
    <w:rsid w:val="00D354A4"/>
    <w:rsid w:val="00D35D89"/>
    <w:rsid w:val="00D42003"/>
    <w:rsid w:val="00D44DD1"/>
    <w:rsid w:val="00D4693F"/>
    <w:rsid w:val="00D54A2E"/>
    <w:rsid w:val="00D56C15"/>
    <w:rsid w:val="00D65FCB"/>
    <w:rsid w:val="00D7479B"/>
    <w:rsid w:val="00D82CC8"/>
    <w:rsid w:val="00D96F85"/>
    <w:rsid w:val="00DA0B55"/>
    <w:rsid w:val="00DA2FAD"/>
    <w:rsid w:val="00DA336E"/>
    <w:rsid w:val="00DA41DC"/>
    <w:rsid w:val="00DA535E"/>
    <w:rsid w:val="00DB0E26"/>
    <w:rsid w:val="00DB2577"/>
    <w:rsid w:val="00DB2A5A"/>
    <w:rsid w:val="00DB49FC"/>
    <w:rsid w:val="00DB5128"/>
    <w:rsid w:val="00DB79EE"/>
    <w:rsid w:val="00DD14D8"/>
    <w:rsid w:val="00DE1E59"/>
    <w:rsid w:val="00DE26DD"/>
    <w:rsid w:val="00DE2C76"/>
    <w:rsid w:val="00DF1BC9"/>
    <w:rsid w:val="00DF573A"/>
    <w:rsid w:val="00E067D7"/>
    <w:rsid w:val="00E06DF0"/>
    <w:rsid w:val="00E14DA7"/>
    <w:rsid w:val="00E20141"/>
    <w:rsid w:val="00E26848"/>
    <w:rsid w:val="00E35863"/>
    <w:rsid w:val="00E36778"/>
    <w:rsid w:val="00E45B54"/>
    <w:rsid w:val="00E52EFE"/>
    <w:rsid w:val="00E574CE"/>
    <w:rsid w:val="00E75150"/>
    <w:rsid w:val="00E779C7"/>
    <w:rsid w:val="00E818A6"/>
    <w:rsid w:val="00E879A5"/>
    <w:rsid w:val="00EB1B84"/>
    <w:rsid w:val="00EB665D"/>
    <w:rsid w:val="00EB6AEC"/>
    <w:rsid w:val="00ED2A22"/>
    <w:rsid w:val="00ED2B9B"/>
    <w:rsid w:val="00EE3020"/>
    <w:rsid w:val="00EF2415"/>
    <w:rsid w:val="00EF2A81"/>
    <w:rsid w:val="00F02FB1"/>
    <w:rsid w:val="00F03729"/>
    <w:rsid w:val="00F10032"/>
    <w:rsid w:val="00F21C2F"/>
    <w:rsid w:val="00F362D3"/>
    <w:rsid w:val="00F366BC"/>
    <w:rsid w:val="00F46B6C"/>
    <w:rsid w:val="00F56279"/>
    <w:rsid w:val="00F619F6"/>
    <w:rsid w:val="00F652DE"/>
    <w:rsid w:val="00F663D9"/>
    <w:rsid w:val="00F67D66"/>
    <w:rsid w:val="00F83CE8"/>
    <w:rsid w:val="00F958C5"/>
    <w:rsid w:val="00F97BD7"/>
    <w:rsid w:val="00FC185A"/>
    <w:rsid w:val="00FC296F"/>
    <w:rsid w:val="00FC4339"/>
    <w:rsid w:val="00FD2913"/>
    <w:rsid w:val="00FE0AA2"/>
    <w:rsid w:val="00FF2AAA"/>
    <w:rsid w:val="00FF2EB0"/>
    <w:rsid w:val="00FF3F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677EE"/>
  <w15:chartTrackingRefBased/>
  <w15:docId w15:val="{D4253C7F-EC27-4214-87B0-61F71784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2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5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63"/>
  </w:style>
  <w:style w:type="paragraph" w:styleId="Footer">
    <w:name w:val="footer"/>
    <w:basedOn w:val="Normal"/>
    <w:link w:val="FooterChar"/>
    <w:uiPriority w:val="99"/>
    <w:unhideWhenUsed/>
    <w:rsid w:val="00E35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63"/>
  </w:style>
  <w:style w:type="paragraph" w:styleId="BalloonText">
    <w:name w:val="Balloon Text"/>
    <w:basedOn w:val="Normal"/>
    <w:link w:val="BalloonTextChar"/>
    <w:uiPriority w:val="99"/>
    <w:semiHidden/>
    <w:unhideWhenUsed/>
    <w:rsid w:val="00241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C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50193">
      <w:bodyDiv w:val="1"/>
      <w:marLeft w:val="0"/>
      <w:marRight w:val="0"/>
      <w:marTop w:val="0"/>
      <w:marBottom w:val="0"/>
      <w:divBdr>
        <w:top w:val="none" w:sz="0" w:space="0" w:color="auto"/>
        <w:left w:val="none" w:sz="0" w:space="0" w:color="auto"/>
        <w:bottom w:val="none" w:sz="0" w:space="0" w:color="auto"/>
        <w:right w:val="none" w:sz="0" w:space="0" w:color="auto"/>
      </w:divBdr>
    </w:div>
    <w:div w:id="313264443">
      <w:bodyDiv w:val="1"/>
      <w:marLeft w:val="0"/>
      <w:marRight w:val="0"/>
      <w:marTop w:val="0"/>
      <w:marBottom w:val="0"/>
      <w:divBdr>
        <w:top w:val="none" w:sz="0" w:space="0" w:color="auto"/>
        <w:left w:val="none" w:sz="0" w:space="0" w:color="auto"/>
        <w:bottom w:val="none" w:sz="0" w:space="0" w:color="auto"/>
        <w:right w:val="none" w:sz="0" w:space="0" w:color="auto"/>
      </w:divBdr>
    </w:div>
    <w:div w:id="619996856">
      <w:bodyDiv w:val="1"/>
      <w:marLeft w:val="0"/>
      <w:marRight w:val="0"/>
      <w:marTop w:val="0"/>
      <w:marBottom w:val="0"/>
      <w:divBdr>
        <w:top w:val="none" w:sz="0" w:space="0" w:color="auto"/>
        <w:left w:val="none" w:sz="0" w:space="0" w:color="auto"/>
        <w:bottom w:val="none" w:sz="0" w:space="0" w:color="auto"/>
        <w:right w:val="none" w:sz="0" w:space="0" w:color="auto"/>
      </w:divBdr>
    </w:div>
    <w:div w:id="1599606861">
      <w:bodyDiv w:val="1"/>
      <w:marLeft w:val="0"/>
      <w:marRight w:val="0"/>
      <w:marTop w:val="0"/>
      <w:marBottom w:val="0"/>
      <w:divBdr>
        <w:top w:val="none" w:sz="0" w:space="0" w:color="auto"/>
        <w:left w:val="none" w:sz="0" w:space="0" w:color="auto"/>
        <w:bottom w:val="none" w:sz="0" w:space="0" w:color="auto"/>
        <w:right w:val="none" w:sz="0" w:space="0" w:color="auto"/>
      </w:divBdr>
    </w:div>
    <w:div w:id="1608926426">
      <w:bodyDiv w:val="1"/>
      <w:marLeft w:val="0"/>
      <w:marRight w:val="0"/>
      <w:marTop w:val="0"/>
      <w:marBottom w:val="0"/>
      <w:divBdr>
        <w:top w:val="none" w:sz="0" w:space="0" w:color="auto"/>
        <w:left w:val="none" w:sz="0" w:space="0" w:color="auto"/>
        <w:bottom w:val="none" w:sz="0" w:space="0" w:color="auto"/>
        <w:right w:val="none" w:sz="0" w:space="0" w:color="auto"/>
      </w:divBdr>
    </w:div>
    <w:div w:id="1650281077">
      <w:bodyDiv w:val="1"/>
      <w:marLeft w:val="0"/>
      <w:marRight w:val="0"/>
      <w:marTop w:val="0"/>
      <w:marBottom w:val="0"/>
      <w:divBdr>
        <w:top w:val="none" w:sz="0" w:space="0" w:color="auto"/>
        <w:left w:val="none" w:sz="0" w:space="0" w:color="auto"/>
        <w:bottom w:val="none" w:sz="0" w:space="0" w:color="auto"/>
        <w:right w:val="none" w:sz="0" w:space="0" w:color="auto"/>
      </w:divBdr>
    </w:div>
    <w:div w:id="1751849503">
      <w:bodyDiv w:val="1"/>
      <w:marLeft w:val="0"/>
      <w:marRight w:val="0"/>
      <w:marTop w:val="0"/>
      <w:marBottom w:val="0"/>
      <w:divBdr>
        <w:top w:val="none" w:sz="0" w:space="0" w:color="auto"/>
        <w:left w:val="none" w:sz="0" w:space="0" w:color="auto"/>
        <w:bottom w:val="none" w:sz="0" w:space="0" w:color="auto"/>
        <w:right w:val="none" w:sz="0" w:space="0" w:color="auto"/>
      </w:divBdr>
    </w:div>
    <w:div w:id="1944219149">
      <w:bodyDiv w:val="1"/>
      <w:marLeft w:val="0"/>
      <w:marRight w:val="0"/>
      <w:marTop w:val="0"/>
      <w:marBottom w:val="0"/>
      <w:divBdr>
        <w:top w:val="none" w:sz="0" w:space="0" w:color="auto"/>
        <w:left w:val="none" w:sz="0" w:space="0" w:color="auto"/>
        <w:bottom w:val="none" w:sz="0" w:space="0" w:color="auto"/>
        <w:right w:val="none" w:sz="0" w:space="0" w:color="auto"/>
      </w:divBdr>
    </w:div>
    <w:div w:id="210025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ykhalchenko%20K%5BAuthor%5D&amp;cauthor=true&amp;cauthor_uid=28602111" TargetMode="External"/><Relationship Id="rId13" Type="http://schemas.openxmlformats.org/officeDocument/2006/relationships/hyperlink" Target="https://www.ncbi.nlm.nih.gov/pubmed/?term=Moran%20S%5BAuthor%5D&amp;cauthor=true&amp;cauthor_uid=20110726" TargetMode="External"/><Relationship Id="rId18" Type="http://schemas.openxmlformats.org/officeDocument/2006/relationships/hyperlink" Target="https://www.ncbi.nlm.nih.gov/pubmed/?term=Bentzen%20JG%5BAuthor%5D&amp;cauthor=true&amp;cauthor_uid=24435776" TargetMode="External"/><Relationship Id="rId26" Type="http://schemas.openxmlformats.org/officeDocument/2006/relationships/hyperlink" Target="https://www.sciencedirect.com/science/article/pii/S2221169115001033"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cbi.nlm.nih.gov/pubmed/?term=Wang%20JG%5BAuthor%5D&amp;cauthor=true&amp;cauthor_uid=17296187" TargetMode="External"/><Relationship Id="rId34" Type="http://schemas.openxmlformats.org/officeDocument/2006/relationships/hyperlink" Target="https://www.ncbi.nlm.nih.gov/pubmed/?term=Mehran%20N%5BAuthor%5D&amp;cauthor=true&amp;cauthor_uid=25097605" TargetMode="External"/><Relationship Id="rId7" Type="http://schemas.openxmlformats.org/officeDocument/2006/relationships/image" Target="media/image1.emf"/><Relationship Id="rId12" Type="http://schemas.openxmlformats.org/officeDocument/2006/relationships/hyperlink" Target="https://www.ncbi.nlm.nih.gov/pubmed/?term=Tena%20G%5BAuthor%5D&amp;cauthor=true&amp;cauthor_uid=20110726" TargetMode="External"/><Relationship Id="rId17" Type="http://schemas.openxmlformats.org/officeDocument/2006/relationships/hyperlink" Target="https://www.ncbi.nlm.nih.gov/pubmed/?term=Lauritsen%20MP%5BAuthor%5D&amp;cauthor=true&amp;cauthor_uid=24435776" TargetMode="External"/><Relationship Id="rId25" Type="http://schemas.openxmlformats.org/officeDocument/2006/relationships/hyperlink" Target="https://www.sciencedirect.com/science/article/pii/S2221169115001033" TargetMode="External"/><Relationship Id="rId33" Type="http://schemas.openxmlformats.org/officeDocument/2006/relationships/hyperlink" Target="https://www.ncbi.nlm.nih.gov/pubmed/?term=Heidarifar%20R%5BAuthor%5D&amp;cauthor=true&amp;cauthor_uid=25097605"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cbi.nlm.nih.gov/pubmed/?term=Duque%20X%5BAuthor%5D&amp;cauthor=true&amp;cauthor_uid=20110726" TargetMode="External"/><Relationship Id="rId20" Type="http://schemas.openxmlformats.org/officeDocument/2006/relationships/hyperlink" Target="https://www.ncbi.nlm.nih.gov/pubmed/?term=Loft%20A%5BAuthor%5D&amp;cauthor=true&amp;cauthor_uid=24435776" TargetMode="External"/><Relationship Id="rId29" Type="http://schemas.openxmlformats.org/officeDocument/2006/relationships/hyperlink" Target="https://www.ncbi.nlm.nih.gov/pubmed/?term=K%C3%BCpeli%20Akkol%20E%5BAuthor%5D&amp;cauthor=true&amp;cauthor_uid=2581869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Moran%20C%5BAuthor%5D&amp;cauthor=true&amp;cauthor_uid=20110726" TargetMode="External"/><Relationship Id="rId24" Type="http://schemas.openxmlformats.org/officeDocument/2006/relationships/hyperlink" Target="https://www.ncbi.nlm.nih.gov/pubmed/?term=Chu%20MC%5BAuthor%5D&amp;cauthor=true&amp;cauthor_uid=17296187" TargetMode="External"/><Relationship Id="rId32" Type="http://schemas.openxmlformats.org/officeDocument/2006/relationships/hyperlink" Target="https://www.ncbi.nlm.nih.gov/pubmed/?term=Kele%C5%9F%20H%5BAuthor%5D&amp;cauthor=true&amp;cauthor_uid=25818694"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ncbi.nlm.nih.gov/pubmed/?term=Reyna%20R%5BAuthor%5D&amp;cauthor=true&amp;cauthor_uid=20110726" TargetMode="External"/><Relationship Id="rId23" Type="http://schemas.openxmlformats.org/officeDocument/2006/relationships/hyperlink" Target="https://www.ncbi.nlm.nih.gov/pubmed/?term=Graham%20GM%203rd%5BAuthor%5D&amp;cauthor=true&amp;cauthor_uid=17296187" TargetMode="External"/><Relationship Id="rId28" Type="http://schemas.openxmlformats.org/officeDocument/2006/relationships/hyperlink" Target="https://www.sciencedirect.com/science/article/pii/S2221169115001033" TargetMode="External"/><Relationship Id="rId36" Type="http://schemas.openxmlformats.org/officeDocument/2006/relationships/hyperlink" Target="https://www.ncbi.nlm.nih.gov/pubmed/?term=Tehran%20HA%5BAuthor%5D&amp;cauthor=true&amp;cauthor_uid=25097605" TargetMode="External"/><Relationship Id="rId10" Type="http://schemas.openxmlformats.org/officeDocument/2006/relationships/hyperlink" Target="https://www.ncbi.nlm.nih.gov/pubmed/?term=Trofimova%20T%5BAuthor%5D&amp;cauthor=true&amp;cauthor_uid=28602111" TargetMode="External"/><Relationship Id="rId19" Type="http://schemas.openxmlformats.org/officeDocument/2006/relationships/hyperlink" Target="https://www.ncbi.nlm.nih.gov/pubmed/?term=Pinborg%20A%5BAuthor%5D&amp;cauthor=true&amp;cauthor_uid=24435776" TargetMode="External"/><Relationship Id="rId31" Type="http://schemas.openxmlformats.org/officeDocument/2006/relationships/hyperlink" Target="https://www.ncbi.nlm.nih.gov/pubmed/?term=Ay%C5%9Fe%20Demirel%20M%5BAuthor%5D&amp;cauthor=true&amp;cauthor_uid=25818694" TargetMode="External"/><Relationship Id="rId4" Type="http://schemas.openxmlformats.org/officeDocument/2006/relationships/webSettings" Target="webSettings.xml"/><Relationship Id="rId9" Type="http://schemas.openxmlformats.org/officeDocument/2006/relationships/hyperlink" Target="https://www.ncbi.nlm.nih.gov/pubmed/?term=Lizneva%20D%5BAuthor%5D&amp;cauthor=true&amp;cauthor_uid=28602111" TargetMode="External"/><Relationship Id="rId14" Type="http://schemas.openxmlformats.org/officeDocument/2006/relationships/hyperlink" Target="https://www.ncbi.nlm.nih.gov/pubmed/?term=Ruiz%20P%5BAuthor%5D&amp;cauthor=true&amp;cauthor_uid=20110726" TargetMode="External"/><Relationship Id="rId22" Type="http://schemas.openxmlformats.org/officeDocument/2006/relationships/hyperlink" Target="https://www.ncbi.nlm.nih.gov/pubmed/?term=Anderson%20RA%5BAuthor%5D&amp;cauthor=true&amp;cauthor_uid=17296187" TargetMode="External"/><Relationship Id="rId27" Type="http://schemas.openxmlformats.org/officeDocument/2006/relationships/hyperlink" Target="https://www.sciencedirect.com/science/article/pii/S2221169115001033" TargetMode="External"/><Relationship Id="rId30" Type="http://schemas.openxmlformats.org/officeDocument/2006/relationships/hyperlink" Target="https://www.ncbi.nlm.nih.gov/pubmed/?term=%C4%B0lhan%20M%5BAuthor%5D&amp;cauthor=true&amp;cauthor_uid=25818694" TargetMode="External"/><Relationship Id="rId35" Type="http://schemas.openxmlformats.org/officeDocument/2006/relationships/hyperlink" Target="https://www.ncbi.nlm.nih.gov/pubmed/?term=Heidari%20A%5BAuthor%5D&amp;cauthor=true&amp;cauthor_uid=250976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2559</TotalTime>
  <Pages>13</Pages>
  <Words>34240</Words>
  <Characters>195169</Characters>
  <Application>Microsoft Office Word</Application>
  <DocSecurity>0</DocSecurity>
  <Lines>1626</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Prof.Anita Goyal</dc:creator>
  <cp:keywords/>
  <dc:description/>
  <cp:lastModifiedBy>Dell</cp:lastModifiedBy>
  <cp:revision>322</cp:revision>
  <dcterms:created xsi:type="dcterms:W3CDTF">2019-09-04T06:27:00Z</dcterms:created>
  <dcterms:modified xsi:type="dcterms:W3CDTF">2020-05-22T06:17:00Z</dcterms:modified>
</cp:coreProperties>
</file>