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AC059" w14:textId="12BB08D2" w:rsidR="005C3BF2" w:rsidRPr="008C51C9" w:rsidRDefault="00134291" w:rsidP="005C3BF2">
      <w:pPr>
        <w:spacing w:after="0" w:line="240" w:lineRule="auto"/>
        <w:rPr>
          <w:rFonts w:ascii="Times New Roman" w:hAnsi="Times New Roman" w:cs="Times New Roman"/>
          <w:sz w:val="24"/>
          <w:szCs w:val="24"/>
        </w:rPr>
      </w:pPr>
      <w:r>
        <w:rPr>
          <w:rFonts w:ascii="Times New Roman" w:eastAsia="Arial Unicode MS" w:hAnsi="Times New Roman" w:cs="Times New Roman"/>
          <w:b/>
          <w:bCs/>
          <w:color w:val="000000"/>
          <w:sz w:val="24"/>
          <w:szCs w:val="24"/>
          <w:u w:color="000000"/>
          <w:bdr w:val="nil"/>
        </w:rPr>
        <w:t xml:space="preserve">Efficacy </w:t>
      </w:r>
      <w:r w:rsidR="004F1784" w:rsidRPr="008C51C9">
        <w:rPr>
          <w:rFonts w:ascii="Times New Roman" w:eastAsia="Arial Unicode MS" w:hAnsi="Times New Roman" w:cs="Times New Roman"/>
          <w:b/>
          <w:bCs/>
          <w:color w:val="000000"/>
          <w:sz w:val="24"/>
          <w:szCs w:val="24"/>
          <w:u w:color="000000"/>
          <w:bdr w:val="nil"/>
        </w:rPr>
        <w:t xml:space="preserve">of </w:t>
      </w:r>
      <w:r w:rsidR="00813454" w:rsidRPr="008C51C9">
        <w:rPr>
          <w:rFonts w:ascii="Times New Roman" w:eastAsia="Arial Unicode MS" w:hAnsi="Times New Roman" w:cs="Times New Roman"/>
          <w:b/>
          <w:bCs/>
          <w:color w:val="000000"/>
          <w:sz w:val="24"/>
          <w:szCs w:val="24"/>
          <w:u w:color="000000"/>
          <w:bdr w:val="nil"/>
        </w:rPr>
        <w:t xml:space="preserve">topical application of </w:t>
      </w:r>
      <w:r w:rsidR="004F1784" w:rsidRPr="008C51C9">
        <w:rPr>
          <w:rFonts w:ascii="Times New Roman" w:eastAsia="Arial Unicode MS" w:hAnsi="Times New Roman" w:cs="Times New Roman"/>
          <w:b/>
          <w:bCs/>
          <w:color w:val="000000"/>
          <w:sz w:val="24"/>
          <w:szCs w:val="24"/>
          <w:u w:color="000000"/>
          <w:bdr w:val="nil"/>
        </w:rPr>
        <w:t>plant extract based natural oils in management</w:t>
      </w:r>
      <w:r w:rsidR="00813454" w:rsidRPr="008C51C9">
        <w:rPr>
          <w:rFonts w:ascii="Times New Roman" w:eastAsia="Arial Unicode MS" w:hAnsi="Times New Roman" w:cs="Times New Roman"/>
          <w:b/>
          <w:bCs/>
          <w:color w:val="000000"/>
          <w:sz w:val="24"/>
          <w:szCs w:val="24"/>
          <w:u w:color="000000"/>
          <w:bdr w:val="nil"/>
        </w:rPr>
        <w:t xml:space="preserve"> </w:t>
      </w:r>
      <w:r w:rsidR="004F1784" w:rsidRPr="008C51C9">
        <w:rPr>
          <w:rFonts w:ascii="Times New Roman" w:eastAsia="Arial Unicode MS" w:hAnsi="Times New Roman" w:cs="Times New Roman"/>
          <w:b/>
          <w:bCs/>
          <w:color w:val="000000"/>
          <w:sz w:val="24"/>
          <w:szCs w:val="24"/>
          <w:u w:color="000000"/>
          <w:bdr w:val="nil"/>
        </w:rPr>
        <w:t xml:space="preserve">of </w:t>
      </w:r>
      <w:r w:rsidR="00813454" w:rsidRPr="008C51C9">
        <w:rPr>
          <w:rFonts w:ascii="Times New Roman" w:eastAsia="Arial Unicode MS" w:hAnsi="Times New Roman" w:cs="Times New Roman"/>
          <w:b/>
          <w:bCs/>
          <w:color w:val="000000"/>
          <w:sz w:val="24"/>
          <w:szCs w:val="24"/>
          <w:u w:color="000000"/>
          <w:bdr w:val="nil"/>
        </w:rPr>
        <w:t>p</w:t>
      </w:r>
      <w:r w:rsidR="004F1784" w:rsidRPr="008C51C9">
        <w:rPr>
          <w:rFonts w:ascii="Times New Roman" w:eastAsia="Arial Unicode MS" w:hAnsi="Times New Roman" w:cs="Times New Roman"/>
          <w:b/>
          <w:bCs/>
          <w:color w:val="000000"/>
          <w:sz w:val="24"/>
          <w:szCs w:val="24"/>
          <w:u w:color="000000"/>
          <w:bdr w:val="nil"/>
        </w:rPr>
        <w:t>oly</w:t>
      </w:r>
      <w:r w:rsidR="00813454" w:rsidRPr="008C51C9">
        <w:rPr>
          <w:rFonts w:ascii="Times New Roman" w:eastAsia="Arial Unicode MS" w:hAnsi="Times New Roman" w:cs="Times New Roman"/>
          <w:b/>
          <w:bCs/>
          <w:color w:val="000000"/>
          <w:sz w:val="24"/>
          <w:szCs w:val="24"/>
          <w:u w:color="000000"/>
          <w:bdr w:val="nil"/>
        </w:rPr>
        <w:t>c</w:t>
      </w:r>
      <w:r w:rsidR="004F1784" w:rsidRPr="008C51C9">
        <w:rPr>
          <w:rFonts w:ascii="Times New Roman" w:eastAsia="Arial Unicode MS" w:hAnsi="Times New Roman" w:cs="Times New Roman"/>
          <w:b/>
          <w:bCs/>
          <w:color w:val="000000"/>
          <w:sz w:val="24"/>
          <w:szCs w:val="24"/>
          <w:u w:color="000000"/>
          <w:bdr w:val="nil"/>
        </w:rPr>
        <w:t xml:space="preserve">ystic </w:t>
      </w:r>
      <w:r w:rsidR="00813454" w:rsidRPr="008C51C9">
        <w:rPr>
          <w:rFonts w:ascii="Times New Roman" w:eastAsia="Arial Unicode MS" w:hAnsi="Times New Roman" w:cs="Times New Roman"/>
          <w:b/>
          <w:bCs/>
          <w:color w:val="000000"/>
          <w:sz w:val="24"/>
          <w:szCs w:val="24"/>
          <w:u w:color="000000"/>
          <w:bdr w:val="nil"/>
        </w:rPr>
        <w:t>o</w:t>
      </w:r>
      <w:r w:rsidR="004F1784" w:rsidRPr="008C51C9">
        <w:rPr>
          <w:rFonts w:ascii="Times New Roman" w:eastAsia="Arial Unicode MS" w:hAnsi="Times New Roman" w:cs="Times New Roman"/>
          <w:b/>
          <w:bCs/>
          <w:color w:val="000000"/>
          <w:sz w:val="24"/>
          <w:szCs w:val="24"/>
          <w:u w:color="000000"/>
          <w:bdr w:val="nil"/>
        </w:rPr>
        <w:t xml:space="preserve">varian </w:t>
      </w:r>
      <w:r w:rsidR="00813454" w:rsidRPr="008C51C9">
        <w:rPr>
          <w:rFonts w:ascii="Times New Roman" w:eastAsia="Arial Unicode MS" w:hAnsi="Times New Roman" w:cs="Times New Roman"/>
          <w:b/>
          <w:bCs/>
          <w:color w:val="000000"/>
          <w:sz w:val="24"/>
          <w:szCs w:val="24"/>
          <w:u w:color="000000"/>
          <w:bdr w:val="nil"/>
        </w:rPr>
        <w:t>s</w:t>
      </w:r>
      <w:r w:rsidR="004F1784" w:rsidRPr="008C51C9">
        <w:rPr>
          <w:rFonts w:ascii="Times New Roman" w:eastAsia="Arial Unicode MS" w:hAnsi="Times New Roman" w:cs="Times New Roman"/>
          <w:b/>
          <w:bCs/>
          <w:color w:val="000000"/>
          <w:sz w:val="24"/>
          <w:szCs w:val="24"/>
          <w:u w:color="000000"/>
          <w:bdr w:val="nil"/>
        </w:rPr>
        <w:t>yndrome</w:t>
      </w:r>
      <w:r w:rsidR="00813454" w:rsidRPr="008C51C9">
        <w:rPr>
          <w:rFonts w:ascii="Times New Roman" w:eastAsia="Arial Unicode MS" w:hAnsi="Times New Roman" w:cs="Times New Roman"/>
          <w:b/>
          <w:bCs/>
          <w:color w:val="000000"/>
          <w:sz w:val="24"/>
          <w:szCs w:val="24"/>
          <w:u w:color="000000"/>
          <w:bdr w:val="nil"/>
        </w:rPr>
        <w:t>: a two-arm parallel group randomi</w:t>
      </w:r>
      <w:r w:rsidR="0065449D" w:rsidRPr="008C51C9">
        <w:rPr>
          <w:rFonts w:ascii="Times New Roman" w:eastAsia="Arial Unicode MS" w:hAnsi="Times New Roman" w:cs="Times New Roman"/>
          <w:b/>
          <w:bCs/>
          <w:color w:val="000000"/>
          <w:sz w:val="24"/>
          <w:szCs w:val="24"/>
          <w:u w:color="000000"/>
          <w:bdr w:val="nil"/>
        </w:rPr>
        <w:t>s</w:t>
      </w:r>
      <w:r w:rsidR="00813454" w:rsidRPr="008C51C9">
        <w:rPr>
          <w:rFonts w:ascii="Times New Roman" w:eastAsia="Arial Unicode MS" w:hAnsi="Times New Roman" w:cs="Times New Roman"/>
          <w:b/>
          <w:bCs/>
          <w:color w:val="000000"/>
          <w:sz w:val="24"/>
          <w:szCs w:val="24"/>
          <w:u w:color="000000"/>
          <w:bdr w:val="nil"/>
        </w:rPr>
        <w:t>ed double</w:t>
      </w:r>
      <w:r w:rsidR="00C46707" w:rsidRPr="008C51C9">
        <w:rPr>
          <w:rFonts w:ascii="Times New Roman" w:eastAsia="Arial Unicode MS" w:hAnsi="Times New Roman" w:cs="Times New Roman"/>
          <w:b/>
          <w:bCs/>
          <w:color w:val="000000"/>
          <w:sz w:val="24"/>
          <w:szCs w:val="24"/>
          <w:u w:color="000000"/>
          <w:bdr w:val="nil"/>
        </w:rPr>
        <w:t>-</w:t>
      </w:r>
      <w:r w:rsidR="00813454" w:rsidRPr="008C51C9">
        <w:rPr>
          <w:rFonts w:ascii="Times New Roman" w:eastAsia="Arial Unicode MS" w:hAnsi="Times New Roman" w:cs="Times New Roman"/>
          <w:b/>
          <w:bCs/>
          <w:color w:val="000000"/>
          <w:sz w:val="24"/>
          <w:szCs w:val="24"/>
          <w:u w:color="000000"/>
          <w:bdr w:val="nil"/>
        </w:rPr>
        <w:t>blind placebo</w:t>
      </w:r>
      <w:r w:rsidR="00C46707" w:rsidRPr="008C51C9">
        <w:rPr>
          <w:rFonts w:ascii="Times New Roman" w:eastAsia="Arial Unicode MS" w:hAnsi="Times New Roman" w:cs="Times New Roman"/>
          <w:b/>
          <w:bCs/>
          <w:color w:val="000000"/>
          <w:sz w:val="24"/>
          <w:szCs w:val="24"/>
          <w:u w:color="000000"/>
          <w:bdr w:val="nil"/>
        </w:rPr>
        <w:t>-</w:t>
      </w:r>
      <w:r w:rsidR="00813454" w:rsidRPr="008C51C9">
        <w:rPr>
          <w:rFonts w:ascii="Times New Roman" w:eastAsia="Arial Unicode MS" w:hAnsi="Times New Roman" w:cs="Times New Roman"/>
          <w:b/>
          <w:bCs/>
          <w:color w:val="000000"/>
          <w:sz w:val="24"/>
          <w:szCs w:val="24"/>
          <w:u w:color="000000"/>
          <w:bdr w:val="nil"/>
        </w:rPr>
        <w:t>controlled clinical study</w:t>
      </w:r>
    </w:p>
    <w:p w14:paraId="34D220A7" w14:textId="77777777" w:rsidR="00DE26DD" w:rsidRDefault="00DE26DD" w:rsidP="005C3BF2">
      <w:pPr>
        <w:spacing w:after="0" w:line="240" w:lineRule="auto"/>
        <w:rPr>
          <w:rFonts w:ascii="Times New Roman" w:hAnsi="Times New Roman" w:cs="Times New Roman"/>
          <w:sz w:val="28"/>
          <w:szCs w:val="28"/>
        </w:rPr>
      </w:pPr>
    </w:p>
    <w:p w14:paraId="7C3B6621" w14:textId="26217850" w:rsidR="00FD2913" w:rsidRPr="008F2B02" w:rsidRDefault="008F2B02" w:rsidP="005C3BF2">
      <w:pPr>
        <w:spacing w:after="0" w:line="240" w:lineRule="auto"/>
        <w:rPr>
          <w:rFonts w:ascii="Times New Roman" w:hAnsi="Times New Roman" w:cs="Times New Roman"/>
          <w:sz w:val="24"/>
          <w:szCs w:val="24"/>
        </w:rPr>
      </w:pPr>
      <w:r w:rsidRPr="008F2B02">
        <w:rPr>
          <w:rFonts w:ascii="Times New Roman" w:hAnsi="Times New Roman" w:cs="Times New Roman"/>
          <w:sz w:val="24"/>
          <w:szCs w:val="24"/>
        </w:rPr>
        <w:t xml:space="preserve">Amul S </w:t>
      </w:r>
      <w:proofErr w:type="spellStart"/>
      <w:r w:rsidRPr="008F2B02">
        <w:rPr>
          <w:rFonts w:ascii="Times New Roman" w:hAnsi="Times New Roman" w:cs="Times New Roman"/>
          <w:sz w:val="24"/>
          <w:szCs w:val="24"/>
        </w:rPr>
        <w:t>Bahl</w:t>
      </w:r>
      <w:proofErr w:type="spellEnd"/>
      <w:r w:rsidRPr="008F2B02">
        <w:rPr>
          <w:rFonts w:ascii="Times New Roman" w:hAnsi="Times New Roman" w:cs="Times New Roman"/>
          <w:sz w:val="24"/>
          <w:szCs w:val="24"/>
        </w:rPr>
        <w:t>, God’s Own Store LLP</w:t>
      </w:r>
    </w:p>
    <w:p w14:paraId="6D116D1A" w14:textId="276BDF04" w:rsidR="008F2B02" w:rsidRDefault="008F2B02" w:rsidP="005C3BF2">
      <w:pPr>
        <w:spacing w:after="0" w:line="240" w:lineRule="auto"/>
        <w:rPr>
          <w:rFonts w:ascii="Times New Roman" w:hAnsi="Times New Roman" w:cs="Times New Roman"/>
          <w:sz w:val="28"/>
          <w:szCs w:val="28"/>
        </w:rPr>
      </w:pPr>
    </w:p>
    <w:p w14:paraId="705760DC" w14:textId="77777777" w:rsidR="008F2B02" w:rsidRDefault="008F2B02" w:rsidP="005C3BF2">
      <w:pPr>
        <w:spacing w:after="0" w:line="240" w:lineRule="auto"/>
        <w:rPr>
          <w:rFonts w:ascii="Times New Roman" w:hAnsi="Times New Roman" w:cs="Times New Roman"/>
          <w:sz w:val="28"/>
          <w:szCs w:val="28"/>
        </w:rPr>
      </w:pPr>
    </w:p>
    <w:p w14:paraId="0DC9FA6D" w14:textId="77777777" w:rsidR="00C747F9" w:rsidRPr="00134291" w:rsidRDefault="00C747F9" w:rsidP="005C3BF2">
      <w:pPr>
        <w:spacing w:after="0" w:line="240" w:lineRule="auto"/>
        <w:rPr>
          <w:rFonts w:ascii="Times New Roman" w:hAnsi="Times New Roman" w:cs="Times New Roman"/>
          <w:b/>
          <w:bCs/>
          <w:sz w:val="28"/>
          <w:szCs w:val="28"/>
        </w:rPr>
      </w:pPr>
      <w:r w:rsidRPr="00134291">
        <w:rPr>
          <w:rFonts w:ascii="Times New Roman" w:hAnsi="Times New Roman" w:cs="Times New Roman"/>
          <w:b/>
          <w:bCs/>
          <w:sz w:val="28"/>
          <w:szCs w:val="28"/>
        </w:rPr>
        <w:t>Abstract</w:t>
      </w:r>
    </w:p>
    <w:p w14:paraId="1898D395" w14:textId="77777777" w:rsidR="00FD2913" w:rsidRDefault="00FD2913" w:rsidP="005C3BF2">
      <w:pPr>
        <w:spacing w:after="0" w:line="240" w:lineRule="auto"/>
        <w:rPr>
          <w:rFonts w:ascii="Times New Roman" w:hAnsi="Times New Roman" w:cs="Times New Roman"/>
          <w:sz w:val="24"/>
          <w:szCs w:val="24"/>
        </w:rPr>
      </w:pPr>
    </w:p>
    <w:p w14:paraId="39F9C682" w14:textId="77777777" w:rsidR="00C747F9" w:rsidRDefault="00C747F9" w:rsidP="005C3B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Background: </w:t>
      </w:r>
      <w:r w:rsidR="00BA5E68">
        <w:rPr>
          <w:rFonts w:ascii="Times New Roman" w:hAnsi="Times New Roman" w:cs="Times New Roman"/>
          <w:sz w:val="24"/>
          <w:szCs w:val="24"/>
        </w:rPr>
        <w:t>L</w:t>
      </w:r>
      <w:r w:rsidRPr="008C51C9">
        <w:rPr>
          <w:rFonts w:ascii="Times New Roman" w:hAnsi="Times New Roman" w:cs="Times New Roman"/>
          <w:sz w:val="24"/>
          <w:szCs w:val="24"/>
        </w:rPr>
        <w:t xml:space="preserve">iterature indicates current treatments of PCOS </w:t>
      </w:r>
      <w:r>
        <w:rPr>
          <w:rFonts w:ascii="Times New Roman" w:hAnsi="Times New Roman" w:cs="Times New Roman"/>
          <w:sz w:val="24"/>
          <w:szCs w:val="24"/>
        </w:rPr>
        <w:t xml:space="preserve">are </w:t>
      </w:r>
      <w:r w:rsidRPr="008C51C9">
        <w:rPr>
          <w:rFonts w:ascii="Times New Roman" w:hAnsi="Times New Roman" w:cs="Times New Roman"/>
          <w:sz w:val="24"/>
          <w:szCs w:val="24"/>
        </w:rPr>
        <w:t xml:space="preserve">designed to manage individual symptoms and not the syndrome itself. Pharmacological treatments may have side effects in long-term. </w:t>
      </w:r>
      <w:r>
        <w:rPr>
          <w:rFonts w:ascii="Times New Roman" w:hAnsi="Times New Roman" w:cs="Times New Roman"/>
          <w:sz w:val="24"/>
          <w:szCs w:val="24"/>
        </w:rPr>
        <w:t>Whereas, the</w:t>
      </w:r>
      <w:r w:rsidRPr="008C51C9">
        <w:rPr>
          <w:rFonts w:ascii="Times New Roman" w:hAnsi="Times New Roman" w:cs="Times New Roman"/>
          <w:sz w:val="24"/>
          <w:szCs w:val="24"/>
        </w:rPr>
        <w:t xml:space="preserve"> studies to measure effectiveness of complementary </w:t>
      </w:r>
      <w:r>
        <w:rPr>
          <w:rFonts w:ascii="Times New Roman" w:hAnsi="Times New Roman" w:cs="Times New Roman"/>
          <w:sz w:val="24"/>
          <w:szCs w:val="24"/>
        </w:rPr>
        <w:t>and alternative</w:t>
      </w:r>
      <w:r w:rsidRPr="008C51C9">
        <w:rPr>
          <w:rFonts w:ascii="Times New Roman" w:hAnsi="Times New Roman" w:cs="Times New Roman"/>
          <w:sz w:val="24"/>
          <w:szCs w:val="24"/>
        </w:rPr>
        <w:t xml:space="preserve"> medicine</w:t>
      </w:r>
      <w:r>
        <w:rPr>
          <w:rFonts w:ascii="Times New Roman" w:hAnsi="Times New Roman" w:cs="Times New Roman"/>
          <w:sz w:val="24"/>
          <w:szCs w:val="24"/>
        </w:rPr>
        <w:t xml:space="preserve"> (CAM)</w:t>
      </w:r>
      <w:r w:rsidRPr="008C51C9">
        <w:rPr>
          <w:rFonts w:ascii="Times New Roman" w:hAnsi="Times New Roman" w:cs="Times New Roman"/>
          <w:sz w:val="24"/>
          <w:szCs w:val="24"/>
        </w:rPr>
        <w:t xml:space="preserve"> are done on rat models. Thus, there are also no human clinical trials to establish </w:t>
      </w:r>
      <w:r>
        <w:rPr>
          <w:rFonts w:ascii="Times New Roman" w:hAnsi="Times New Roman" w:cs="Times New Roman"/>
          <w:sz w:val="24"/>
          <w:szCs w:val="24"/>
        </w:rPr>
        <w:t>CAM</w:t>
      </w:r>
      <w:r w:rsidRPr="008C51C9">
        <w:rPr>
          <w:rFonts w:ascii="Times New Roman" w:hAnsi="Times New Roman" w:cs="Times New Roman"/>
          <w:sz w:val="24"/>
          <w:szCs w:val="24"/>
        </w:rPr>
        <w:t xml:space="preserve"> efficacy to manage PCOS.</w:t>
      </w:r>
    </w:p>
    <w:p w14:paraId="3E4138BA" w14:textId="77777777" w:rsidR="00C747F9" w:rsidRDefault="00C747F9" w:rsidP="005C3BF2">
      <w:pPr>
        <w:spacing w:after="0" w:line="240" w:lineRule="auto"/>
        <w:rPr>
          <w:rFonts w:ascii="Times New Roman" w:hAnsi="Times New Roman" w:cs="Times New Roman"/>
          <w:sz w:val="24"/>
          <w:szCs w:val="24"/>
        </w:rPr>
      </w:pPr>
    </w:p>
    <w:p w14:paraId="672A06B1" w14:textId="77777777" w:rsidR="00C747F9" w:rsidRDefault="00C747F9" w:rsidP="005C3BF2">
      <w:pPr>
        <w:spacing w:after="0" w:line="240" w:lineRule="auto"/>
        <w:rPr>
          <w:rFonts w:ascii="Times New Roman" w:hAnsi="Times New Roman" w:cs="Times New Roman"/>
          <w:bCs/>
          <w:sz w:val="24"/>
          <w:szCs w:val="24"/>
        </w:rPr>
      </w:pPr>
      <w:r>
        <w:rPr>
          <w:rFonts w:ascii="Times New Roman" w:hAnsi="Times New Roman" w:cs="Times New Roman"/>
          <w:sz w:val="24"/>
          <w:szCs w:val="24"/>
        </w:rPr>
        <w:t xml:space="preserve">Objective: </w:t>
      </w:r>
      <w:r w:rsidR="00DB0E26">
        <w:rPr>
          <w:rFonts w:ascii="Times New Roman" w:hAnsi="Times New Roman" w:cs="Times New Roman"/>
          <w:sz w:val="24"/>
          <w:szCs w:val="24"/>
        </w:rPr>
        <w:t xml:space="preserve">This study objective is to scientifically establish the clinical efficacy </w:t>
      </w:r>
      <w:r w:rsidR="00DB0E26">
        <w:rPr>
          <w:rFonts w:ascii="Times New Roman" w:hAnsi="Times New Roman" w:cs="Times New Roman"/>
          <w:bCs/>
          <w:sz w:val="24"/>
          <w:szCs w:val="24"/>
        </w:rPr>
        <w:t xml:space="preserve">of topical application of 100% plant extract based natural oil-blend on PCOS </w:t>
      </w:r>
      <w:r w:rsidR="007C1659">
        <w:rPr>
          <w:rFonts w:ascii="Times New Roman" w:hAnsi="Times New Roman" w:cs="Times New Roman"/>
          <w:bCs/>
          <w:sz w:val="24"/>
          <w:szCs w:val="24"/>
        </w:rPr>
        <w:t xml:space="preserve">management </w:t>
      </w:r>
      <w:r w:rsidR="00DB0E26">
        <w:rPr>
          <w:rFonts w:ascii="Times New Roman" w:hAnsi="Times New Roman" w:cs="Times New Roman"/>
          <w:bCs/>
          <w:sz w:val="24"/>
          <w:szCs w:val="24"/>
        </w:rPr>
        <w:t xml:space="preserve">by addressing the subjective (viz., irregular menstruation, menstrual cycle duration, bleeding quantity, pain during menses) and objective (viz., hirsutism, ovarian volume, number of follicular cysts, number of mature follicles) PCOS symptoms. </w:t>
      </w:r>
    </w:p>
    <w:p w14:paraId="524FAD4F" w14:textId="77777777" w:rsidR="00DB0E26" w:rsidRDefault="00DB0E26" w:rsidP="005C3BF2">
      <w:pPr>
        <w:spacing w:after="0" w:line="240" w:lineRule="auto"/>
        <w:rPr>
          <w:rFonts w:ascii="Times New Roman" w:hAnsi="Times New Roman" w:cs="Times New Roman"/>
          <w:bCs/>
          <w:sz w:val="24"/>
          <w:szCs w:val="24"/>
        </w:rPr>
      </w:pPr>
    </w:p>
    <w:p w14:paraId="55B896F3" w14:textId="77777777" w:rsidR="00DB0E26" w:rsidRDefault="00DB0E26" w:rsidP="005C3BF2">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Method: </w:t>
      </w:r>
      <w:r w:rsidR="007C1659">
        <w:rPr>
          <w:rFonts w:ascii="Times New Roman" w:hAnsi="Times New Roman" w:cs="Times New Roman"/>
          <w:bCs/>
          <w:sz w:val="24"/>
          <w:szCs w:val="24"/>
        </w:rPr>
        <w:t xml:space="preserve">In </w:t>
      </w:r>
      <w:r>
        <w:rPr>
          <w:rFonts w:ascii="Times New Roman" w:hAnsi="Times New Roman" w:cs="Times New Roman"/>
          <w:sz w:val="24"/>
          <w:szCs w:val="24"/>
        </w:rPr>
        <w:t xml:space="preserve">a two-arm parallel group, prospective, randomized, double-blind, placebo-controlled study with adult female participants diagnosed with PCOS </w:t>
      </w:r>
      <w:r w:rsidR="00BD5132">
        <w:rPr>
          <w:rFonts w:ascii="Times New Roman" w:hAnsi="Times New Roman" w:cs="Times New Roman"/>
          <w:sz w:val="24"/>
          <w:szCs w:val="24"/>
        </w:rPr>
        <w:t xml:space="preserve">and </w:t>
      </w:r>
      <w:r>
        <w:rPr>
          <w:rFonts w:ascii="Times New Roman" w:hAnsi="Times New Roman" w:cs="Times New Roman"/>
          <w:sz w:val="24"/>
          <w:szCs w:val="24"/>
        </w:rPr>
        <w:t xml:space="preserve">fulfilling </w:t>
      </w:r>
      <w:r w:rsidR="00381843">
        <w:rPr>
          <w:rFonts w:ascii="Times New Roman" w:hAnsi="Times New Roman" w:cs="Times New Roman"/>
          <w:sz w:val="24"/>
          <w:szCs w:val="24"/>
        </w:rPr>
        <w:t>inclusion criteria</w:t>
      </w:r>
      <w:r w:rsidR="007C1659">
        <w:rPr>
          <w:rFonts w:ascii="Times New Roman" w:hAnsi="Times New Roman" w:cs="Times New Roman"/>
          <w:sz w:val="24"/>
          <w:szCs w:val="24"/>
        </w:rPr>
        <w:t>;</w:t>
      </w:r>
      <w:r w:rsidRPr="00DB0E26">
        <w:rPr>
          <w:rFonts w:ascii="Times New Roman" w:hAnsi="Times New Roman" w:cs="Times New Roman"/>
          <w:sz w:val="24"/>
          <w:szCs w:val="24"/>
        </w:rPr>
        <w:t xml:space="preserve"> </w:t>
      </w:r>
      <w:r>
        <w:rPr>
          <w:rFonts w:ascii="Times New Roman" w:hAnsi="Times New Roman" w:cs="Times New Roman"/>
          <w:bCs/>
          <w:sz w:val="24"/>
          <w:szCs w:val="24"/>
        </w:rPr>
        <w:t xml:space="preserve">100 </w:t>
      </w:r>
      <w:r>
        <w:rPr>
          <w:rFonts w:ascii="Times New Roman" w:hAnsi="Times New Roman" w:cs="Times New Roman"/>
          <w:sz w:val="24"/>
          <w:szCs w:val="24"/>
        </w:rPr>
        <w:t xml:space="preserve">participants were allocated </w:t>
      </w:r>
      <w:r w:rsidR="00BD5132">
        <w:rPr>
          <w:rFonts w:ascii="Times New Roman" w:hAnsi="Times New Roman" w:cs="Times New Roman"/>
          <w:sz w:val="24"/>
          <w:szCs w:val="24"/>
        </w:rPr>
        <w:t xml:space="preserve">between </w:t>
      </w:r>
      <w:r w:rsidR="00BD5132" w:rsidRPr="008C51C9">
        <w:rPr>
          <w:rFonts w:ascii="Times New Roman" w:hAnsi="Times New Roman" w:cs="Times New Roman"/>
          <w:sz w:val="24"/>
          <w:szCs w:val="24"/>
        </w:rPr>
        <w:t xml:space="preserve">two study arms (test </w:t>
      </w:r>
      <w:r w:rsidR="008B5544">
        <w:rPr>
          <w:rFonts w:ascii="Times New Roman" w:hAnsi="Times New Roman" w:cs="Times New Roman"/>
          <w:sz w:val="24"/>
          <w:szCs w:val="24"/>
        </w:rPr>
        <w:t>and</w:t>
      </w:r>
      <w:r w:rsidR="00BD5132" w:rsidRPr="008C51C9">
        <w:rPr>
          <w:rFonts w:ascii="Times New Roman" w:hAnsi="Times New Roman" w:cs="Times New Roman"/>
          <w:sz w:val="24"/>
          <w:szCs w:val="24"/>
        </w:rPr>
        <w:t xml:space="preserve"> placebo) </w:t>
      </w:r>
      <w:r>
        <w:rPr>
          <w:rFonts w:ascii="Times New Roman" w:hAnsi="Times New Roman" w:cs="Times New Roman"/>
          <w:sz w:val="24"/>
          <w:szCs w:val="24"/>
        </w:rPr>
        <w:t xml:space="preserve">in the ratio of 1:1 using a randomisation list. </w:t>
      </w:r>
    </w:p>
    <w:p w14:paraId="2583CDA8" w14:textId="77777777" w:rsidR="00381843" w:rsidRDefault="00381843" w:rsidP="005C3BF2">
      <w:pPr>
        <w:spacing w:after="0" w:line="240" w:lineRule="auto"/>
        <w:rPr>
          <w:rFonts w:ascii="Times New Roman" w:hAnsi="Times New Roman" w:cs="Times New Roman"/>
          <w:sz w:val="24"/>
          <w:szCs w:val="24"/>
        </w:rPr>
      </w:pPr>
    </w:p>
    <w:p w14:paraId="4C7576A7" w14:textId="3DB05D8B" w:rsidR="00DB0E26" w:rsidRDefault="00DB0E26" w:rsidP="005C3BF2">
      <w:pPr>
        <w:spacing w:after="0" w:line="240" w:lineRule="auto"/>
        <w:rPr>
          <w:rFonts w:ascii="Times New Roman" w:hAnsi="Times New Roman" w:cs="Times New Roman"/>
          <w:sz w:val="24"/>
          <w:szCs w:val="24"/>
        </w:rPr>
      </w:pPr>
      <w:r>
        <w:rPr>
          <w:rFonts w:ascii="Times New Roman" w:hAnsi="Times New Roman" w:cs="Times New Roman"/>
          <w:sz w:val="24"/>
          <w:szCs w:val="24"/>
        </w:rPr>
        <w:t>Findings:</w:t>
      </w:r>
      <w:r w:rsidR="00381843">
        <w:rPr>
          <w:rFonts w:ascii="Times New Roman" w:hAnsi="Times New Roman" w:cs="Times New Roman"/>
          <w:sz w:val="24"/>
          <w:szCs w:val="24"/>
        </w:rPr>
        <w:t xml:space="preserve"> After treatment</w:t>
      </w:r>
      <w:r w:rsidR="00BA5E68">
        <w:rPr>
          <w:rFonts w:ascii="Times New Roman" w:hAnsi="Times New Roman" w:cs="Times New Roman"/>
          <w:sz w:val="24"/>
          <w:szCs w:val="24"/>
        </w:rPr>
        <w:t>,</w:t>
      </w:r>
      <w:r w:rsidR="00BA5E68" w:rsidRPr="00BA5E68">
        <w:rPr>
          <w:rFonts w:ascii="Times New Roman" w:hAnsi="Times New Roman" w:cs="Times New Roman"/>
          <w:sz w:val="24"/>
          <w:szCs w:val="24"/>
        </w:rPr>
        <w:t xml:space="preserve"> </w:t>
      </w:r>
      <w:r w:rsidR="00BA5E68">
        <w:rPr>
          <w:rFonts w:ascii="Times New Roman" w:hAnsi="Times New Roman" w:cs="Times New Roman"/>
          <w:sz w:val="24"/>
          <w:szCs w:val="24"/>
        </w:rPr>
        <w:t>compared to placebo</w:t>
      </w:r>
      <w:r w:rsidR="00381843">
        <w:rPr>
          <w:rFonts w:ascii="Times New Roman" w:hAnsi="Times New Roman" w:cs="Times New Roman"/>
          <w:sz w:val="24"/>
          <w:szCs w:val="24"/>
        </w:rPr>
        <w:t xml:space="preserve">, test group showed significant decrease (p&lt;0.01) in the average composite score for subjective symptoms. Test oil resulted in significant decrease in hirsutism, in ovarian volume in both right and left ovaries, and in number of follicular cysts on both the ovaries. </w:t>
      </w:r>
      <w:r w:rsidR="00BA5E68">
        <w:rPr>
          <w:rFonts w:ascii="Times New Roman" w:hAnsi="Times New Roman" w:cs="Times New Roman"/>
          <w:sz w:val="24"/>
          <w:szCs w:val="24"/>
        </w:rPr>
        <w:t>Mature follicles</w:t>
      </w:r>
      <w:r w:rsidR="00381843">
        <w:rPr>
          <w:rFonts w:ascii="Times New Roman" w:hAnsi="Times New Roman" w:cs="Times New Roman"/>
          <w:sz w:val="24"/>
          <w:szCs w:val="24"/>
        </w:rPr>
        <w:t xml:space="preserve"> in test group increased </w:t>
      </w:r>
      <w:r w:rsidR="00BA5E68">
        <w:rPr>
          <w:rFonts w:ascii="Times New Roman" w:hAnsi="Times New Roman" w:cs="Times New Roman"/>
          <w:sz w:val="24"/>
          <w:szCs w:val="24"/>
        </w:rPr>
        <w:t xml:space="preserve">resulting in 17 incidences of conception out of 46 after 6 months </w:t>
      </w:r>
      <w:r w:rsidR="00DB49FC">
        <w:rPr>
          <w:rFonts w:ascii="Times New Roman" w:hAnsi="Times New Roman" w:cs="Times New Roman"/>
          <w:sz w:val="24"/>
          <w:szCs w:val="24"/>
        </w:rPr>
        <w:t xml:space="preserve">post-study </w:t>
      </w:r>
      <w:r w:rsidR="00BA5E68">
        <w:rPr>
          <w:rFonts w:ascii="Times New Roman" w:hAnsi="Times New Roman" w:cs="Times New Roman"/>
          <w:sz w:val="24"/>
          <w:szCs w:val="24"/>
        </w:rPr>
        <w:t>follow-up.</w:t>
      </w:r>
      <w:r w:rsidR="00BD5132">
        <w:rPr>
          <w:rFonts w:ascii="Times New Roman" w:hAnsi="Times New Roman" w:cs="Times New Roman"/>
          <w:sz w:val="24"/>
          <w:szCs w:val="24"/>
        </w:rPr>
        <w:t xml:space="preserve"> No adverse events were reported.</w:t>
      </w:r>
    </w:p>
    <w:p w14:paraId="5155CF97" w14:textId="77777777" w:rsidR="00DB0E26" w:rsidRDefault="00DB0E26" w:rsidP="005C3BF2">
      <w:pPr>
        <w:spacing w:after="0" w:line="240" w:lineRule="auto"/>
        <w:rPr>
          <w:rFonts w:ascii="Times New Roman" w:hAnsi="Times New Roman" w:cs="Times New Roman"/>
          <w:sz w:val="24"/>
          <w:szCs w:val="24"/>
        </w:rPr>
      </w:pPr>
    </w:p>
    <w:p w14:paraId="6409B569" w14:textId="77777777" w:rsidR="00DB0E26" w:rsidRDefault="00DB0E26" w:rsidP="005C3BF2">
      <w:pPr>
        <w:spacing w:after="0" w:line="240" w:lineRule="auto"/>
        <w:rPr>
          <w:rFonts w:ascii="Times New Roman" w:hAnsi="Times New Roman" w:cs="Times New Roman"/>
          <w:sz w:val="24"/>
          <w:szCs w:val="24"/>
        </w:rPr>
      </w:pPr>
      <w:r>
        <w:rPr>
          <w:rFonts w:ascii="Times New Roman" w:hAnsi="Times New Roman" w:cs="Times New Roman"/>
          <w:sz w:val="24"/>
          <w:szCs w:val="24"/>
        </w:rPr>
        <w:t>Conclusion: The test oil</w:t>
      </w:r>
      <w:r w:rsidR="007C1659">
        <w:rPr>
          <w:rFonts w:ascii="Times New Roman" w:hAnsi="Times New Roman" w:cs="Times New Roman"/>
          <w:sz w:val="24"/>
          <w:szCs w:val="24"/>
        </w:rPr>
        <w:t>-</w:t>
      </w:r>
      <w:r>
        <w:rPr>
          <w:rFonts w:ascii="Times New Roman" w:hAnsi="Times New Roman" w:cs="Times New Roman"/>
          <w:sz w:val="24"/>
          <w:szCs w:val="24"/>
        </w:rPr>
        <w:t>blend effectively manage</w:t>
      </w:r>
      <w:r w:rsidR="00BA5E68">
        <w:rPr>
          <w:rFonts w:ascii="Times New Roman" w:hAnsi="Times New Roman" w:cs="Times New Roman"/>
          <w:sz w:val="24"/>
          <w:szCs w:val="24"/>
        </w:rPr>
        <w:t>d</w:t>
      </w:r>
      <w:r>
        <w:rPr>
          <w:rFonts w:ascii="Times New Roman" w:hAnsi="Times New Roman" w:cs="Times New Roman"/>
          <w:sz w:val="24"/>
          <w:szCs w:val="24"/>
        </w:rPr>
        <w:t xml:space="preserve"> </w:t>
      </w:r>
      <w:r w:rsidR="000D28DD">
        <w:rPr>
          <w:rFonts w:ascii="Times New Roman" w:hAnsi="Times New Roman" w:cs="Times New Roman"/>
          <w:sz w:val="24"/>
          <w:szCs w:val="24"/>
        </w:rPr>
        <w:t xml:space="preserve">eight </w:t>
      </w:r>
      <w:r w:rsidR="00EB6AEC">
        <w:rPr>
          <w:rFonts w:ascii="Times New Roman" w:hAnsi="Times New Roman" w:cs="Times New Roman"/>
          <w:sz w:val="24"/>
          <w:szCs w:val="24"/>
        </w:rPr>
        <w:t xml:space="preserve">studied </w:t>
      </w:r>
      <w:r w:rsidR="000D28DD">
        <w:rPr>
          <w:rFonts w:ascii="Times New Roman" w:hAnsi="Times New Roman" w:cs="Times New Roman"/>
          <w:sz w:val="24"/>
          <w:szCs w:val="24"/>
        </w:rPr>
        <w:t xml:space="preserve">symptoms </w:t>
      </w:r>
      <w:r>
        <w:rPr>
          <w:rFonts w:ascii="Times New Roman" w:hAnsi="Times New Roman" w:cs="Times New Roman"/>
          <w:sz w:val="24"/>
          <w:szCs w:val="24"/>
        </w:rPr>
        <w:t>of PCOS rather than working on isolated symptoms of PCOS.</w:t>
      </w:r>
    </w:p>
    <w:p w14:paraId="63816A03" w14:textId="77777777" w:rsidR="00BA5E68" w:rsidRDefault="00BA5E68" w:rsidP="005C3BF2">
      <w:pPr>
        <w:spacing w:after="0" w:line="240" w:lineRule="auto"/>
        <w:rPr>
          <w:rFonts w:ascii="Times New Roman" w:hAnsi="Times New Roman" w:cs="Times New Roman"/>
          <w:sz w:val="24"/>
          <w:szCs w:val="24"/>
        </w:rPr>
      </w:pPr>
    </w:p>
    <w:p w14:paraId="76CCF25E" w14:textId="77777777" w:rsidR="00FD2913" w:rsidRDefault="00FD2913" w:rsidP="005C3BF2">
      <w:pPr>
        <w:spacing w:after="0" w:line="240" w:lineRule="auto"/>
        <w:rPr>
          <w:rFonts w:ascii="Times New Roman" w:hAnsi="Times New Roman" w:cs="Times New Roman"/>
          <w:sz w:val="24"/>
          <w:szCs w:val="24"/>
        </w:rPr>
      </w:pPr>
    </w:p>
    <w:p w14:paraId="2F7AF4F7" w14:textId="77777777" w:rsidR="000B42F5" w:rsidRDefault="000B42F5" w:rsidP="005C3BF2">
      <w:pPr>
        <w:spacing w:after="0" w:line="240" w:lineRule="auto"/>
        <w:rPr>
          <w:rFonts w:ascii="Times New Roman" w:hAnsi="Times New Roman" w:cs="Times New Roman"/>
          <w:sz w:val="24"/>
          <w:szCs w:val="24"/>
        </w:rPr>
      </w:pPr>
      <w:r>
        <w:rPr>
          <w:rFonts w:ascii="Times New Roman" w:hAnsi="Times New Roman" w:cs="Times New Roman"/>
          <w:sz w:val="24"/>
          <w:szCs w:val="24"/>
        </w:rPr>
        <w:t>Key Words: Polycystic ovarian syndrome; natural oil-blend; topical application; mensuration-related symptoms; mature follicles; ovarian volume</w:t>
      </w:r>
    </w:p>
    <w:p w14:paraId="1B14621A" w14:textId="77777777" w:rsidR="000B42F5" w:rsidRDefault="000B42F5" w:rsidP="005C3BF2">
      <w:pPr>
        <w:spacing w:after="0" w:line="240" w:lineRule="auto"/>
        <w:rPr>
          <w:rFonts w:ascii="Times New Roman" w:hAnsi="Times New Roman" w:cs="Times New Roman"/>
          <w:sz w:val="24"/>
          <w:szCs w:val="24"/>
        </w:rPr>
      </w:pPr>
    </w:p>
    <w:p w14:paraId="78044606" w14:textId="77777777" w:rsidR="000B42F5" w:rsidRPr="00C747F9" w:rsidRDefault="000B42F5" w:rsidP="005C3BF2">
      <w:pPr>
        <w:spacing w:after="0" w:line="240" w:lineRule="auto"/>
        <w:rPr>
          <w:rFonts w:ascii="Times New Roman" w:hAnsi="Times New Roman" w:cs="Times New Roman"/>
          <w:sz w:val="24"/>
          <w:szCs w:val="24"/>
        </w:rPr>
      </w:pPr>
    </w:p>
    <w:p w14:paraId="56FF586D" w14:textId="77777777" w:rsidR="005C3BF2" w:rsidRPr="008C51C9" w:rsidRDefault="005C3BF2" w:rsidP="005C3BF2">
      <w:pPr>
        <w:spacing w:after="0" w:line="240" w:lineRule="auto"/>
        <w:rPr>
          <w:rFonts w:ascii="Times New Roman" w:hAnsi="Times New Roman" w:cs="Times New Roman"/>
          <w:b/>
          <w:bCs/>
          <w:sz w:val="28"/>
          <w:szCs w:val="28"/>
        </w:rPr>
      </w:pPr>
      <w:r w:rsidRPr="008C51C9">
        <w:rPr>
          <w:rFonts w:ascii="Times New Roman" w:hAnsi="Times New Roman" w:cs="Times New Roman"/>
          <w:b/>
          <w:bCs/>
          <w:sz w:val="28"/>
          <w:szCs w:val="28"/>
        </w:rPr>
        <w:t>Introduction</w:t>
      </w:r>
    </w:p>
    <w:p w14:paraId="1CF03E5E" w14:textId="77777777" w:rsidR="00DB5128" w:rsidRPr="008C51C9" w:rsidRDefault="00DB5128" w:rsidP="00E45B54">
      <w:pPr>
        <w:jc w:val="both"/>
        <w:rPr>
          <w:rFonts w:ascii="Times New Roman" w:hAnsi="Times New Roman" w:cs="Times New Roman"/>
          <w:sz w:val="24"/>
          <w:szCs w:val="24"/>
        </w:rPr>
      </w:pPr>
      <w:r w:rsidRPr="008C51C9">
        <w:rPr>
          <w:rFonts w:ascii="Times New Roman" w:hAnsi="Times New Roman" w:cs="Times New Roman"/>
          <w:sz w:val="24"/>
          <w:szCs w:val="24"/>
        </w:rPr>
        <w:t xml:space="preserve">Polycystic </w:t>
      </w:r>
      <w:r w:rsidR="00CE11F0" w:rsidRPr="008C51C9">
        <w:rPr>
          <w:rFonts w:ascii="Times New Roman" w:hAnsi="Times New Roman" w:cs="Times New Roman"/>
          <w:sz w:val="24"/>
          <w:szCs w:val="24"/>
        </w:rPr>
        <w:t>o</w:t>
      </w:r>
      <w:r w:rsidRPr="008C51C9">
        <w:rPr>
          <w:rFonts w:ascii="Times New Roman" w:hAnsi="Times New Roman" w:cs="Times New Roman"/>
          <w:sz w:val="24"/>
          <w:szCs w:val="24"/>
        </w:rPr>
        <w:t xml:space="preserve">varian </w:t>
      </w:r>
      <w:r w:rsidR="00CE11F0" w:rsidRPr="008C51C9">
        <w:rPr>
          <w:rFonts w:ascii="Times New Roman" w:hAnsi="Times New Roman" w:cs="Times New Roman"/>
          <w:sz w:val="24"/>
          <w:szCs w:val="24"/>
        </w:rPr>
        <w:t>s</w:t>
      </w:r>
      <w:r w:rsidRPr="008C51C9">
        <w:rPr>
          <w:rFonts w:ascii="Times New Roman" w:hAnsi="Times New Roman" w:cs="Times New Roman"/>
          <w:sz w:val="24"/>
          <w:szCs w:val="24"/>
        </w:rPr>
        <w:t>yndrome (PCOS), also referred to as Stein–Leventhal syndrome</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{"citationID":"czXpqEvQ","properties":{"formattedCitation":"{\\rtf \\super 1\\nosupersub{}}","plainCitation":"1"},"citationItems":[{"id":464,"uris":["http://zotero.org/users/4133246/items/TPG8MUFH"],"uri":["http://zotero.org/users/4133246/items/TPG8MUFH"],"itemData":{"id":464,"type":"article-journal","title":"Polycystic ovarian disease (Stein-Leventhal syndrome); etiology and rationale for surgical treatment","container-title":"Obstetrics and Gynecology","page":"168-179","volume":"12","issue":"2","source":"PubMed","ISSN":"0029-7844","note":"PMID: 13578274","journalAbbreviation":"Obstet Gynecol","language":"eng","author":[{"family":"Evans","given":"T. N."},{"family":"Riley","given":"G. M."}],"issued":{"date-parts":[["1958",8]]}}}],"schema":"https://github.com/citation-style-language/schema/raw/master/csl-citation.json"}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1</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is a highly prevalent endocrine system disorder that affect women in their reproductive age and is a major cause of anovulatory infertility</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{"citationID":"1ik07r1mfp","properties":{"formattedCitation":"{\\rtf \\super 2\\uc0\\u8211{}6\\nosupersub{}}","plainCitation":"2–6"},"citationItems":[{"id":466,"uris":["http://zotero.org/users/4133246/items/NJNVZ5ST"],"uri":["http://zotero.org/users/4133246/items/NJNVZ5ST"],"itemData":{"id":466,"type":"article-journal","title":"The prevalence and features of the polycystic ovary syndrome in an unselected population","container-title":"The Journal of Clinical Endocrinology and Metabolism","page":"2745-2749","volume":"89","issue":"6","source":"PubMed","abstract":"Notwithstanding the potential public health impact of the polycystic ovary syndrome (PCOS), estimates regarding its prevalence are limited and unclear. Between July 1998 and October 1999, 400 unselected consecutive premenopausal women (18-45 yr of age) seeking a preemployment physical at the University of Alabama at Birmingham were studied (223 Black, 166 White, and 11 of other races). Evaluation included a history and physical examination, a modified Ferriman-Gallwey hirsutism score, and serum screening for hyperandrogenemia, hyperprolactinemia, and 21-hydroxylase-deficient nonclassical adrenal hyperplasia. PCOS was diagnosed by the presence of the following: 1) oligoovulation, 2) hyperandrogenemia and/or hirsutism (modified Ferriman-Gallwey score &gt; or = 6), and 3) the exclusion of related disorders. Confirmed PCOS was established in those individuals whose evaluation was complete and indicative of PCOS, and possible PCOS was established when the hormonal evaluation was not complete or was unavailable, but the clinical phenotype was otherwise suggestive of the disorder. The individual probability of PCOS in women with possible PCOS was assigned a weight based on the findings in similar subjects whose evaluation was complete, and the total number of PCOS cases arising from these individuals was calculated (i.e. individual probability of PCOS x total number of subjects in the group). The cumulative prevalence of PCOS in our population was 6.6% (26.5 of 400), including 15 subjects among the 347 women completing their evaluation and a calculated prevalence of 11.5 subjects among the remainder. The prevalence rates of PCOS for Black and White women were 8.0 and 4.8%, respectively, not significantly different. These data from a large representative unselected population support the concept that PCOS is the most common endocrine abnormality of reproductive-aged women in the United States.","DOI":"10.1210/jc.2003-032046","ISSN":"0021-972X","note":"PMID: 15181052","journalAbbreviation":"J. Clin. Endocrinol. Metab.","language":"eng","author":[{"family":"Azziz","given":"Ricardo"},{"family":"Woods","given":"Keslie S."},{"family":"Reyna","given":"Rosario"},{"family":"Key","given":"Timothy J."},{"family":"Knochenhauer","given":"Eric S."},{"family":"Yildiz","given":"Bulent O."}],"issued":{"date-parts":[["2004",6]]}},"label":"page"},{"id":699,"uris":["http://zotero.org/users/4133246/items/GF3TTT4I"],"uri":["http://zotero.org/users/4133246/items/GF3TTT4I"],"itemData":{"id":699,"type":"article-journal","title":"Prevalence, phenotype and cardiometabolic risk of polycystic ovary syndrome under different diagnostic criteria","container-title":"Human Reproduction","page":"3067-3073","volume":"27","issue":"10","source":"academic.oup.com","abstract":"STUDY QUESTIONWhat is the prevalence, phenotype and metabolic features of polycystic ovary syndrome (PCOS) in the same population according to three different diagnostic criteria?SUMMARY ANSWERThe prevalence of PCOS under National Institutes of Health (NIH), Rotterdam and Androgen Excess and PCOS (AE-PCOS) Society criteria was 6.1, 19.9 and 15.3%, respectively. PCOS carried a 2-fold increased risk of metabolic syndrome regardless of the diagnostic criteria used.WHAT IS KNOWN AND WHAT THIS PAPER ADDSThe prevalence rates of PCOS differ depending on the diagnostic criteria used to define the syndrome. The current paper gives the prevalence rates of the component and composite phenotypes of PCOS in the same population and reports similar rates of metabolic syndrome in women with PCOS under contrasting diagnostic criteria.DESIGNIn this cross-sectional study, 392 women between the ages of 18 and 45 years were analyzed.PARTICIPANTS AND SETTINGWhen the prevalence of PCOS according to NIH was set to 8% with a precision of 2.2% and confidence interval of 95%, the sample size required for a prevalence survey was found to be 400 subjects. The study was carried out in the General Directorate of Mineral Research and Exploration, a government-based institute, in which the largest number of female staff (n = 527) are employed within a single institute in Ankara, Turkey. The study was performed between 7 December 2009 and 30 April 2010. All female subjects between the ages of 18 and 45 years were invited to participate. Women older than 45 or younger than 18 years, post-menopausal women, women with a history of hysterectomy or bilateral oopherectomy and pregnant women were excluded. Totally, 392 of the employees were recruited for the final analyses.MAIN RESULTS AND THE ROLE OF CHANCEThe prevalence of PCOS under NIH, Rotterdam and AE-PCOS Society criteria were 6.1, 19.9 and 15.3%, respectively. While the prevalence of metabolic syndrome was 6.1% in the whole study group, within the patients diagnosed as PCOS according to NIH, Rotterdam and AE-PCOS Society criteria, it was 12.5, 10.3 and 10.0%, respectively.BIAS, CONFOUNDING AND OTHER REASONS FOR CAUTIONEven though we have included women working at a single institution with a high response rate for the participation, we cannot exclude potential selection bias due to undetermined differences between our sample and background community. We might have underestimated actual prevalence of metabolic syndrome in PCOS due to lack of oral glucose tolerance test 2 h glucose data.GENERALIZABILITY TO OTHER POPULATIONSCurrent results can be generalized to Caucasian populations and may present variations in other populations according to race and ethnicity.STUDY FUNDING/COMPETING INTEREST(S)This work was, in part, sponsored by Merck Serono.TRIAL REGISTRATION NUMBERNot applicable.","DOI":"10.1093/humrep/des232","ISSN":"0268-1161","journalAbbreviation":"Hum Reprod","language":"en","author":[{"family":"Yildiz","given":"Bulent Okan"},{"family":"Bozdag","given":"Gurkan"},{"family":"Yapici","given":"Zuhal"},{"family":"Esinler","given":"Ibrahim"},{"family":"Yarali","given":"Hakan"}],"issued":{"date-parts":[["2012",10,1]]}},"label":"page"},{"id":425,"uris":["http://zotero.org/users/4133246/items/X37QXT4P"],"uri":["http://zotero.org/users/4133246/items/X37QXT4P"],"itemData":{"id":425,"type":"article-journal","title":"Poly Cystic Ovarian Syndrome: An Updated Overview","container-title":"Frontiers in Physiology","volume":"7","source":"PubMed Central","abstract":"Poly Cystic Ovarian Syndrome (PCOS) is one of the most common metabolic and reproductive disorders among women of reproductive age. Women suffering from PCOS present with a constellation of symptoms associated with menstrual dysfunction and androgen excess, which significantly impacts their quality of life. They may be at increased risk of multiple morbidities, including obesity, insulin resistance, type II diabetes mellitus, cardiovascular disease (CVD), infertility, cancer, and psychological disorders. This review summarizes what the literature has so far provided from guidelines to diagnosis of PCOS. It will also present a general overview about the morbidities associated with this disease, specifically with its more severe classic form. Finally, the review will stress on the various aspects of treatment and screening recommendations currently used in the management of this condition.","URL":"https://www.ncbi.nlm.nih.gov/pmc/articles/PMC4820451/","DOI":"10.3389/fphys.2016.00124","ISSN":"1664-042X","note":"PMID: 27092084\nPMCID: PMC4820451","shortTitle":"Poly Cystic Ovarian Syndrome","journalAbbreviation":"Front Physiol","author":[{"family":"El Hayek","given":"Samer"},{"family":"Bitar","given":"Lynn"},{"family":"Hamdar","given":"Layal H."},{"family":"Mirza","given":"Fadi G."},{"family":"Daoud","given":"Georges"}],"issued":{"date-parts":[["2016",4,5]]}},"label":"page"},{"id":430,"uris":["http://zotero.org/users/4133246/items/QKM8MJPS"],"uri":["http://zotero.org/users/4133246/items/QKM8MJPS"],"itemData":{"id":430,"type":"article-journal","title":"Epidemiology, diagnosis, and management of polycystic ovary syndrome","container-title":"Clinical Epidemiology","page":"1-13","volume":"6","source":"PubMed Central","abstract":"Polycystic ovary syndrome (PCOS) is a common heterogeneous endocrine disorder characterized by irregular menses, hyperandrogenism, and polycystic ovaries. The prevalence of PCOS varies depending on which criteria are used to make the diagnosis, but is as high as 15%–20% when the European Society for Human Reproduction and Embryology/American Society for Reproductive Medicine criteria are used. Clinical manifestations include oligomenorrhea or amenorrhea, hirsutism, and frequently infertility. Risk factors for PCOS in adults includes type 1 diabetes, type 2 diabetes, and gestational diabetes. Insulin resistance affects 50%–70% of women with PCOS leading to a number of comorbidities including metabolic syndrome, hypertension, dyslipidemia, glucose intolerance, and diabetes. Studies show that women with PCOS are more likely to have increased coronary artery calcium scores and increased carotid intima-media thickness. Mental health disorders including depression, anxiety, bipolar disorder and binge eating disorder also occur more frequently in women with PCOS. Weight loss improves menstrual irregularities, symptoms of androgen excess, and infertility. Management of clinical manifestations of PCOS includes oral contraceptives for menstrual irregularities and hirsutism. Spironolactone and finasteride are used to treat symptoms of androgen excess. Treatment options for infertility include clomiphene, laparoscopic ovarian drilling, gonadotropins, and assisted reproductive technology. Recent data suggest that letrozole and metformin may play an important role in ovulation induction. Proper diagnosis and management of PCOS is essential to address patient concerns but also to prevent future metabolic, endocrine, psychiatric, and cardiovascular complications.","DOI":"10.2147/CLEP.S37559","ISSN":"1179-1349","note":"PMID: 24379699\nPMCID: PMC3872139","journalAbbreviation":"Clin Epidemiol","author":[{"family":"Sirmans","given":"Susan M"},{"family":"Pate","given":"Kristen A"}],"issued":{"date-parts":[["2013",12,18]]}},"label":"page"},{"id":437,"uris":["http://zotero.org/users/4133246/items/82FEFM7H"],"uri":["http://zotero.org/users/4133246/items/82FEFM7H"],"itemData":{"id":437,"type":"article-journal","title":"Genetic, hormonal and metabolic aspects of PCOS: an update","container-title":"Reproductive Biology and Endocrinology","page":"38","volume":"14","issue":"1","source":"rbej.biomedcentral.com","abstract":"Polycystic ovary syndrome (PCOS) is a complex endocrine disorder affecting 5–10 % of women of reproductive age. It generally manifests with oligo/anovulatory cycles, hirsutism and polycystic ovaries, together with a considerable prevalence of insulin resistance. Although the aetiology of the syndrome is not completely understood yet, PCOS is considered a multifactorial disorder with various genetic, endocrine and environmental abnormalities. Moreover, PCOS patients have a higher risk of metabolic and cardiovascular diseases and their related morbidity, if compared to the general population.","DOI":"10.1186/s12958-016-0173-x","ISSN":"1477-7827","shortTitle":"Genetic, hormonal and metabolic aspects of PCOS","language":"En","author":[{"family":"Leo","given":"V. De"},{"family":"Musacchio","given":"M. C."},{"family":"Cappelli","given":"V."},{"family":"Massaro","given":"M. G."},{"family":"Morgante","given":"G."},{"family":"Petraglia","given":"F."}],"issued":{"date-parts":[["2016",12]]}},"label":"page"}],"schema":"https://github.com/citation-style-language/schema/raw/master/csl-citation.json"}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2–6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Described since 1935 by Stein and Leventhal</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{"citationID":"3jhGLsXF","properties":{"formattedCitation":"{\\rtf \\super 7\\nosupersub{}}","plainCitation":"7"},"citationItems":[{"id":470,"uris":["http://zotero.org/users/4133246/items/JW7WGJ7I"],"uri":["http://zotero.org/users/4133246/items/JW7WGJ7I"],"itemData":{"id":470,"type":"article-journal","title":"Amenorrhea associated with bilateral polycystic ovaries","container-title":"American Journal of Obstetrics &amp; Gynecology","page":"181-191","volume":"29","issue":"2","source":"www.ajog.org","DOI":"10.1016/S0002-9378(15)30642-6","ISSN":"0002-9378, 1097-6868","journalAbbreviation":"American Journal of Obstetrics &amp; Gynecology","language":"English","author":[{"family":"Stein","given":"Irving F."},{"family":"Leventhal","given":"Michael L."}],"issued":{"date-parts":[["1935",1,1]]}}}],"schema":"https://github.com/citation-style-language/schema/raw/master/csl-citation.json"}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7</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it represents a condition in which an estimate of 10 small cysts of a diameter ranging between 2 and 9 mm develop on one or both ovaries and/or the ovarian volume in at least one ovary exceeds 10 ml</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{"citationID":"nUhP0T8P","properties":{"formattedCitation":"{\\rtf \\super 8\\nosupersub{}}","plainCitation":"8"},"citationItems":[{"id":468,"uris":["http://zotero.org/users/4133246/items/ZGMFID78"],"uri":["http://zotero.org/users/4133246/items/ZGMFID78"],"itemData":{"id":468,"type":"article-journal","title":"Polycystic ovary syndrome--a systemic disorder?","container-title":"Best Practice &amp; Research. Clinical Obstetrics &amp; Gynaecology","page":"263-274","volume":"17","issue":"2","source":"PubMed","abstract":"Polycystic ovary syndrome (PCOS) is the commonest endocrine disturbance affecting women. There is considerable heterogeneity of symptoms and signs amongst women with PCOS and for an individual these may change over time. PCOS is familial and genetics appear to be associated with disturbances of insulin secretion. Polycystic ovaries can exist without clinical signs of the syndrome, which may then become expressed over time. There are a number of interlinking factors that affect expression of PCOS. A gain in weight is associated with a worsening of symptoms whilst weight loss will ameliorate the endocrine and metabolic profile and symptomatology. Women with PCOS are characterized by the presence of insulin resistance, central obesity and dyslipidaemia, which appears to place them at a higher risk of developing diabetes as well as cardiovascular disease. A number of studies have confirmed the higher incidence of diabetes, although they have not shown a higher risk of mortality from ischaemic heart disease (IHD). Cross-sectional studies have demonstrated a significant association between PCOS and IHD. Prospective, long-term longitudinal studies confirming this risk are still awaited. Weight loss remains the most effective first line therapeutic intervention in women with PCOS and recently the use of insulin sensitizing agents has demonstrated benefit.","ISSN":"1521-6934","note":"PMID: 12758099","journalAbbreviation":"Best Pract Res Clin Obstet Gynaecol","language":"eng","author":[{"family":"Balen","given":"Adam"},{"family":"Rajkowha","given":"Madhurima"}],"issued":{"date-parts":[["2003",4]]}}}],"schema":"https://github.com/citation-style-language/schema/raw/master/csl-citation.json"}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8</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Previously regarded as a disorder of adult women, PCOS is now considered as a lifelong syndrome that can manifest at pre-natal age, amplify by adolescence and affect </w:t>
      </w:r>
      <w:r w:rsidRPr="008C51C9">
        <w:rPr>
          <w:rFonts w:ascii="Times New Roman" w:hAnsi="Times New Roman" w:cs="Times New Roman"/>
          <w:sz w:val="24"/>
          <w:szCs w:val="24"/>
        </w:rPr>
        <w:lastRenderedPageBreak/>
        <w:t>multiple aspects of a women’s health, well beyond the reproductive ag</w:t>
      </w:r>
      <w:r w:rsidR="001B6345" w:rsidRPr="008C51C9">
        <w:rPr>
          <w:rFonts w:ascii="Times New Roman" w:hAnsi="Times New Roman" w:cs="Times New Roman"/>
          <w:sz w:val="24"/>
          <w:szCs w:val="24"/>
        </w:rPr>
        <w:t>e</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{"citationID":"2b682q6ib3","properties":{"formattedCitation":"{\\rtf \\super 4\\uc0\\u8211{}6,9\\uc0\\u8211{}11\\nosupersub{}}","plainCitation":"4–6,9–11"},"citationItems":[{"id":425,"uris":["http://zotero.org/users/4133246/items/X37QXT4P"],"uri":["http://zotero.org/users/4133246/items/X37QXT4P"],"itemData":{"id":425,"type":"article-journal","title":"Poly Cystic Ovarian Syndrome: An Updated Overview","container-title":"Frontiers in Physiology","volume":"7","source":"PubMed Central","abstract":"Poly Cystic Ovarian Syndrome (PCOS) is one of the most common metabolic and reproductive disorders among women of reproductive age. Women suffering from PCOS present with a constellation of symptoms associated with menstrual dysfunction and androgen excess, which significantly impacts their quality of life. They may be at increased risk of multiple morbidities, including obesity, insulin resistance, type II diabetes mellitus, cardiovascular disease (CVD), infertility, cancer, and psychological disorders. This review summarizes what the literature has so far provided from guidelines to diagnosis of PCOS. It will also present a general overview about the morbidities associated with this disease, specifically with its more severe classic form. Finally, the review will stress on the various aspects of treatment and screening recommendations currently used in the management of this condition.","URL":"https://www.ncbi.nlm.nih.gov/pmc/articles/PMC4820451/","DOI":"10.3389/fphys.2016.00124","ISSN":"1664-042X","note":"PMID: 27092084\nPMCID: PMC4820451","shortTitle":"Poly Cystic Ovarian Syndrome","journalAbbreviation":"Front Physiol","author":[{"family":"El Hayek","given":"Samer"},{"family":"Bitar","given":"Lynn"},{"family":"Hamdar","given":"Layal H."},{"family":"Mirza","given":"Fadi G."},{"family":"Daoud","given":"Georges"}],"issued":{"date-parts":[["2016",4,5]]}},"label":"page"},{"id":428,"uris":["http://zotero.org/users/4133246/items/HRS5F5E8"],"uri":["http://zotero.org/users/4133246/items/HRS5F5E8"],"itemData":{"id":428,"type":"article-journal","title":"Criteria, prevalence, and phenotypes of polycystic ovary syndrome","container-title":"Fertility and Sterility","page":"6-15","volume":"106","issue":"1","source":"ScienceDirect","abstract":"Polycystic ovary syndrome (PCOS) is a highly prevalent disorder effecting reproductive-aged women worldwide. This article addresses the evolution of the criteria used to diagnosis PCOS; reviews recent advances in the phenotypic approach, specifically in the context of the extended Rotterdam criteria; discusses limitations of the current criteria used to diagnosis, particularly when studying adolescents and women in the peri- and postmenopause; and describes significant strides made in understanding the epidemiology of PCOS. This review recognizes that although there is a high prevalence of PCOS, there is increased variability when using Rotterdam 2003 criteria, owing to limitations in population sampling and approaches used to define PCOS phenotypes. Last, we discuss the distribution of PCOS phenotypes, their morbidity, and the role that referral bias plays in the epidemiology of this syndrome.","DOI":"10.1016/j.fertnstert.2016.05.003","ISSN":"0015-0282","journalAbbreviation":"Fertility and Sterility","author":[{"family":"Lizneva","given":"Daria"},{"family":"Suturina","given":"Larisa"},{"family":"Walker","given":"Walidah"},{"family":"Brakta","given":"Soumia"},{"family":"Gavrilova-Jordan","given":"Larisa"},{"family":"Azziz","given":"Ricardo"}],"issued":{"date-parts":[["2016",7,1]]}},"label":"page"},{"id":444,"uris":["http://zotero.org/users/4133246/items/A7VCB332"],"uri":["http://zotero.org/users/4133246/items/A7VCB332"],"itemData":{"id":444,"type":"article-journal","title":"Genetics of polycystic ovary syndrome","container-title":"Expert Review of Molecular Diagnostics","page":"723-733","volume":"17","issue":"7","source":"Taylor and Francis+NEJM","abstract":"Introduction: Polycystic ovary syndrome (PCOS) is a hormonal and metabolic disorder affecting 5 to 20% of reproductive-aged women worldwide that results in androgen excess, menstrual dysfunction and oligo-ovulatory subfertility, with increased risks for type 2 diabetes, endometrial adenocarcinoma, and potentially vascular disease, among other morbidities. PCOS is a complex genetic trait with strong heritability accounting for as high as 70% of the development of the disorder.Areas covered: The authors summarize the historical and recent findings of genetic studies of PCOS, such as familial studies, twin studies, and molecular genetic studies, including the results of recent genome wide associated studies. PubMed, Medline and Embase database were used to search relevant articles. Included studies were predominately conducted in Asia, North Africa, North America, and Europe.Expert commentary: Current studies aim to establish the role and function of identified genes; such efforts could serve as potential platforms for novel diagnostic and treatments for PCOS patients. The etiology of PCOS will be better understood as more data is gathered systematically, subjects are better phenotyped larger populations are recruited, and a better understanding of the role of genetic architecture, genetic variation, epigenetics, and gene-gene, gene-environment, and gene-phenotype interaction is obtained.","DOI":"10.1080/14737159.2017.1340833","ISSN":"1473-7159","note":"PMID: 28602111","author":[{"family":"Mykhalchenko","given":"Kateryna"},{"family":"Lizneva","given":"Daria"},{"family":"Trofimova","given":"Tatiana"},{"family":"Walker","given":"Walidah"},{"family":"Suturina","given":"Larisa"},{"family":"Diamond","given":"Michael P."},{"family":"Azziz","given":"Ricardo"}],"issued":{"date-parts":[["2017",7,3]]}},"label":"page"},{"id":697,"uris":["http://zotero.org/users/4133246/items/26TRNQTT"],"uri":["http://zotero.org/users/4133246/items/26TRNQTT"],"itemData":{"id":697,"type":"article-journal","title":"Unfavorable Hormonal, Metabolic, and Inflammatory Alterations Persist after Menopause in Women with PCOS","container-title":"The Journal of Clinical Endocrinology &amp; Metabolism","page":"1827-1834","volume":"96","issue":"6","source":"academic.oup.com","abstract":"Context:Women with polycystic ovary syndrome (PCOS) are known to suffer from hyperandrogenism and impaired glucose tolerance, as well as chronic inflammation, exposing them to an increased risk of cardiovascular diseases. However, the degree to which these hormonal and metabolic alterations persist after menopause (MP) is not well documented.Objective:Our objective was to explore whether adverse metabolic and hormonal alterations persist after MP in women with PCOS.Design:We conducted a cross-sectional university hospital-based study.Patients and Interventions:Twenty-one pre-MP (n = 10) and post-MP (n = 11) women diagnosed with PCOS were compared with 29 healthy controls (pre-MP, n = 11; post-MP, n = 18). Two-hour oral glucose tolerance tests were performed, and ovarian steroid secretion capacity was assessed (human chorionic gonadotropin tests). Areas under the curves (AUC) were calculated.Results:Both pre-MP and post-MP women with PCOS had increased insulin response in oral glucose tolerance tests (AUCins pre-MP = 6733.7 vs. 3382.9; post-MP = 9732.1 vs. 3265.3) and were more insulin resistant than controls. Androgen secretion capacity was increased before and after MP in PCOS (AUC of androstenedione; pre-MP: 1218.4 vs. 853.2; post-MP: 1000.0 vs. 531.3). High-sensitivity C-reactive protein remained elevated after MP in PCOS (pre-MP: 1.3 vs. 0.7; post-MP: 1.4 vs. 0.9 mg/liter). Adjustment for body mass index did not alter the results except for glucose metabolism.Conclusions:The results indicate that impaired glucose metabolism, enhanced ovarian androgen secretion, and chronic inflammation observed in pre-MP women with PCOS persist after menopausal transition emphasizing life-long health risks related to this syndrome.","DOI":"10.1210/jc.2011-0039","ISSN":"0021-972X","journalAbbreviation":"J Clin Endocrinol Metab","language":"en","author":[{"family":"Puurunen","given":"Johanna"},{"family":"Piltonen","given":"Terhi"},{"family":"Morin-Papunen","given":"Laure"},{"family":"Perheentupa","given":"Antti"},{"family":"Järvelä","given":"Ilkka"},{"family":"Ruokonen","given":"Aimo"},{"family":"Tapanainen","given":"Juha S."}],"issued":{"date-parts":[["2011",6,1]]}},"label":"page"},{"id":437,"uris":["http://zotero.org/users/4133246/items/82FEFM7H"],"uri":["http://zotero.org/users/4133246/items/82FEFM7H"],"itemData":{"id":437,"type":"article-journal","title":"Genetic, hormonal and metabolic aspects of PCOS: an update","container-title":"Reproductive Biology and Endocrinology","page":"38","volume":"14","issue":"1","source":"rbej.biomedcentral.com","abstract":"Polycystic ovary syndrome (PCOS) is a complex endocrine disorder affecting 5–10 % of women of reproductive age. It generally manifests with oligo/anovulatory cycles, hirsutism and polycystic ovaries, together with a considerable prevalence of insulin resistance. Although the aetiology of the syndrome is not completely understood yet, PCOS is considered a multifactorial disorder with various genetic, endocrine and environmental abnormalities. Moreover, PCOS patients have a higher risk of metabolic and cardiovascular diseases and their related morbidity, if compared to the general population.","DOI":"10.1186/s12958-016-0173-x","ISSN":"1477-7827","shortTitle":"Genetic, hormonal and metabolic aspects of PCOS","language":"En","author":[{"family":"Leo","given":"V. De"},{"family":"Musacchio","given":"M. C."},{"family":"Cappelli","given":"V."},{"family":"Massaro","given":"M. G."},{"family":"Morgante","given":"G."},{"family":"Petraglia","given":"F."}],"issued":{"date-parts":[["2016",12]]}},"label":"page"},{"id":430,"uris":["http://zotero.org/users/4133246/items/QKM8MJPS"],"uri":["http://zotero.org/users/4133246/items/QKM8MJPS"],"itemData":{"id":430,"type":"article-journal","title":"Epidemiology, diagnosis, and management of polycystic ovary syndrome","container-title":"Clinical Epidemiology","page":"1-13","volume":"6","source":"PubMed Central","abstract":"Polycystic ovary syndrome (PCOS) is a common heterogeneous endocrine disorder characterized by irregular menses, hyperandrogenism, and polycystic ovaries. The prevalence of PCOS varies depending on which criteria are used to make the diagnosis, but is as high as 15%–20% when the European Society for Human Reproduction and Embryology/American Society for Reproductive Medicine criteria are used. Clinical manifestations include oligomenorrhea or amenorrhea, hirsutism, and frequently infertility. Risk factors for PCOS in adults includes type 1 diabetes, type 2 diabetes, and gestational diabetes. Insulin resistance affects 50%–70% of women with PCOS leading to a number of comorbidities including metabolic syndrome, hypertension, dyslipidemia, glucose intolerance, and diabetes. Studies show that women with PCOS are more likely to have increased coronary artery calcium scores and increased carotid intima-media thickness. Mental health disorders including depression, anxiety, bipolar disorder and binge eating disorder also occur more frequently in women with PCOS. Weight loss improves menstrual irregularities, symptoms of androgen excess, and infertility. Management of clinical manifestations of PCOS includes oral contraceptives for menstrual irregularities and hirsutism. Spironolactone and finasteride are used to treat symptoms of androgen excess. Treatment options for infertility include clomiphene, laparoscopic ovarian drilling, gonadotropins, and assisted reproductive technology. Recent data suggest that letrozole and metformin may play an important role in ovulation induction. Proper diagnosis and management of PCOS is essential to address patient concerns but also to prevent future metabolic, endocrine, psychiatric, and cardiovascular complications.","DOI":"10.2147/CLEP.S37559","ISSN":"1179-1349","note":"PMID: 24379699\nPMCID: PMC3872139","journalAbbreviation":"Clin Epidemiol","author":[{"family":"Sirmans","given":"Susan M"},{"family":"Pate","given":"Kristen A"}],"issued":{"date-parts":[["2013",12,18]]}},"label":"page"}],"schema":"https://github.com/citation-style-language/schema/raw/master/csl-citation.json"}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4–6,9–1</w:t>
      </w:r>
      <w:r w:rsidR="0029199D" w:rsidRPr="008C51C9">
        <w:rPr>
          <w:rFonts w:ascii="Times New Roman" w:hAnsi="Times New Roman" w:cs="Times New Roman"/>
          <w:sz w:val="24"/>
          <w:szCs w:val="24"/>
          <w:vertAlign w:val="superscript"/>
        </w:rPr>
        <w:t>0</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Based on different epidemiologic studies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{"citationID":"2p0u3ul4m7","properties":{"formattedCitation":"{\\rtf \\super 2,3,12\\uc0\\u8211{}29\\nosupersub{}}","plainCitation":"2,3,12–29"},"citationItems":[{"id":466,"uris":["http://zotero.org/users/4133246/items/NJNVZ5ST"],"uri":["http://zotero.org/users/4133246/items/NJNVZ5ST"],"itemData":{"id":466,"type":"article-journal","title":"The prevalence and features of the polycystic ovary syndrome in an unselected population","container-title":"The Journal of Clinical Endocrinology and Metabolism","page":"2745-2749","volume":"89","issue":"6","source":"PubMed","abstract":"Notwithstanding the potential public health impact of the polycystic ovary syndrome (PCOS), estimates regarding its prevalence are limited and unclear. Between July 1998 and October 1999, 400 unselected consecutive premenopausal women (18-45 yr of age) seeking a preemployment physical at the University of Alabama at Birmingham were studied (223 Black, 166 White, and 11 of other races). Evaluation included a history and physical examination, a modified Ferriman-Gallwey hirsutism score, and serum screening for hyperandrogenemia, hyperprolactinemia, and 21-hydroxylase-deficient nonclassical adrenal hyperplasia. PCOS was diagnosed by the presence of the following: 1) oligoovulation, 2) hyperandrogenemia and/or hirsutism (modified Ferriman-Gallwey score &gt; or = 6), and 3) the exclusion of related disorders. Confirmed PCOS was established in those individuals whose evaluation was complete and indicative of PCOS, and possible PCOS was established when the hormonal evaluation was not complete or was unavailable, but the clinical phenotype was otherwise suggestive of the disorder. The individual probability of PCOS in women with possible PCOS was assigned a weight based on the findings in similar subjects whose evaluation was complete, and the total number of PCOS cases arising from these individuals was calculated (i.e. individual probability of PCOS x total number of subjects in the group). The cumulative prevalence of PCOS in our population was 6.6% (26.5 of 400), including 15 subjects among the 347 women completing their evaluation and a calculated prevalence of 11.5 subjects among the remainder. The prevalence rates of PCOS for Black and White women were 8.0 and 4.8%, respectively, not significantly different. These data from a large representative unselected population support the concept that PCOS is the most common endocrine abnormality of reproductive-aged women in the United States.","DOI":"10.1210/jc.2003-032046","ISSN":"0021-972X","note":"PMID: 15181052","journalAbbreviation":"J. Clin. Endocrinol. Metab.","language":"eng","author":[{"family":"Azziz","given":"Ricardo"},{"family":"Woods","given":"Keslie S."},{"family":"Reyna","given":"Rosario"},{"family":"Key","given":"Timothy J."},{"family":"Knochenhauer","given":"Eric S."},{"family":"Yildiz","given":"Bulent O."}],"issued":{"date-parts":[["2004",6]]}},"label":"page"},{"id":699,"uris":["http://zotero.org/users/4133246/items/GF3TTT4I"],"uri":["http://zotero.org/users/4133246/items/GF3TTT4I"],"itemData":{"id":699,"type":"article-journal","title":"Prevalence, phenotype and cardiometabolic risk of polycystic ovary syndrome under different diagnostic criteria","container-title":"Human Reproduction","page":"3067-3073","volume":"27","issue":"10","source":"academic.oup.com","abstract":"STUDY QUESTIONWhat is the prevalence, phenotype and metabolic features of polycystic ovary syndrome (PCOS) in the same population according to three different diagnostic criteria?SUMMARY ANSWERThe prevalence of PCOS under National Institutes of Health (NIH), Rotterdam and Androgen Excess and PCOS (AE-PCOS) Society criteria was 6.1, 19.9 and 15.3%, respectively. PCOS carried a 2-fold increased risk of metabolic syndrome regardless of the diagnostic criteria used.WHAT IS KNOWN AND WHAT THIS PAPER ADDSThe prevalence rates of PCOS differ depending on the diagnostic criteria used to define the syndrome. The current paper gives the prevalence rates of the component and composite phenotypes of PCOS in the same population and reports similar rates of metabolic syndrome in women with PCOS under contrasting diagnostic criteria.DESIGNIn this cross-sectional study, 392 women between the ages of 18 and 45 years were analyzed.PARTICIPANTS AND SETTINGWhen the prevalence of PCOS according to NIH was set to 8% with a precision of 2.2% and confidence interval of 95%, the sample size required for a prevalence survey was found to be 400 subjects. The study was carried out in the General Directorate of Mineral Research and Exploration, a government-based institute, in which the largest number of female staff (n = 527) are employed within a single institute in Ankara, Turkey. The study was performed between 7 December 2009 and 30 April 2010. All female subjects between the ages of 18 and 45 years were invited to participate. Women older than 45 or younger than 18 years, post-menopausal women, women with a history of hysterectomy or bilateral oopherectomy and pregnant women were excluded. Totally, 392 of the employees were recruited for the final analyses.MAIN RESULTS AND THE ROLE OF CHANCEThe prevalence of PCOS under NIH, Rotterdam and AE-PCOS Society criteria were 6.1, 19.9 and 15.3%, respectively. While the prevalence of metabolic syndrome was 6.1% in the whole study group, within the patients diagnosed as PCOS according to NIH, Rotterdam and AE-PCOS Society criteria, it was 12.5, 10.3 and 10.0%, respectively.BIAS, CONFOUNDING AND OTHER REASONS FOR CAUTIONEven though we have included women working at a single institution with a high response rate for the participation, we cannot exclude potential selection bias due to undetermined differences between our sample and background community. We might have underestimated actual prevalence of metabolic syndrome in PCOS due to lack of oral glucose tolerance test 2 h glucose data.GENERALIZABILITY TO OTHER POPULATIONSCurrent results can be generalized to Caucasian populations and may present variations in other populations according to race and ethnicity.STUDY FUNDING/COMPETING INTEREST(S)This work was, in part, sponsored by Merck Serono.TRIAL REGISTRATION NUMBERNot applicable.","DOI":"10.1093/humrep/des232","ISSN":"0268-1161","journalAbbreviation":"Hum Reprod","language":"en","author":[{"family":"Yildiz","given":"Bulent Okan"},{"family":"Bozdag","given":"Gurkan"},{"family":"Yapici","given":"Zuhal"},{"family":"Esinler","given":"Ibrahim"},{"family":"Yarali","given":"Hakan"}],"issued":{"date-parts":[["2012",10,1]]}},"label":"page"},{"id":712,"uris":["http://zotero.org/users/4133246/items/KS86W2T2"],"uri":["http://zotero.org/users/4133246/items/KS86W2T2"],"itemData":{"id":712,"type":"article-journal","title":"Prevalence of the polycystic ovary syndrome in unselected black and white women of the Southeastern United States: A prospective study","container-title":"Journal of Clinical Endocrinology and Metabolism","page":"3078-3082","volume":"83","issue":"9","source":"Scopus","archive":"Scopus","abstract":"Estimates of the prevalence of the polycystic ovary syndrome (PCOS) in the general population have ranged from 2-20%. The vast majority of these reports have studied White populations in Europe, used limited definitions of the disorder, and/or used bias populations, such as those seeking medical care. To estimate the prevalence of this disorder in the United States and address these limitations, we prospectively determined the prevalence of PCOS in a reproductive-aged population of 369 consecutive women (174 White and 195 Black; aged 18-45 yr), examined at the time of their preemployment physical. Body measures were obtained, and body hair was quantified by a modified Ferriman-Gallwey (F-G) method. All exams were initially performed by 2 trained nurses, and any subject with an F-G score above 3 was reexamined by a physician, the same for all patients. Of the 369 women, 277 (75.1%) also agreed to complete a questionnaire and have additional blood drawn. Subjects were studied regardless of current estrogen/progestin hormonal use (28.5%). PCOS was defined as 1) oligoovulation, 2) clinical hyperandrogenism (i.e. hirsutism) and/or hyperandrogenemia, and 3) exclusion of other related disorders, such as hyperprolactinemia, thyroid abnormalities, and nonclassic adrenal hyperplasia. Hirsutism was defined by a F-G score of 6 or more, and hyperandrogenemia was defined as a total or free testosterone, androstenedione, and/or dehydroepiandrosterone sulfate level above the 95th percentile of control values [i.e. all eumenorrheic women in the study, who had no hirsutism (F-G ≤5) or ache and were receiving no hormonal therapy; n = 98]. Considering all 369 women studied, White and Black women had similar mean ages (29.4 ± 7.1 and 31.1 ± 7.8 yr, respectively), although White women had a lesser body mass than Black women (24.9 ± 6.1 vs. 29.2 ± 8.1 kg/m2, respectively; P &amp;lt; 0.001). Of these 7.6%, 4.6%, and 1.9% demonstrated a F-G score of 6 or more, 8 or 10, respectively, and there was no significant racial difference, with hirsutism prevalences of 8.0%, 2.8%, and 1.6% in Whites, and 7.1%, 6.1%, and 2.1% in Blacks, respectively. Of the 277 women consenting to a history and hormonal evaluation, 4.0% had PCOS as defined, 4.7% (6 of 129) of Whites and 3.4% (5 of 148) of Blacks. In conclusion, in our consecutive population of unselected women the prevalence of hirsutism varied from 2-8% depending on the chosen cut-off F-G score, with no significant difference between White and Black women. Using an F-G score of 6 or more as indicative of hirsutism, 3.4% of Blacks and 4.7% of Whites had PCOS as defined. These data suggest that PCOS may be one of most common reproductive endocrinological disorders of women.","DOI":"10.1210/jc.83.9.3078","shortTitle":"Prevalence of the polycystic ovary syndrome in unselected black and white women of the Southeastern United States","author":[{"family":"Knochenhauer","given":"E.S."},{"family":"Key","given":"T.J."},{"family":"Kahsar-Miller","given":"M."},{"family":"Waggoner","given":"W."},{"family":"Boots","given":"L.R."},{"family":"Azziz","given":"R."}],"issued":{"date-parts":[["1998"]]}},"label":"page"},{"id":672,"uris":["http://zotero.org/users/4133246/items/97FN48CX"],"uri":["http://zotero.org/users/4133246/items/97FN48CX"],"itemData":{"id":672,"type":"article-journal","title":"The prevalence of polycystic ovary syndrome in a community sample assessed under contrasting diagnostic criteria","container-title":"Human Reproduction","page":"544-551","volume":"25","issue":"2","source":"academic.oup.com","abstract":"BACKGROUNDPolycystic ovary syndrome (PCOS) is considered to be the most common endocrine disorder in women of reproductive age, yet debate over appropriate diagnostic criteria and design limitations with sampling methodology have left some doubt as to the actual prevalence in the community. The objective of this study was to create a representative prevalence estimate of PCOS in the community under the National Institutes of Health (NIH) criteria and the more recent Rotterdam consensus criteria and Androgen Excess Society (AES) criteria.METHODSA retrospective birth cohort study was carried out in which 728 women born during 1973–1975 in a single maternity hospital were traced and interviewed in adulthood (age = 27–34 year; n = 728). Symptoms of PCOS (hyperandrogenism, menstrual dysfunction and polycystic ovaries) were identified by examination and the presence of polycystic ovaries in those that did not consent to the ultrasound were imputed.RESULTSThe estimated prevalence of PCOS in this birth cohort using the NIH criteria was 8.7 ± 2.0% (with no need for imputation). Under the Rotterdam criteria, the prevalence was 11.9 ± 2.4% which increased to 17.8 ± 2.8% when imputed data were included. Under the AES recommendations, PCOS prevalence was 10.2 ± 2.2%, and 12.0 ± 2.4% with the imputed data. Of the women with PCOS, 68–69% did not have a pre-existing diagnosis.CONCLUSIONSThe Rotterdam and AES prevalence estimates were up to twice that obtained with the NIH criteria in this, as well other prevalence studies. In addition, this study also draws attention to the issue of many women with PCOS in the community remaining undiagnosed.","DOI":"10.1093/humrep/dep399","ISSN":"0268-1161","journalAbbreviation":"Hum Reprod","language":"en","author":[{"family":"March","given":"Wendy A."},{"family":"Moore","given":"Vivienne M."},{"family":"Willson","given":"Kristyn J."},{"family":"Phillips","given":"David I. W."},{"family":"Norman","given":"Robert J."},{"family":"Davies","given":"Michael J."}],"issued":{"date-parts":[["2010",2,1]]}},"label":"page"},{"id":715,"uris":["http://zotero.org/users/4133246/items/TSR6HRZG"],"uri":["http://zotero.org/users/4133246/items/TSR6HRZG"],"itemData":{"id":715,"type":"article-journal","title":"Prevalence of polycystic ovary syndrome in a sample of Indigenous women in Darwin, Australia","container-title":"Medical Journal of Australia","page":"62-66","volume":"196","issue":"1","source":"Scopus","archive":"Scopus","abstract":"Objective: To document the prevalence of polycystic ovary syndrome (PCOS) and its associated characteristics in a sample of urban Indigenous women. Design: A cross-sectional survey of Indigenous women, including biochemical and anthropometric assessments. PCOS was assessed using the National Institutes of Health 1990 criteria. Setting and participants: Indigenous women, aged 15-44 years, living in a defined area in and around Darwin, Northern Territory, Australia, September 2003 - March 2005. Main outcome measures: Proportion of participants with PCOS overall and measures of obesity. Results: Among 248 women eligible for assessment, the proportion who had PCOS was 15.3% (95% CI, 10.8%-19.8%). The proportion with PCOS was similar across age groups, but was significantly higher (P = 0.001) in women with a body mass index (BMI) of ≥30.0 kg/m 2 (30.5%) compared with women with a BMI of 25.0-29.9 kg/m 2 (8.2%) or a BMI of &amp;lt; 25.0 kg/m 2 (7.0%). Conclusions: A high proportion of these Indigenous women had PCOS. The significant relationship with obesity gives a strong rationale for screening for PCOS during routine care of Indigenous women who are obese and of reproductive age.","DOI":"10.5694/mja11.10553","author":[{"family":"Boyle","given":"J.A."},{"family":"Cunningham","given":"J."},{"family":"O'Dea","given":"K."},{"family":"Dunbar","given":"T."},{"family":"Norman","given":"R.J."}],"issued":{"date-parts":[["2012"]]}},"label":"page"},{"id":675,"uris":["http://zotero.org/users/4133246/items/T6QKG3TZ"],"uri":["http://zotero.org/users/4133246/items/T6QKG3TZ"],"itemData":{"id":675,"type":"article-journal","title":"Polycystic ovary syndrome in Salvador, Brazil: a prevalence study in primary healthcare","container-title":"Reproductive Biology and Endocrinology","page":"96","volume":"10","issue":"1","source":"rbej.biomedcentral.com","abstract":"Polycystic ovary syndrome (PCOS) is a common condition in women of reproductive age. It is characterized by hyperandrogenism, oligomenorrhea/amenorrhea and polycystic ovaries. It is associated with obesity, diabetes, dyslipidemia and cardiovascular disease. No studies have been conducted on the prevalence of PCOS in Brazilian or South American women. Few studies using the Rotterdam criteria have been published. The objective of the present study was to calculate the prevalence of PCOS at primary healthcare level in Salvador, Brazil based on these criteria. This was a cross-sectional, two-phase study conducted in a probability sample of women of 18–45 years of age screened for cervical cancer in the primary healthcare network of the city of Salvador, Brazil. In the first phase, interviews were conducted, weight, height, waist circumference, blood pressure and random blood sugar levels were measured, and the presence of acne and hirsutism was investigated. Women with at least one diagnostic criterion were referred for the second phase, which consisted of specialist consultation, pelvic ultrasonography and hormone measurements for differential diagnosis and/or investigation of a second criterion. Of the 859 women interviewed, 88.5% were black and 58.7% had 11 years of schooling or less. A diagnosis of PCOS was excluded in 84.4%, undetermined in 7.1% and confirmed in 8.5% (95%CI: 6.80–10.56). There were no statistically significant differences between these three groups with respect to weight, body mass index, waist circumference, blood sugar levels or arterial blood pressure. Women with PCOS were younger (p = 0.00), taller (p = 0.04), had fewer children (p = 0.00), were better educated (p = 0.01), and had higher total testosterone levels (p = 0.01) and a higher LH/FSH ratio (p = 0.01). According to the Rotterdam criteria, the prevalence of PCOS in women seeking primary healthcare in Salvador, Brazil, was 8.5%.","DOI":"10.1186/1477-7827-10-96","ISSN":"1477-7827","shortTitle":"Polycystic ovary syndrome in Salvador, Brazil","language":"En","author":[{"family":"Gabrielli","given":"Ligia"},{"family":"Aquino","given":"Estela ML"}],"issued":{"date-parts":[["2012",12]]}},"label":"page"},{"id":722,"uris":["http://zotero.org/users/4133246/items/NVMSRZR8"],"uri":["http://zotero.org/users/4133246/items/NVMSRZR8"],"itemData":{"id":722,"type":"article-journal","title":"Prevalence of polycystic ovary syndrome in unselected women from southern China","container-title":"European Journal of Obstetrics &amp; Gynecology and Reproductive Biology","page":"59-64","volume":"139","issue":"1","source":"ScienceDirect","abstract":"Objective\nThe objective was to determine the prevalence and metabolic parameters of polycystic ovary syndrome (PCOS) in southern China.\nStudy design\nThe study was observational with a parallel study. Participants were studied in a medical examination center. A population of 915 women of reproductive age was investigated at the time of their annual physical examination to determine the prevalence of PCOS in unselected women from southern China.\nResults\nOur results demonstrated a 2.2% (20/915) prevalence of PCOS. Women with PCOS had higher levels of luteinizing hormone and higher luteinizing hormone/follicle-stimulating hormone ratios than those in the other groups. Women with PCOS had higher fasting insulin levels and lower fasting glucose/fasting insulin ratios than women in any of the other groups.\nConclusions\nSome clinical and biochemical characteristics were apparent in PCOS patients in our population, and ethnic differences may be considered when studying the clinical and metabolic features of PCOS in China.","DOI":"10.1016/j.ejogrb.2007.12.018","ISSN":"0301-2115","journalAbbreviation":"European Journal of Obstetrics &amp; Gynecology and Reproductive Biology","author":[{"family":"Chen","given":"Xiaoli"},{"family":"Yang","given":"Dongzi"},{"family":"Mo","given":"Yaqin"},{"family":"Li","given":"Lin"},{"family":"Chen","given":"Yaxiao"},{"family":"Huang","given":"Yuhong"}],"issued":{"date-parts":[["2008",7,1]]}},"label":"page"},{"id":657,"uris":["http://zotero.org/users/4133246/items/QSCTVMGI"],"uri":["http://zotero.org/users/4133246/items/QSCTVMGI"],"itemData":{"id":657,"type":"article-journal","title":"Prevalence of the Polycystic Ovary Syndrome in Female Residents of Chengdu, China","container-title":"Gynecologic and Obstetric Investigation","page":"217-223","volume":"77","issue":"4","source":"www.karger.com","abstract":"&lt;b&gt;&lt;i&gt;Background:&lt;/i&gt;&lt;/b&gt; Polycystic ovary syndrome (PCOS) is one of the most common endocrine disorders in women. The data on this syndrome in a Chinese community are limited.","DOI":"10.1159/000358485","ISSN":"0378-7346, 1423-002X","note":"PMID: 24751759","journalAbbreviation":"GOI","language":"english","author":[{"family":"Zhuang","given":"Jing"},{"family":"Liu","given":"Ying"},{"family":"Xu","given":"Liangzhi"},{"family":"Liu","given":"Xiaofang"},{"family":"Zhou","given":"Lingling"},{"family":"Tang","given":"Liulin"},{"family":"Kang","given":"Deying"},{"family":"Guo","given":"Wenqi"},{"family":"He","given":"Min"},{"family":"Yang","given":"Fan"},{"family":"Qiu","given":"Dongsheng"}],"issued":{"date-parts":[["2014"]]}},"label":"page"},{"id":650,"uris":["http://zotero.org/users/4133246/items/9QQRGZ7U"],"uri":["http://zotero.org/users/4133246/items/9QQRGZ7U"],"itemData":{"id":650,"type":"article-journal","title":"The prevalence of metabolic disorders in various phenotypes of polycystic ovary syndrome: a community based study in Southwest of Iran","container-title":"Reproductive biology and endocrinology : RB&amp;E","page":"89","volume":"12","source":"Scopus","archive":"Scopus","abstract":"BACKGROUND: Polycystic ovary syndrome (PCOS) is a common endocrinopathy, associated with metabolic abnormalities. Metabolic features of various phenotypes of this syndrome are still debatable. The aim of present study hence was to evaluate the metabolic and hormonal features of PCOS phenotypes in comparison to a group of healthy control.\nMETHODS: A total of 646 reproductive-aged women were randomly selected using the stratified, multistage probability cluster sampling method. The subjects were divided into five phenotypes: A (oligo/anovulation + hyperandrogenism + polycystic ovaries), B (oligo/anovulation + hyperandrogenism), C (hyperandrogenism + polycystic ovaries) and D (oligo/anovulation + polycystic ovaries). Hormonal and metabolic profiles and the prevalence of metabolic syndrome among these groups were compared using ANCOVA adjusted for age and body mass index.\nRESULTS: Among women with PCOS (n = 85), those of groups A and C had higher serum levels of insulin and homeostatic model assessment for insulin resistance (HOMA-IR), compared to PCOS women of group D. Serum concentrations of cholesterol, low density lipoprotein, triglycerides and glucose in group A were higher than in other phenotypes, whereas the metabolic syndrome was more prevalent among group B.\nCONCLUSIONS: Women who had all three components of the syndrome showed the highest level of metabolic disturbances indicating that metabolic screening of the severest phenotype of PCOS may be necessary.","DOI":"10.1186/1477-7827-12-89","shortTitle":"The prevalence of metabolic disorders in various phenotypes of polycystic ovary syndrome","author":[{"family":"Tehrani","given":"F.R."},{"family":"Khomami","given":"M.B."},{"family":"Tohidi","given":"M."},{"family":"Azizi","given":"F."}],"issued":{"date-parts":[["2014"]]}},"label":"page"},{"id":641,"uris":["http://zotero.org/users/4133246/items/RW8UP5KM"],"uri":["http://zotero.org/users/4133246/items/RW8UP5KM"],"itemData":{"id":641,"type":"article-journal","title":"Prevalence of functional disorders of androgen excess in unselected premenopausal women: a study in blood donors","container-title":"Human Reproduction","page":"1209-1216","volume":"27","issue":"4","source":"academic.oup.com","abstract":"BACKGROUNDThe polycystic ovary syndrome (PCOS) is one of the most common endocrine disorders in women. On the contrary, the prevalences of other disorders of androgen excess such as idiopathic hyperandrogenism and idiopathic hirsutism remain unknown. We aimed to obtain an unbiased estimate of the prevalence in premenopausal women of (i) signs of androgen excess and (ii) PCOS, idiopathic hyperandrogenism and idiopathic hirsutism.METHODSA multicenter prevalence survey included 592 consecutive premenopausal women (393 from Madrid, Spain and 199 from Bologna, Italy) reporting spontaneously for blood donation. Immediately before donation, we conducted clinical and biochemical phenotyping for androgen excess disorders. We determined the prevalence of (i) hirsutism, acne and alopecia as clinical signs of androgen excess and (ii) functional disorders of androgen excess, including PCOS, defined by the National Institute of Child Health and Human Development/National Institute of Health criteria, idiopathic hyperandrogenism and idiopathic hirsutism.RESULTSRegarding clinical signs of hyperandrogenism, hirsutism and acne were equally frequent [12.2% prevalence; 95% confidence interval (CI): 9.5–14.8%], whereas alopecia was uncommon (1.7% prevalence, 95% CI: 0.7–2.7%). Regarding functional disorders of androgen excess, PCOS and idiopathic hirsutism were equally frequent (5.4% prevalence, 95% CI: 3.6–7.2) followed by idiopathic hyperandrogenism (3.9% prevalence, 95% CI: 2.3–5.4).CONCLUSIONSClinical signs of hyperandrogenism and functional disorders of androgen excess show a high prevalence in premenopausal women. The prevalences of idiopathic hyperandrogenism and idiopathic hirsutism are similar to that of PCOS, highlighting the need for further research on the pathophysiology, consequences for health and clinical implications of these functional forms of androgen excess.","DOI":"10.1093/humrep/des028","ISSN":"0268-1161","shortTitle":"Prevalence of functional disorders of androgen excess in unselected premenopausal women","journalAbbreviation":"Hum Reprod","language":"en","author":[{"family":"Sanchón","given":"Raúl"},{"family":"Gambineri","given":"Alessandra"},{"family":"Alpañés","given":"Macarena"},{"family":"Martínez-García","given":"M. Ángeles"},{"family":"Pasquali","given":"Renato"},{"family":"Escobar-Morreale","given":"Héctor F."}],"issued":{"date-parts":[["2012",4,1]]}},"label":"page"},{"id":645,"uris":["http://zotero.org/users/4133246/items/JJGE962F"],"uri":["http://zotero.org/users/4133246/items/JJGE962F"],"itemData":{"id":645,"type":"article-journal","title":"To what extent does the use of the Rotterdam criteria affect the prevalence of polycystic ovary syndrome? A community-based study from the Southwest of Iran","container-title":"European Journal of Obstetrics &amp; Gynecology and Reproductive Biology","page":"100-105","volume":"174","source":"ScienceDirect","abstract":"Objectives\nThere are limited data on the prevalence of polycystic ovary syndrome at the community level: heterogeneity in diagnostic criteria and lack of universal agreement on definitions of each criterion for population-based studies complicate comparability of the existing literature. This study aimed to assess the impact of using three principal definitions for polycystic ovary syndrome on its reported prevalence in a large community-based study conducted in the Southwest of Iran.\nStudy design\nA total of 646 reproductive-age women were randomly selected using the stratified, multistage probability cluster sampling method. The prevalence of polycystic ovary syndrome was estimated according to the National Institutes of Health, the Androgen Excess Society and the Rotterdam criteria, using universal assessment of ultrasonographic parameters, hormonal profiles and clinical histories.\nResults\nThe mean age of participants was 33.2 years and 36.9% of them were overweight. The estimated prevalence of polycystic ovary syndrome in this population based study was 14.1% using the Rotterdam criteria, 12% by the Androgen Excess Society criteria, and 4.8% according to the National Institutes of Health recommendation.\nConclusions\nUsing the Rotterdam versus the National Institutes of Health criteria increased the prevalence of polycystic ovary syndrome 2.9-fold. This indicates the need for more studies on the long-term consequences of the additional cases diagnosed using the Rotterdam criteria.","DOI":"10.1016/j.ejogrb.2013.12.018","ISSN":"0301-2115","shortTitle":"To what extent does the use of the Rotterdam criteria affect the prevalence of polycystic ovary syndrome?","journalAbbreviation":"European Journal of Obstetrics &amp; Gynecology and Reproductive Biology","author":[{"family":"Rashidi","given":"Homeira"},{"family":"Ramezani Tehrani","given":"Fahimeh"},{"family":"Bahri Khomami","given":"Mahnaz"},{"family":"Tohidi","given":"Maryam"},{"family":"Azizi","given":"Fereidoun"}],"issued":{"date-parts":[["2014",3,1]]}},"label":"page"},{"id":638,"uris":["http://zotero.org/users/4133246/items/N8N8KSR9"],"uri":["http://zotero.org/users/4133246/items/N8N8KSR9"],"itemData":{"id":638,"type":"article-journal","title":"Prevalence of Polycystic Ovary Syndrome and Related Disorders in Mexican Women","container-title":"Gynecologic and Obstetric Investigation","page":"274-280","volume":"69","issue":"4","source":"www.karger.com","abstract":"&lt;i&gt;Background/Aims:&lt;/i&gt; Polycystic ovary syndrome (PCOS) has been found to affect 4–8% of women of reproductive age; however, in Mexican-Americans a prevalence of 12.8% has been reported.","DOI":"10.1159/000277640","ISSN":"0378-7346, 1423-002X","note":"PMID: 20110726","journalAbbreviation":"GOI","language":"english","author":[{"family":"Moran","given":"Carlos"},{"family":"Tena","given":"Gilberto"},{"family":"Moran","given":"Segundo"},{"family":"Ruiz","given":"Paola"},{"family":"Reyna","given":"Rosario"},{"family":"Duque","given":"Ximena"}],"issued":{"date-parts":[["2010"]]}},"label":"page"},{"id":647,"uris":["http://zotero.org/users/4133246/items/PMT2R4HA"],"uri":["http://zotero.org/users/4133246/items/PMT2R4HA"],"itemData":{"id":647,"type":"article-journal","title":"The prevalence of polycystic ovary syndrome in Iranian women based on different diagnostic criteria","container-title":"Endokrynologia Polska","page":"238-242","volume":"62","issue":"3","source":"Scopus","archive":"Scopus","abstract":"Background: This study aimed to determine the prevalence of polycystic ovary syndrome (PCOS) in Iranian women based on different diagnostic criteria. Material and methods: This cross-sectional study was conducted in 2009 in Isfahan, Iran among females referred to the mandatory pre-marriage screening clinic. Menstrual irregularity was assessed as the presence of chronic amenorrhea or a menstrual cycle length of less than 21 days or more than 35 days, or more than four days of variation between cycles. Clinical hyperandrogenism was assessed as the self-reported degree of hirsutism using the modified Ferriman Gallwey (mF-G) scoring method based on a chart displaying degree of hair growth in nine regions. Those participants who reported menstrual irregularity and/or who had an mF-G score of ≥ 8 were invited for a clinical examination. Those who did not have these criteria were not further evaluated and were deemed not to have PCOS. Participants with abnormal findings underwent blood test and abdominal sonography of their ovaries. In those with hirsutism, serum was obtained on the 22 nd-24 th day of the cycle for the measurement of progesterone; free testosterone was measured in those with menstrual irregularity. Results: The estimated prevalence of PCOS was 7% based on the NIH criteria, 15.2% under the Rotterdam criteria, and 7.92% according to the AES criteria. Conclusion: The Rotterdam prevalence estimates were double those obtained with the NIH criteria. This study can be used for international comparisons because it was conducted on a representative sample of females using different criteria for the definition of PCOS.","author":[{"family":"Mehrabian","given":"F."},{"family":"Khani","given":"B."},{"family":"Kelishadi","given":"R."},{"family":"Ghanbari","given":"E."}],"issued":{"date-parts":[["2011"]]}},"label":"page"},{"id":661,"uris":["http://zotero.org/users/4133246/items/WXP9ACRT"],"uri":["http://zotero.org/users/4133246/items/WXP9ACRT"],"itemData":{"id":661,"type":"article-journal","title":"The prevalence of polycystic ovary syndrome in a normal population according to the Rotterdam criteria versus revised criteria including anti-Müllerian hormone","container-title":"Human Reproduction","page":"791-801","volume":"29","issue":"4","source":"academic.oup.com","abstract":"STUDY QUESTIONWhat is the prevalence in a normal population of polycystic ovary syndrome (PCOS) according to the Rotterdam criteria versus revised criteria including anti-Müllerian hormone (AMH)?SUMMARY ANSWERThe prevalence of PCOS was 16.6% according to the Rotterdam criteria. When replacing the criterion for polycystic ovaries by antral follicle count (AFC) &amp;gt; 19 or AMH &amp;gt; 35 pmol/l, the prevalence of PCOS was 6.3 and 8.5%, respectively.WHAT IS KNOWN ALREADY?The Rotterdam criteria state that two out of the following three criteria should be present in the diagnosis of PCOS: oligo-anovulation, clinical and/or biochemical hyperandrogenism and polycystic ovaries (AFC ≥ 12 and/or ovarian volume &amp;gt;10 ml). However, with the advances in sonography, the relevance of the AFC threshold in the definition of polycystic ovaries has been challenged, and AMH has been proposed as a marker of polycystic ovaries in PCOS.STUDY DESIGN, SIZE, DURATIONFrom 2008 to 2010, a prospective, cross-sectional study was performed including 863 women aged 20–40 years and employed at Copenhagen University Hospital, Rigshospitalet, Denmark.PARTICIPANTS/MATERIAL, SETTING, METHODSWe studied a subgroup of 447 women with a mean (±SD) age of 33.5 (±4.0) years who were all non-users of hormonal contraception. Data on menstrual cycle disorder and the presence of hirsutism were obtained. On cycle Days 2–5, or on a random day in the case of oligo- or amenorrhoea, sonographic and endocrine parameters were measured.MAIN RESULTS AND THE ROLE OF CHANCEThe prevalence of PCOS was 16.6% according to the Rotterdam criteria. PCOS prevalence significantly decreased with age from 33.3% in women &amp;lt; 30 years to 14.7% in women aged 30–34 years, and 10.2% in women ≥ 35 years (P &amp;lt; 0.001). In total, 53.5% fulfilled the criterion for polycystic ovaries with a significant age-related decrease from 69.0% in women &amp;lt; 30 years to 55.8% in women aged 30–34 years, and 42.8% in women ≥ 35 years (P &amp;lt; 0.001). AMH or age-adjusted AMH Z-score was found to be a reliable marker of polycystic ovaries in women with PCOS according to the Rotterdam criteria [area under the curve (AUC) 0.994; 95% confidence interval (CI): 0.990–0.999] and AUC 0.992 (95% CI: 0.987–0.998), respectively], and an AMH cut-off value of 18 pmol/l and AMH Z-score of −0.2 showed the best compromise between sensitivity (91.8 and 90.4%, respectively) and specificity (98.1 and 97.9%, respectively). In total, AFC &amp;gt; 19 or AMH &amp;gt; 35 occurred in 17.7 and 23.0%, respectively. The occurrence of AFC &amp;gt; 19 or AMH &amp;gt; 35 in the age groups &amp;lt; 30, 30–34 and ≥ 35 years was 31.0 and 35.7%, 18.8 and 21.3%, and 9.6 and 18.7%, respectively. When replacing the Rotterdam criterion for polycystic ovaries by AFC &amp;gt; 19 or AMH &amp;gt; 35 pmol/l, the prevalence of PCOS was 6.3 or 8.5%, respectively, and in the age groups &amp;lt; 30, 30–34 and ≥ 35 years, the prevalences were 17.9 and 22.6%, 3.6 and 5.6%, and 3.6 and 4.8%, respectively.LIMITATIONS, REASON FOR CAUTIONThe participants of the study were all health-care workers, which may be a source of selection bias. Furthermore, the exclusion of hormonal contraceptive users from the study population may have biased the results, potentially excluding women with symptoms of PCOS.WIDER IMPLICATIONS OF THE FINDINGSAMH may be used as a marker of polycystic ovaries in PCOS. However, future studies are needed to validate AMH threshold levels, and AMH Z-score may be appropriate to adjust for the age-related decline in the AFC.STUDY FUNDING/COMPETING INTEREST(S)None.TRIAL REGISTRATION NUMBERNot applicable.","DOI":"10.1093/humrep/det469","ISSN":"0268-1161","journalAbbreviation":"Hum Reprod","language":"en","author":[{"family":"Lauritsen","given":"M. P."},{"family":"Bentzen","given":"J. G."},{"family":"Pinborg","given":"A."},{"family":"Loft","given":"A."},{"family":"Forman","given":"J. L."},{"family":"Thuesen","given":"L. L."},{"family":"Cohen","given":"A."},{"family":"Hougaard","given":"D. M."},{"family":"Nyboe Andersen","given":"A."}],"issued":{"date-parts":[["2014",4,1]]}},"label":"page"},{"id":635,"uris":["http://zotero.org/users/4133246/items/KRJAC3ZQ"],"uri":["http://zotero.org/users/4133246/items/KRJAC3ZQ"],"itemData":{"id":635,"type":"article-journal","title":"A Simple Screening Approach for Assessing Community Prevalence and Phenotype of Polycystic Ovary Syndrome in a Semiurban Population in Sri Lanka","container-title":"American Journal of Epidemiology","page":"321-328","volume":"168","issue":"3","source":"academic.oup.com","abstract":"In most of South Asia, prevalences and phenotypes of polycystic ovary syndrome (PCOS) among women in the community are unknown. The authors aimed to estimate prevalence and phenotype in a community setting in Sri Lanka and to test a valid, feasible screening approach to early diagnosis. A community-based, cross-sectional study was carried out in 2005–2006. A random sample of 3,030 women aged 15–39 years was selected by cluster sampling proportionate to population size. An interviewer-administered questionnaire was utilized to screen for “probable cases” of PCOS based on menstrual history and clinical manifestations of hyperandrogenism. Selected “probable cases” underwent clinical, biochemical, and ovarian ultrasound assessment. The response rate was 96.2% (n = 2,915). A total of 220 (7.5%) “probable cases” were identified: 209 women with oligo/amenorrhea (95%) and 11 women with hirsutism (5%). Further evaluation of the 220 probable cases confirmed 164 newly diagnosed cases of PCOS based on the 2003 Rotterdam diagnostic criteria. With 19 previously diagnosed cases already present, total prevalence was 6.3% (95% confidence interval: 5.9, 6.8). Of the women with “oligo/amenorrhea and/or hirsutism,” 91.1% were confirmed to have PCOS; 99.4% of women with “regular cycles in the absence of clinical hyperandrogenism” were confirmed as normal. The most common phenotypes of PCOS were oligo/amenorrhea and polycystic ovaries (91.4%) and oligo/amenorrhea and hirsutism (48.3%).","DOI":"10.1093/aje/kwn137","ISSN":"0002-9262","journalAbbreviation":"Am J Epidemiol","language":"en","author":[{"family":"Kumarapeli","given":"V."},{"family":"Seneviratne","given":"R. de A."},{"family":"Wijeyaratne","given":"C. N."},{"family":"Yapa","given":"R. M. S. C."},{"family":"Dodampahala","given":"S. H."}],"issued":{"date-parts":[["2008",8,1]]}},"label":"page"},{"id":633,"uris":["http://zotero.org/users/4133246/items/39TE7ZRS"],"uri":["http://zotero.org/users/4133246/items/39TE7ZRS"],"itemData":{"id":633,"type":"article-journal","title":"Polycystic ovary syndrome in Mexican-Americans: prevalence and association with the severity of insulin resistance","container-title":"Fertility and Sterility","page":"766-769","volume":"84","issue":"3","source":"ScienceDirect","abstract":"In this study, the prevalence of PCOS in Mexican-Americans, derived by self-report of symptoms, was 13%, which is twice the prevalence reported in other populations. Hyperinsulinemic euglycemic clamp studies showed greater insulin resistance in the women with PCOS.","DOI":"10.1016/j.fertnstert.2005.03.051","ISSN":"0015-0282","shortTitle":"Polycystic ovary syndrome in Mexican-Americans","journalAbbreviation":"Fertility and Sterility","author":[{"family":"Goodarzi","given":"Mark O."},{"family":"Quiñones","given":"Manuel J."},{"family":"Azziz","given":"Ricardo"},{"family":"Rotter","given":"Jerome I."},{"family":"Hsueh","given":"Willa A."},{"family":"Yang","given":"Huiying"}],"issued":{"date-parts":[["2005",9,1]]}},"label":"page"},{"id":729,"uris":["http://zotero.org/users/4133246/items/V8DA6XDH"],"uri":["http://zotero.org/users/4133246/items/V8DA6XDH"],"itemData":{"id":729,"type":"article-journal","title":"Polycystic ovaries and associated clinical and biochemical features in young women","container-title":"Clinical Endocrinology","page":"779-786","volume":"51","issue":"6","source":"PubMed","abstract":"OBJECTIVE: To determine the prevalence of polycystic ovaries as identified by ultrasound in a group of young, postmenarcheal women in the normal population, and to investigate how polycystic ovaries are related to the spectrum of clinical and biochemical symptoms associated with the polycystic ovary syndrome (PCOS).\nDESIGN: Cross-sectional observational study.\nSUBJECTS AND METHODS: Volunteers were recruited from two universities and two general practice surgeries in Oxford. 230 women aged 18-25 years participated. Information collected and measurements performed included: a menstrual history, anthropometric measurements, clinical observation of acne and hirsutism, transabdominal pelvic ultrasound, and biochemical analysis of a fasting blood sample.\nMAIN OUTCOME MEASURES: Prevalence of polycystic ovaries and their association with symptoms of the polycystic ovary syndrome.\nRESULTS: Polycystic ovarian morphology was identified in 74 (33%, 95% CI = 27-39%) of the 224 women who attended for an ultrasound scan. In the non-users of hormonal contraception, irregular menstrual cycles were 20% more common in women with polycystic ovaries than in women with normal ovaries (P = 0.07). There were no significant differences in acne, hirsutism, body mass index or body fat percentage between women with polycystic and normal ovaries. Analysis of biochemical data showed that women with polycystic ovaries had higher total serum testosterone concentrations (P = 0.03). The prevalence of PCOS in this age group was as low as 8% or as high as 26% depending on which criteria were applied to define the syndrome. Sub-group analyses of women according to ovarian morphology and features of PCOS revealed greater mean BMI in women with PCOS, and also indicated lower fasting insulin concentrations and greater insulin sensitivity in polycystic ovary and PCOS groups when compared to women with normal ovaries.\nCONCLUSIONS: Polycystic ovaries are very common in this age group but are not necessarily associated with other symptomatology. The prevalence of polycystic ovary syndrome varies widely according to the definition applied. Sub-group analysis of women with polycystic ovaries according to the presence or absence of features of polycystic ovary syndrome does not reveal an increasing trend for progression of endocrine abnormalities usually associated with polycystic ovary syndrome.","ISSN":"0300-0664","note":"PMID: 10619984","journalAbbreviation":"Clin. Endocrinol. (Oxf)","language":"eng","author":[{"family":"Michelmore","given":"K. F."},{"family":"Balen","given":"A. H."},{"family":"Dunger","given":"D. B."},{"family":"Vessey","given":"M. P."}],"issued":{"date-parts":[["1999",12]]}},"label":"page"},{"id":667,"uris":["http://zotero.org/users/4133246/items/8GSHIUTX"],"uri":["http://zotero.org/users/4133246/items/8GSHIUTX"],"itemData":{"id":667,"type":"article-journal","title":"Characteristics of abnormal menstrual cycle and polycystic ovary syndrome in community and hospital populations","container-title":"Chinese Medical Journal","page":"2185-2189","volume":"123","issue":"16","source":"Scopus","archive":"Scopus","abstract":"Background: Polycystic ovary syndrome (PCOS) is considered to be the most common endocrine disorder in women of reproductive age. The involvement of an abnormal menstrual cycle in the etiology of PCOS remains unclear. We aimed to analyze the characteristics of abnormal menstrual cycles and their association with PCOS in community and hospital patient populations. Methods: Women with PCOS identified from 2111 permanent female residents in the community of Beijing and 506 outpatients obtained from the reproductive clinic of Peking University Third Hospital were recruited for this study, comprising the PCOS community group and the PCOS hospital group, respectively. Each group was further divided into four subgroups according to the length of menstrual cycles: &lt;21 days; 21-34 days; 35-60 days; and &gt;60 days. Women in each group were interviewed using a questionnaire to assess factors including age, age of menarche, menstrual cycle history, related family history, and modified Ferriman-Gallwey (mF-G) score. All women received transvaginal ultrasound scan and had fasting blood samples taken for endocrine evaluation. A two-tailed P value of &lt;0.05 was considered significant. Results: In the community population, the prevalence of abnormal menstrual cycle was 27.19% (574/2111). The prevalence of PCOS in the community was 6.11% (129/2111) according to Rotterdam criteria. In the community group, the most common menstrual cycle length was 35-60 days, whereas for the hospital group, it was &gt;60 days. In both the community and hospital groups, the most common phenotype of PCOS was that of Oligo/amenorrhea+PCO+ hyperandrogenism (HA) (O+P+H) (P=0.000). With increasing cycle length of 35-60 days to &gt;60 days, the percentages of Oligo/amenorrhea+PCO (O+P) and O+P+H were found to significantly decrease in the community group and significantly increase in the hospital group (P=0.000 for each). In the hospital group, as the menstrual cycle length increased from 35-60 days to &gt;60 days, the rate of spontaneous abortion increased significantly (P=0.000), meanwhile the rate of poorly-secreted endometrium and abnormal endometrial hyperplasia increased significantly (P=0.000). Conclusions: The prevalence of PCOS in the Beijing community of women was 6.11%. Oligo/amenorrhea was the most common type of abnormal menstrual cycle and may be an indicator for PCOS and endometrial lesions. Gynecologists should seek relevant medical information from women in the community to promptly diagnose PCOS and then follow up patients for potential development of subsequent complications.","DOI":"10.3760/cma.j.issn.0366-6999.2010.16.005","author":[{"family":"Ma","given":"Y.-M."},{"family":"Li","given":"R."},{"family":"Qiao","given":"J."},{"family":"Zhang","given":"X.-W."},{"family":"Wang","given":"S.-Y."},{"family":"Zhang","given":"Q.-F."},{"family":"Li","given":"L."},{"family":"Tu","given":"B.-B."},{"family":"Zhang","given":"X."}],"issued":{"date-parts":[["2010"]]}},"label":"page"},{"id":625,"uris":["http://zotero.org/users/4133246/items/GAPKWM4C"],"uri":["http://zotero.org/users/4133246/items/GAPKWM4C"],"itemData":{"id":625,"type":"article-journal","title":"Characteristics of different phenotypes of polycystic ovary syndrome based on the Rotterdam criteria in a large-scale Chinese population","container-title":"BJOG: an international journal of obstetrics and gynaecology","page":"1633-1639","volume":"116","issue":"12","source":"PubMed","abstract":"OBJECTIVE: To analyse the phenotypic spectrum of polycystic ovary syndrome (PCOS) and determine the association between metabolic, hormonal and new ultrasonographic criteria.\nDESIGN: Clinical cross-sectional study.\nSETTING: University teaching hospital.\nPOPULATION: A total of 804 Chinese women, among whom 719 cases were diagnosed as PCOS based on the 2003 Rotterdam criteria. Eighty-five women with regular menstrual cycles and without hyperandrogenism were recruited as controls.\nMETHODS: PCOS patients were divided into four subgroups: (i) oligo- and/or anovulation (O), hyperandrogenism (H), and polycystic ovary morphology (P); (ii) O + H; (iii) H + P; and (iv) O + P.\nMAIN OUTCOME MEASUREMENTS: Clinical history, ultrasonographic (ovarian follicle number and volume), hormonal and metabolic parameters.\nRESULTS: The composition of the two new phenotypes created by the European Society for Human Reproduction and Embryology/The American Society for Reproductive Medicine (ESHRE/ASRM) 2003 was 65.6% (O + P and H + P). BMI and F-G scores were highest in the O + H + P group and lowest in O + P and controls. Serum testosterone concentrations and insulin resistance were highest in cases with O + H + P and O + H, intermediate in cases with H + P, and lowest in cases with O + P and controls. The prevalence of metabolic syndrome in the five groups was 28.5% (O + H + P), 25.5% (O + H), 8.3% (H + P), 7.2% (O + P) and 3.5% (controls), respectively.\nCONCLUSIONS: Nonclassic phenotypes for PCOS (O + P, H + P and O + H + P) were more frequent than the classic phenotype (O + H). The nonhyperandrogenic PCOS phenotype (O + P), one of the new phenotypes created by the Rotterdam criteria, may represent a form of PCOS associated with milder metabolic profile compared with the other phenotypes.","DOI":"10.1111/j.1471-0528.2009.02347.x","ISSN":"1471-0528","note":"PMID: 19781047","journalAbbreviation":"BJOG","language":"eng","author":[{"family":"Zhang","given":"H. Y."},{"family":"Zhu","given":"F. F."},{"family":"Xiong","given":"J."},{"family":"Shi","given":"X. B."},{"family":"Fu","given":"S. X."}],"issued":{"date-parts":[["2009",11]]}},"label":"page"},{"id":724,"uris":["http://zotero.org/users/4133246/items/2SUQ2JF9"],"uri":["http://zotero.org/users/4133246/items/2SUQ2JF9"],"itemData":{"id":724,"type":"article-journal","title":"A prospective study of the prevalence of the polycystic ovary syndrome in unselected Caucasian women from Spain","container-title":"Journal of Clinical Endocrinology and Metabolism","page":"2434-2438","volume":"85","issue":"7","source":"Scopus","archive":"Scopus","abstract":"We prospectively estimated the prevalence of the polycystic ovary syndrome (PCOS), as defined by the NIH/NICHHD 1990 endocrine criteria, in a population of 154 Caucasian women of reproductive age reporting spontaneously for blood donation. Anthropometric data; the presence of hirsutism, acne, and androgenic alopecia; and the menstrual history were recorded by a single investigator. In 145 women, blood samples were also obtained for measurement of serum androgen levels. PCOS was defined by the presence of 1) oligomenorrhea, 2) clinical and/or biochemical hyperandrogenism, and 3) exclusion of hyperprolactinemia, thyroid disorders, and nonclassic 21-hydroxylase deficiency. Hirsutism was defined by a modified Ferriman-Gallwey score of 8 or more, acne was considered as a sign of hyperandrogenism when persistent after the second decade of life, and hyperandrogenemia was defined by an increase in circulating testosterone or dehydroepiandrosterone sulfate or an increase in the free androgen index above the 95th percentile of the control values derived from the nonhirsute, nonacneic women having regular menses who were not receiving hormonal therapy. PCOS was present in 10 (6.5%), hirsutism was present in 11 (7.1%), and acne was present in 19 (12.3%) of the 154 women. Our results demonstrate a 6.5% prevalence of PCOS, as defined, in a minimally biased population of Caucasian women from Spain. The polycystic ovary syndrome, hirsutism, and acne are common endocrine disorders in women.","DOI":"10.1210/jc.85.7.2434","author":[{"family":"Asunción","given":"M."},{"family":"Calvo","given":"R.M."},{"family":"San","given":"Millá N"},{"family":"Sancho","given":"J."},{"family":"Avila","given":"S."},{"family":"Escobar-Morreale","given":"H.F."}],"issued":{"date-parts":[["2000"]]}},"label":"page"}],"schema":"https://github.com/citation-style-language/schema/raw/master/csl-citation.json"}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2,3,1</w:t>
      </w:r>
      <w:r w:rsidR="0029199D" w:rsidRPr="008C51C9">
        <w:rPr>
          <w:rFonts w:ascii="Times New Roman" w:hAnsi="Times New Roman" w:cs="Times New Roman"/>
          <w:sz w:val="24"/>
          <w:szCs w:val="24"/>
          <w:vertAlign w:val="superscript"/>
        </w:rPr>
        <w:t>1</w:t>
      </w:r>
      <w:r w:rsidRPr="008C51C9">
        <w:rPr>
          <w:rFonts w:ascii="Times New Roman" w:hAnsi="Times New Roman" w:cs="Times New Roman"/>
          <w:sz w:val="24"/>
          <w:szCs w:val="24"/>
          <w:vertAlign w:val="superscript"/>
        </w:rPr>
        <w:t>–</w:t>
      </w:r>
      <w:r w:rsidR="0029199D" w:rsidRPr="008C51C9">
        <w:rPr>
          <w:rFonts w:ascii="Times New Roman" w:hAnsi="Times New Roman" w:cs="Times New Roman"/>
          <w:sz w:val="24"/>
          <w:szCs w:val="24"/>
          <w:vertAlign w:val="superscript"/>
        </w:rPr>
        <w:t>1</w:t>
      </w:r>
      <w:r w:rsidR="00F362D3" w:rsidRPr="008C51C9">
        <w:rPr>
          <w:rFonts w:ascii="Times New Roman" w:hAnsi="Times New Roman" w:cs="Times New Roman"/>
          <w:sz w:val="24"/>
          <w:szCs w:val="24"/>
          <w:vertAlign w:val="superscript"/>
        </w:rPr>
        <w:t>7</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prevalence of PCOS in adult women worldwide ranges from 4% to 21%; the prevalence rate varied depending on the study population</w:t>
      </w:r>
      <w:r w:rsidR="001B6345" w:rsidRPr="008C51C9">
        <w:rPr>
          <w:rFonts w:ascii="Times New Roman" w:hAnsi="Times New Roman" w:cs="Times New Roman"/>
          <w:sz w:val="24"/>
          <w:szCs w:val="24"/>
        </w:rPr>
        <w:t xml:space="preserve"> and</w:t>
      </w:r>
      <w:r w:rsidRPr="008C51C9">
        <w:rPr>
          <w:rFonts w:ascii="Times New Roman" w:hAnsi="Times New Roman" w:cs="Times New Roman"/>
          <w:sz w:val="24"/>
          <w:szCs w:val="24"/>
        </w:rPr>
        <w:t xml:space="preserve"> diagnostic criteria used.</w:t>
      </w:r>
    </w:p>
    <w:p w14:paraId="47955DC9" w14:textId="77777777" w:rsidR="00DB5128" w:rsidRPr="008C51C9" w:rsidRDefault="00DB5128" w:rsidP="00E45B54">
      <w:pPr>
        <w:jc w:val="both"/>
        <w:rPr>
          <w:rFonts w:ascii="Times New Roman" w:hAnsi="Times New Roman" w:cs="Times New Roman"/>
          <w:sz w:val="24"/>
          <w:szCs w:val="24"/>
        </w:rPr>
      </w:pPr>
      <w:r w:rsidRPr="008C51C9">
        <w:rPr>
          <w:rFonts w:ascii="Times New Roman" w:hAnsi="Times New Roman" w:cs="Times New Roman"/>
          <w:sz w:val="24"/>
          <w:szCs w:val="24"/>
        </w:rPr>
        <w:t xml:space="preserve">The economic burden of PCOS is significantly huge. Around 4 billion dollars are spent annually in the United States whereas </w:t>
      </w:r>
      <w:r w:rsidR="00DA2FAD" w:rsidRPr="008C51C9">
        <w:rPr>
          <w:rFonts w:ascii="Times New Roman" w:hAnsi="Times New Roman" w:cs="Times New Roman"/>
          <w:sz w:val="24"/>
          <w:szCs w:val="24"/>
        </w:rPr>
        <w:t>t</w:t>
      </w:r>
      <w:r w:rsidRPr="008C51C9">
        <w:rPr>
          <w:rFonts w:ascii="Times New Roman" w:hAnsi="Times New Roman" w:cs="Times New Roman"/>
          <w:sz w:val="24"/>
          <w:szCs w:val="24"/>
        </w:rPr>
        <w:t xml:space="preserve">he Australian </w:t>
      </w:r>
      <w:r w:rsidR="00640B9F" w:rsidRPr="008C51C9">
        <w:rPr>
          <w:rFonts w:ascii="Times New Roman" w:hAnsi="Times New Roman" w:cs="Times New Roman"/>
          <w:sz w:val="24"/>
          <w:szCs w:val="24"/>
        </w:rPr>
        <w:t>h</w:t>
      </w:r>
      <w:r w:rsidRPr="008C51C9">
        <w:rPr>
          <w:rFonts w:ascii="Times New Roman" w:hAnsi="Times New Roman" w:cs="Times New Roman"/>
          <w:sz w:val="24"/>
          <w:szCs w:val="24"/>
        </w:rPr>
        <w:t xml:space="preserve">ealth </w:t>
      </w:r>
      <w:r w:rsidR="00640B9F" w:rsidRPr="008C51C9">
        <w:rPr>
          <w:rFonts w:ascii="Times New Roman" w:hAnsi="Times New Roman" w:cs="Times New Roman"/>
          <w:sz w:val="24"/>
          <w:szCs w:val="24"/>
        </w:rPr>
        <w:t>s</w:t>
      </w:r>
      <w:r w:rsidRPr="008C51C9">
        <w:rPr>
          <w:rFonts w:ascii="Times New Roman" w:hAnsi="Times New Roman" w:cs="Times New Roman"/>
          <w:sz w:val="24"/>
          <w:szCs w:val="24"/>
        </w:rPr>
        <w:t>ystem spends more than 800 million dollars every year to screen for the disease and treat its various morbidities, including hirsutism</w:t>
      </w:r>
      <w:r w:rsidR="009551E4" w:rsidRPr="008C51C9">
        <w:rPr>
          <w:rFonts w:ascii="Times New Roman" w:hAnsi="Times New Roman" w:cs="Times New Roman"/>
          <w:sz w:val="24"/>
          <w:szCs w:val="24"/>
        </w:rPr>
        <w:t xml:space="preserve"> (means abnormal growth of hair on a woman’s face and body)</w:t>
      </w:r>
      <w:r w:rsidRPr="008C51C9">
        <w:rPr>
          <w:rFonts w:ascii="Times New Roman" w:hAnsi="Times New Roman" w:cs="Times New Roman"/>
          <w:sz w:val="24"/>
          <w:szCs w:val="24"/>
        </w:rPr>
        <w:t>, infertility, and diabetes mellitus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{"citationID":"Uyvy8Qk3","properties":{"formattedCitation":"{\\rtf \\super 33\\nosupersub{}}","plainCitation":"33"},"citationItems":[{"id":479,"uris":["http://zotero.org/users/4133246/items/7E4VKB9C"],"uri":["http://zotero.org/users/4133246/items/7E4VKB9C"],"itemData":{"id":479,"type":"article-journal","title":"Health care-related economic burden of the polycystic ovary syndrome during the reproductive life span","container-title":"The Journal of Clinical Endocrinology and Metabolism","page":"4650-4658","volume":"90","issue":"8","source":"PubMed","abstract":"CONTEXT: The polycystic ovary syndrome (PCOS) is the most common endocrine abnormality of reproductive-aged women today, affecting approximately 6.6% of unselected reproductive-aged women (approximately 4 million women in the United States) (1990 National Institutes of Health criteria), and potentially represents a significant financial burden to our health care.\nOBJECTIVE: The objective of the study was to define, using current definitions and prevalence or incidence data, the minimal economic burden that PCOS in reproductive-aged women represents for the United States.\nDESIGN: The study design was a literature review.\nSETTING: The study was conducted at a tertiary care center.\nPATIENTS OR OTHER PARTICIPANTS: There were no patients or other participants.\nINTERVENTION(S): We performed a systematic review of the published medical literature to identify studies evaluating epidemiology of reproductive-age PCOS and its clinical consequences and costs. We tied general societal cost data for the different health consequences to reproductive-age PCOS costs, using prevalence data.\nMAIN OUTCOME MEASURE(S): The main measure in the study was total health care-related economic costs.\nRESULTS: We estimated the mean annual cost of the initial evaluation to be dollar 93 million (2.1% of total costs), that of hormonally treating menstrual dysfunction/abnormal uterine bleeding to be dollar 1.35 billion (31.0% of total), that of providing infertility care to be dollar 533 million (12.2% of total), that of PCOS-associated diabetes to be dollar 1.77 billion (40.5% of total), and that of treating hirsutism to be dollar 622 million (14.2% of total).\nCONCLUSIONS: The total cost of evaluating and providing care to reproductive-aged PCOS women in the United States is dollar 4.36 billion. Because the cost of the diagnostic evaluation accounted for a relatively minor part of the total costs (approximately 2%), more widespread and liberal screening for the disorder appears be a cost-effective strategy, leading to earlier diagnosis and intervention and possibly the amelioration and prevention of serious sequelae.","DOI":"10.1210/jc.2005-0628","ISSN":"0021-972X","note":"PMID: 15944216","journalAbbreviation":"J. Clin. Endocrinol. Metab.","language":"eng","author":[{"family":"Azziz","given":"Ricardo"},{"family":"Marin","given":"Catherine"},{"family":"Hoq","given":"Lalima"},{"family":"Badamgarav","given":"Enkhe"},{"family":"Song","given":"Paul"}],"issued":{"date-parts":[["2005",8]]}}}],"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18</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w:t>
      </w:r>
      <w:r w:rsidR="007D7481" w:rsidRPr="008C51C9">
        <w:rPr>
          <w:rFonts w:ascii="Times New Roman" w:hAnsi="Times New Roman" w:cs="Times New Roman"/>
          <w:sz w:val="24"/>
          <w:szCs w:val="24"/>
        </w:rPr>
        <w:t>Pati</w:t>
      </w:r>
      <w:r w:rsidR="001B6345" w:rsidRPr="008C51C9">
        <w:rPr>
          <w:rFonts w:ascii="Times New Roman" w:hAnsi="Times New Roman" w:cs="Times New Roman"/>
          <w:sz w:val="24"/>
          <w:szCs w:val="24"/>
        </w:rPr>
        <w:t>ents</w:t>
      </w:r>
      <w:r w:rsidRPr="008C51C9">
        <w:rPr>
          <w:rFonts w:ascii="Times New Roman" w:hAnsi="Times New Roman" w:cs="Times New Roman"/>
          <w:sz w:val="24"/>
          <w:szCs w:val="24"/>
        </w:rPr>
        <w:t xml:space="preserve"> with PCOS are twice more likely to be admitted to hospital</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{"citationID":"V8jjX08t","properties":{"formattedCitation":"{\\rtf \\super 34\\nosupersub{}}","plainCitation":"34"},"citationItems":[{"id":481,"uris":["http://zotero.org/users/4133246/items/PRQ7SXA5"],"uri":["http://zotero.org/users/4133246/items/PRQ7SXA5"],"itemData":{"id":481,"type":"article-journal","title":"The potential implications of a PCOS diagnosis on a woman's long-term health using data linkage","container-title":"The Journal of Clinical Endocrinology and Metabolism","page":"911-919","volume":"100","issue":"3","source":"PubMed","abstract":"CONTEXT: The polycystic ovary syndrome (PCOS) is the commonest endocrine abnormality in women of reproductive age.\nOBJECTIVE: To determine the rate of hospital admissions for women with PCOS in Western Australian population in comparison to women without PCOS.\nDESIGN: A population-based retrospective cohort study using data linkage in a statewide hospital morbidity database system.\nSETTING: All hospitals within Western Australia.\nPARTICIPANTS: A total of 2566 women with PCOS hospitalized from 1997-2011 and 25 660 randomly selected age-matched women without a PCOS diagnosis derived from the electoral roll.\nMAIN OUTCOME MEASURES: Hospitalizations by ICD-10-M diagnoses from 15 years were compared.\nRESULTS: Hospitalizations were followed until a median age of 35.8 years (interquartile range, 31.0-39.9). PCOS was associated with more nonobstetric and non-injury-related hospital admissions (median, 5 vs 2; P &lt; .001), a diagnosis of adult-onset diabetes (12.5 vs 3.8%), obesity (16.0 vs 3.7%), hypertensive disorder (3.8 vs 0.7%), ischemic heart disease (0.8 vs 0.2%), cerebrovascular disease (0.6 vs 0.2%), arterial and venous disease (0.5 vs 0.2% and 10.4 vs 5.6%, respectively), asthma (10.6 vs 4.5%), stress/anxiety (14.0 vs 5.9%), depression (9.8 vs 4.3%), licit/illicit drug-related admissions (8.8 vs 4.5%), self-harm (7.2 vs 2.9%), land transport accidents (5.2 vs 3.8%), and mortality (0.7 vs 0.4%) (all P &lt; .001). Women with PCOS had a higher rate of admissions for menorrhagia (14.1 vs 3.6%), treatment of infertility (40.9 vs 4.6%), and miscarriage (11.1 vs 6.1%) and were more likely to require in vitro fertilization (17.2 vs 2.0%).\nCONCLUSION: PCOS has profound medical implications for the health of women, and health care resources should be directed accordingly.","DOI":"10.1210/jc.2014-3886","ISSN":"1945-7197","note":"PMID: 25532045","journalAbbreviation":"J. Clin. Endocrinol. Metab.","language":"eng","author":[{"family":"Hart","given":"Roger"},{"family":"Doherty","given":"Dorota A."}],"issued":{"date-parts":[["2015",3]]}}}],"schema":"https://github.com/citation-style-language/schema/raw/master/csl-citation.json"}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19</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w:t>
      </w:r>
    </w:p>
    <w:p w14:paraId="483BC65B" w14:textId="77777777" w:rsidR="00DB5128" w:rsidRPr="008C51C9" w:rsidRDefault="00DB5128" w:rsidP="00E45B54">
      <w:pPr>
        <w:jc w:val="both"/>
        <w:rPr>
          <w:rFonts w:ascii="Times New Roman" w:hAnsi="Times New Roman" w:cs="Times New Roman"/>
          <w:sz w:val="24"/>
          <w:szCs w:val="24"/>
        </w:rPr>
      </w:pPr>
      <w:r w:rsidRPr="008C51C9">
        <w:rPr>
          <w:rFonts w:ascii="Times New Roman" w:hAnsi="Times New Roman" w:cs="Times New Roman"/>
          <w:sz w:val="24"/>
          <w:szCs w:val="24"/>
        </w:rPr>
        <w:t>Although the aetiology of PCOS is not completely understood yet, PCOS is considered a multifactorial disorder influenced by various genetic, metabolic, endocrine and environmental factors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{"citationID":"rn5wtyJx","properties":{"formattedCitation":"{\\rtf \\super 35,36\\nosupersub{}}","plainCitation":"35,36"},"citationItems":[{"id":752,"uris":["http://zotero.org/users/4133246/items/AB9XEBDU"],"uri":["http://zotero.org/users/4133246/items/AB9XEBDU"],"itemData":{"id":752,"type":"article-journal","title":"Development of polycystic ovary syndrome: involvement of genetic and environmental factors","container-title":"International Journal of Andrology","page":"278-285; discussion 286-290","volume":"29","issue":"1","source":"PubMed","abstract":"We have recently proposed that polycystic ovary syndrome (PCOS) has its origin in fetal life. This hypothesis is based on data from animal models (rhesus monkey or sheep that have been exposed prenatally to high doses of androgen) and is supported by clinical studies. It is suggested that, in human females, exposure to excess androgen, at any stage from fetal development of the ovary to the onset of puberty, leads to many of the characteristic features of PCOS, including abnormalities of luteinizing hormone secretion and insulin resistance. It is likely that, in humans with PCOS, the development of the PCOS phenotype results primarily from a genetic predisposition for the fetal ovary to hypersecrete androgen. At present, it is unclear whether the maternal environment directly influences the development of PCOS in the offspring. Maternal androgen excess is unlikely to affect the fetus, because the placenta presents an effective barrier, but metabolic disturbances during pregnancy could affect development of the syndrome in the fetus. In postnatal life, the natural history of PCOS can be further modified by factors affecting insulin secretion and/or action, most importantly, nutrition. We now have evidence for a disorder of early follicular development in the polycystic ovary that is consistent with an increased population of primordial follicles in the fetal ovary. It remains to be determined whether this phenomenon is the cause or the effect of increased exposure to androgen within the ovary. PCOS is the commonest endocrine disorder in women. It is not only a very prevalent cause of anovulatory infertility, menstrual disturbances and hirsutism, but it is also a major risk factor for the development of type 2 diabetes mellitus in later life. The aetiology of the syndrome remains uncertain but there is increasing evidence for a genetic basis. PCOS very often becomes clinically manifest during adolescence with maturation of the hypothalamic-pituitary-ovarian axis but the genesis of the syndrome may be during very early development - perhaps even in utero. In this review, this hypothesis is explored in the light of clinical, biochemical and genetic research.","DOI":"10.1111/j.1365-2605.2005.00623.x","ISSN":"0105-6263","note":"PMID: 16390494","shortTitle":"Development of polycystic ovary syndrome","journalAbbreviation":"Int. J. Androl.","language":"eng","author":[{"family":"Franks","given":"Stephen"},{"family":"McCarthy","given":"Mark I."},{"family":"Hardy","given":"Kate"}],"issued":{"date-parts":[["2006",2]]}},"label":"page"},{"id":731,"uris":["http://zotero.org/users/4133246/items/CRHM5ZD5"],"uri":["http://zotero.org/users/4133246/items/CRHM5ZD5"],"itemData":{"id":731,"type":"article-journal","title":"Polycystic ovary syndrome: a complex condition with psychological, reproductive and metabolic manifestations that impacts on health across the lifespan","container-title":"BMC medicine","page":"41","volume":"8","source":"PubMed","abstract":"Polycystic ovary syndrome (PCOS) is of clinical and public health importance as it is very common, affecting up to one in five women of reproductive age. It has significant and diverse clinical implications including reproductive (infertility, hyperandrogenism, hirsutism), metabolic (insulin resistance, impaired glucose tolerance, type 2 diabetes mellitus, adverse cardiovascular risk profiles) and psychological features (increased anxiety, depression and worsened quality of life). Polycystic ovary syndrome is a heterogeneous condition and, as such, clinical and research agendas are broad and involve many disciplines. The phenotype varies widely depending on life stage, genotype, ethnicity and environmental factors including lifestyle and bodyweight. Importantly, PCOS has unique interactions with the ever increasing obesity prevalence worldwide as obesity-induced insulin resistance significantly exacerbates all the features of PCOS. Furthermore, it has clinical implications across the lifespan and is relevant to related family members with an increased risk for metabolic conditions reported in first-degree relatives. Therapy should focus on both the short and long-term reproductive, metabolic and psychological features. Given the aetiological role of insulin resistance and the impact of obesity on both hyperinsulinaemia and hyperandrogenism, multidisciplinary lifestyle improvement aimed at normalising insulin resistance, improving androgen status and aiding weight management is recognised as a crucial initial treatment strategy. Modest weight loss of 5% to 10% of initial body weight has been demonstrated to improve many of the features of PCOS. Management should focus on support, education, addressing psychological factors and strongly emphasising healthy lifestyle with targeted medical therapy as required. Monitoring and management of long-term metabolic complications is also an important part of routine clinical care. Comprehensive evidence-based guidelines are needed to aid early diagnosis, appropriate investigation, regular screening and treatment of this common condition. Whilst reproductive features of PCOS are well recognised and are covered here, this review focuses primarily on the less appreciated cardiometabolic and psychological features of PCOS.","DOI":"10.1186/1741-7015-8-41","ISSN":"1741-7015","note":"PMID: 20591140\nPMCID: PMC2909929","shortTitle":"Polycystic ovary syndrome","journalAbbreviation":"BMC Med","language":"eng","author":[{"family":"Teede","given":"H."},{"family":"Deeks","given":"A."},{"family":"Moran","given":"L."}],"issued":{"date-parts":[["2010",6,30]]}},"label":"page"}],"schema":"https://github.com/citation-style-language/schema/raw/master/csl-citation.json"}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20</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Similar to its aetiology, it is likely that pathophysiology of PCOS is multifaceted involving hormonal imbalance, ovarian dysfunction, aberrant insulin signalling, excessive oxidative stress and genetic/environmental factors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{"citationID":"wLmXBcTT","properties":{"formattedCitation":"{\\rtf \\super 4\\uc0\\u8211{}6,54\\nosupersub{}}","plainCitation":"4–6,54"},"citationItems":[{"id":435,"uris":["http://zotero.org/users/4133246/items/J38CGVTZ"],"uri":["http://zotero.org/users/4133246/items/J38CGVTZ"],"itemData":{"id":435,"type":"book","title":"The Polycystic Ovary Syndrome: Current Concepts on Pathogenesis and Clinical Care","publisher":"Springer Science &amp; Business Media","number-of-pages":"140","source":"Google Books","abstract":"Polycystic ovary syndrome (PCOS) is a classic female infertility problem affecting an estimated 6-10% of all women and many of whom are unaware of the problem. PCOS is the single most common endrocrinologic abnormality that affects women. It is a disease that affects women from adolescence to menopause. Patients with PCOS are seen by a variety of specialists, including: reproductive, medical and pediatric endocrinologists; general internists, and dermatologists. This book is an edited collection from diagnosis and epidemiology of PCOS to clinical evaluation. There are additional factors that complicate this disease, such as insulin levels and obesity. Women with PCOS are known to be at a high risk for type 2 diabetes.","ISBN":"978-0-387-69248-7","note":"Google-Books-ID: 242bPI5OWCQC","shortTitle":"The Polycystic Ovary Syndrome","language":"en","author":[{"family":"Azziz","given":"Ricardo"}],"issued":{"date-parts":[["2007",7,3]]}},"label":"page"},{"id":425,"uris":["http://zotero.org/users/4133246/items/X37QXT4P"],"uri":["http://zotero.org/users/4133246/items/X37QXT4P"],"itemData":{"id":425,"type":"article-journal","title":"Poly Cystic Ovarian Syndrome: An Updated Overview","container-title":"Frontiers in Physiology","volume":"7","source":"PubMed Central","abstract":"Poly Cystic Ovarian Syndrome (PCOS) is one of the most common metabolic and reproductive disorders among women of reproductive age. Women suffering from PCOS present with a constellation of symptoms associated with menstrual dysfunction and androgen excess, which significantly impacts their quality of life. They may be at increased risk of multiple morbidities, including obesity, insulin resistance, type II diabetes mellitus, cardiovascular disease (CVD), infertility, cancer, and psychological disorders. This review summarizes what the literature has so far provided from guidelines to diagnosis of PCOS. It will also present a general overview about the morbidities associated with this disease, specifically with its more severe classic form. Finally, the review will stress on the various aspects of treatment and screening recommendations currently used in the management of this condition.","URL":"https://www.ncbi.nlm.nih.gov/pmc/articles/PMC4820451/","DOI":"10.3389/fphys.2016.00124","ISSN":"1664-042X","note":"PMID: 27092084\nPMCID: PMC4820451","shortTitle":"Poly Cystic Ovarian Syndrome","journalAbbreviation":"Front Physiol","author":[{"family":"El Hayek","given":"Samer"},{"family":"Bitar","given":"Lynn"},{"family":"Hamdar","given":"Layal H."},{"family":"Mirza","given":"Fadi G."},{"family":"Daoud","given":"Georges"}],"issued":{"date-parts":[["2016",4,5]]}},"label":"page"},{"id":437,"uris":["http://zotero.org/users/4133246/items/82FEFM7H"],"uri":["http://zotero.org/users/4133246/items/82FEFM7H"],"itemData":{"id":437,"type":"article-journal","title":"Genetic, hormonal and metabolic aspects of PCOS: an update","container-title":"Reproductive Biology and Endocrinology","page":"38","volume":"14","issue":"1","source":"rbej.biomedcentral.com","abstract":"Polycystic ovary syndrome (PCOS) is a complex endocrine disorder affecting 5–10 % of women of reproductive age. It generally manifests with oligo/anovulatory cycles, hirsutism and polycystic ovaries, together with a considerable prevalence of insulin resistance. Although the aetiology of the syndrome is not completely understood yet, PCOS is considered a multifactorial disorder with various genetic, endocrine and environmental abnormalities. Moreover, PCOS patients have a higher risk of metabolic and cardiovascular diseases and their related morbidity, if compared to the general population.","DOI":"10.1186/s12958-016-0173-x","ISSN":"1477-7827","shortTitle":"Genetic, hormonal and metabolic aspects of PCOS","language":"En","author":[{"family":"Leo","given":"V. De"},{"family":"Musacchio","given":"M. C."},{"family":"Cappelli","given":"V."},{"family":"Massaro","given":"M. G."},{"family":"Morgante","given":"G."},{"family":"Petraglia","given":"F."}],"issued":{"date-parts":[["2016",12]]}},"label":"page"},{"id":430,"uris":["http://zotero.org/users/4133246/items/QKM8MJPS"],"uri":["http://zotero.org/users/4133246/items/QKM8MJPS"],"itemData":{"id":430,"type":"article-journal","title":"Epidemiology, diagnosis, and management of polycystic ovary syndrome","container-title":"Clinical Epidemiology","page":"1-13","volume":"6","source":"PubMed Central","abstract":"Polycystic ovary syndrome (PCOS) is a common heterogeneous endocrine disorder characterized by irregular menses, hyperandrogenism, and polycystic ovaries. The prevalence of PCOS varies depending on which criteria are used to make the diagnosis, but is as high as 15%–20% when the European Society for Human Reproduction and Embryology/American Society for Reproductive Medicine criteria are used. Clinical manifestations include oligomenorrhea or amenorrhea, hirsutism, and frequently infertility. Risk factors for PCOS in adults includes type 1 diabetes, type 2 diabetes, and gestational diabetes. Insulin resistance affects 50%–70% of women with PCOS leading to a number of comorbidities including metabolic syndrome, hypertension, dyslipidemia, glucose intolerance, and diabetes. Studies show that women with PCOS are more likely to have increased coronary artery calcium scores and increased carotid intima-media thickness. Mental health disorders including depression, anxiety, bipolar disorder and binge eating disorder also occur more frequently in women with PCOS. Weight loss improves menstrual irregularities, symptoms of androgen excess, and infertility. Management of clinical manifestations of PCOS includes oral contraceptives for menstrual irregularities and hirsutism. Spironolactone and finasteride are used to treat symptoms of androgen excess. Treatment options for infertility include clomiphene, laparoscopic ovarian drilling, gonadotropins, and assisted reproductive technology. Recent data suggest that letrozole and metformin may play an important role in ovulation induction. Proper diagnosis and management of PCOS is essential to address patient concerns but also to prevent future metabolic, endocrine, psychiatric, and cardiovascular complications.","DOI":"10.2147/CLEP.S37559","ISSN":"1179-1349","note":"PMID: 24379699\nPMCID: PMC3872139","journalAbbreviation":"Clin Epidemiol","author":[{"family":"Sirmans","given":"Susan M"},{"family":"Pate","given":"Kristen A"}],"issued":{"date-parts":[["2013",12,18]]}},"label":"page"}],"schema":"https://github.com/citation-style-language/schema/raw/master/csl-citation.json"}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4–6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w:t>
      </w:r>
      <w:proofErr w:type="spellStart"/>
      <w:r w:rsidRPr="008C51C9">
        <w:rPr>
          <w:rFonts w:ascii="Times New Roman" w:hAnsi="Times New Roman" w:cs="Times New Roman"/>
          <w:sz w:val="24"/>
          <w:szCs w:val="24"/>
        </w:rPr>
        <w:t>Hyperandrogenemia</w:t>
      </w:r>
      <w:proofErr w:type="spellEnd"/>
      <w:r w:rsidRPr="008C51C9">
        <w:rPr>
          <w:rFonts w:ascii="Times New Roman" w:hAnsi="Times New Roman" w:cs="Times New Roman"/>
          <w:sz w:val="24"/>
          <w:szCs w:val="24"/>
        </w:rPr>
        <w:t xml:space="preserve"> or increase in androgen is the most typical hormonal alteration of PCOS; it causes premature atresia of ovarian follicles, forming multiple cysts and anovulation</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{"citationID":"1ta2sjjhu3","properties":{"formattedCitation":"{\\rtf \\super 6,54,55\\nosupersub{}}","plainCitation":"6,54,55"},"citationItems":[{"id":437,"uris":["http://zotero.org/users/4133246/items/82FEFM7H"],"uri":["http://zotero.org/users/4133246/items/82FEFM7H"],"itemData":{"id":437,"type":"article-journal","title":"Genetic, hormonal and metabolic aspects of PCOS: an update","container-title":"Reproductive Biology and Endocrinology","page":"38","volume":"14","issue":"1","source":"rbej.biomedcentral.com","abstract":"Polycystic ovary syndrome (PCOS) is a complex endocrine disorder affecting 5–10 % of women of reproductive age. It generally manifests with oligo/anovulatory cycles, hirsutism and polycystic ovaries, together with a considerable prevalence of insulin resistance. Although the aetiology of the syndrome is not completely understood yet, PCOS is considered a multifactorial disorder with various genetic, endocrine and environmental abnormalities. Moreover, PCOS patients have a higher risk of metabolic and cardiovascular diseases and their related morbidity, if compared to the general population.","DOI":"10.1186/s12958-016-0173-x","ISSN":"1477-7827","shortTitle":"Genetic, hormonal and metabolic aspects of PCOS","language":"En","author":[{"family":"Leo","given":"V. De"},{"family":"Musacchio","given":"M. C."},{"family":"Cappelli","given":"V."},{"family":"Massaro","given":"M. G."},{"family":"Morgante","given":"G."},{"family":"Petraglia","given":"F."}],"issued":{"date-parts":[["2016",12]]}},"label":"page"},{"id":435,"uris":["http://zotero.org/users/4133246/items/J38CGVTZ"],"uri":["http://zotero.org/users/4133246/items/J38CGVTZ"],"itemData":{"id":435,"type":"book","title":"The Polycystic Ovary Syndrome: Current Concepts on Pathogenesis and Clinical Care","publisher":"Springer Science &amp; Business Media","number-of-pages":"140","source":"Google Books","abstract":"Polycystic ovary syndrome (PCOS) is a classic female infertility problem affecting an estimated 6-10% of all women and many of whom are unaware of the problem. PCOS is the single most common endrocrinologic abnormality that affects women. It is a disease that affects women from adolescence to menopause. Patients with PCOS are seen by a variety of specialists, including: reproductive, medical and pediatric endocrinologists; general internists, and dermatologists. This book is an edited collection from diagnosis and epidemiology of PCOS to clinical evaluation. There are additional factors that complicate this disease, such as insulin levels and obesity. Women with PCOS are known to be at a high risk for type 2 diabetes.","ISBN":"978-0-387-69248-7","note":"Google-Books-ID: 242bPI5OWCQC","shortTitle":"The Polycystic Ovary Syndrome","language":"en","author":[{"family":"Azziz","given":"Ricardo"}],"issued":{"date-parts":[["2007",7,3]]}},"label":"page"},{"id":499,"uris":["http://zotero.org/users/4133246/items/NG8IDXCR"],"uri":["http://zotero.org/users/4133246/items/NG8IDXCR"],"itemData":{"id":499,"type":"article-journal","title":"The Androgen Excess and PCOS Society criteria for the polycystic ovary syndrome: the complete task force report","container-title":"Fertility and Sterility","page":"456-488","volume":"91","issue":"2","source":"PubMed","abstract":"OBJECTIVE: To review all available data and recommend a definition for polycystic ovary syndrome (PCOS) based on published peer-reviewed data, whether already in use or not, to guide clinical diagnosis and future research.\nDESIGN: Literature review and expert consensus.\nSETTING: Professional society.\nPATIENTS: None.\nINTERVENTION(S): None.\nMAIN OUTCOME MEASURE(S): A systematic review of the published peer-reviewed medical literature, by querying MEDLINE databases, to identify studies evaluating the epidemiology or phenotypic aspects of PCOS.\nRESULT(S): The Task Force drafted the initial report, following a consensus process via electronic communication, which was then reviewed and critiqued by the Androgen Excess and PCOS (AE-PCOS) Society AE-PCOS Board of Directors. No section was finalized until all members were satisfied with the contents, and minority opinions noted. Statements were not included that were not supported by peer-reviewed evidence.\nCONCLUSION(S): Based on the available data, it is the view of the AE-PCOS Society Task Force that PCOS should be defined by the presence of hyperandrogenism (clinical and/or biochemical), ovarian dysfunction (oligo-anovulation and/or polycystic ovaries), and the exclusion of related disorders. However, a minority considered the possibility that there may be forms of PCOS without overt evidence of hyperandrogenism, but recognized that more data are required before validating this supposition. Finally, the Task Force recognized and fully expects that the definition of this syndrome will evolve over time to incorporate new research findings.","DOI":"10.1016/j.fertnstert.2008.06.035","ISSN":"1556-5653","note":"PMID: 18950759","shortTitle":"The Androgen Excess and PCOS Society criteria for the polycystic ovary syndrome","journalAbbreviation":"Fertil. Steril.","language":"eng","author":[{"family":"Azziz","given":"Ricardo"},{"family":"Carmina","given":"Enrico"},{"family":"Dewailly","given":"Didier"},{"family":"Diamanti-Kandarakis","given":"Evanthia"},{"family":"Escobar-Morreale","given":"Héctor F."},{"family":"Futterweit","given":"Walter"},{"family":"Janssen","given":"Onno E."},{"family":"Legro","given":"Richard S."},{"family":"Norman","given":"Robert J."},{"family":"Taylor","given":"Ann E."},{"family":"Witchel","given":"Selma F."},{"literal":"Task Force on the Phenotype of the Polycystic Ovary Syndrome of The Androgen Excess and PCOS Society"}],"issued":{"date-parts":[["2009",2]]}},"label":"page"}],"schema":"https://github.com/citation-style-language/schema/raw/master/csl-citation.json"}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w:t>
      </w:r>
    </w:p>
    <w:p w14:paraId="38355ED6" w14:textId="77777777" w:rsidR="00A34012" w:rsidRPr="008C51C9" w:rsidRDefault="00DB5128" w:rsidP="00E45B54">
      <w:pPr>
        <w:jc w:val="both"/>
        <w:rPr>
          <w:rFonts w:ascii="Times New Roman" w:hAnsi="Times New Roman" w:cs="Times New Roman"/>
          <w:b/>
          <w:bCs/>
          <w:sz w:val="24"/>
          <w:szCs w:val="24"/>
        </w:rPr>
      </w:pPr>
      <w:r w:rsidRPr="008C51C9">
        <w:rPr>
          <w:rFonts w:ascii="Times New Roman" w:hAnsi="Times New Roman" w:cs="Times New Roman"/>
          <w:sz w:val="24"/>
          <w:szCs w:val="24"/>
        </w:rPr>
        <w:t xml:space="preserve">The treatment regimen for PCOS depends on the symptoms presented by </w:t>
      </w:r>
      <w:r w:rsidR="007D7481" w:rsidRPr="008C51C9">
        <w:rPr>
          <w:rFonts w:ascii="Times New Roman" w:hAnsi="Times New Roman" w:cs="Times New Roman"/>
          <w:sz w:val="24"/>
          <w:szCs w:val="24"/>
        </w:rPr>
        <w:t>pati</w:t>
      </w:r>
      <w:r w:rsidR="004976DB" w:rsidRPr="008C51C9">
        <w:rPr>
          <w:rFonts w:ascii="Times New Roman" w:hAnsi="Times New Roman" w:cs="Times New Roman"/>
          <w:sz w:val="24"/>
          <w:szCs w:val="24"/>
        </w:rPr>
        <w:t>ents</w:t>
      </w:r>
      <w:r w:rsidRPr="008C51C9">
        <w:rPr>
          <w:rFonts w:ascii="Times New Roman" w:hAnsi="Times New Roman" w:cs="Times New Roman"/>
          <w:sz w:val="24"/>
          <w:szCs w:val="24"/>
        </w:rPr>
        <w:t>. The symptoms can be broadly categorized as menstruation related disorders; androgen-related symptoms</w:t>
      </w:r>
      <w:r w:rsidR="009B622D" w:rsidRPr="008C51C9">
        <w:rPr>
          <w:rFonts w:ascii="Times New Roman" w:hAnsi="Times New Roman" w:cs="Times New Roman"/>
          <w:sz w:val="24"/>
          <w:szCs w:val="24"/>
        </w:rPr>
        <w:t xml:space="preserve"> </w:t>
      </w:r>
      <w:r w:rsidRPr="008C51C9">
        <w:rPr>
          <w:rFonts w:ascii="Times New Roman" w:hAnsi="Times New Roman" w:cs="Times New Roman"/>
          <w:sz w:val="24"/>
          <w:szCs w:val="24"/>
        </w:rPr>
        <w:t>(hirsutism and acne being the most common); and infertility (including anovulation)</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{"citationID":"Goza3RQC","properties":{"formattedCitation":"{\\rtf \\super 101\\nosupersub{}}","plainCitation":"101"},"citationItems":[{"id":749,"uris":["http://zotero.org/users/4133246/items/DZI69D4X"],"uri":["http://zotero.org/users/4133246/items/DZI69D4X"],"itemData":{"id":749,"type":"article-journal","title":"Treatment options for polycystic ovary syndrome","container-title":"International Journal of Women's Health","page":"25-35","volume":"3","source":"PubMed","abstract":"Polycystic ovary syndrome (PCOS) is the most common endocrine disorder in women. The clinical manifestation of PCOS varies from a mild menstrual disorder to severe disturbance of reproductive and metabolic functions. Management of women with PCOS depends on the symptoms. These could be ovulatory dysfunction-related infertility, menstrual disorders, or androgen-related symptoms. Weight loss improves the endocrine profile and increases the likelihood of ovulation and pregnancy. Normalization of menstrual cycles and ovulation could occur with modest weight loss as little as 5% of the initial weight. The treatment of obesity includes modifications in lifestyle (diet and exercise) and medical and surgical treatment. In PCOS, anovulation relates to low follicle-stimulating hormone concentrations and the arrest of antral follicle growth in the final stages of maturation. This can be treated with medications such as clomiphene citrate, tamoxifen, aromatase inhibitors, metformin, glucocorticoids, or gonadotropins or surgically by laparoscopic ovarian drilling. In vitro fertilization will remain the last option to achieve pregnancy when others fail. Chronic anovulation over a long period of time is also associated with an increased risk of endometrial hyperplasia and carcinoma, which should be seriously investigated and treated. There are androgenic symptoms that will vary from patient to patient, such as hirsutism, acne, and/or alopecia. These are troublesome presentations to the patients and require adequate treatment. Alternative medicine has been emerging as one of the commonly practiced medicines for different health problems, including PCOS. This review underlines the contribution to the treatment of different symptoms.","DOI":"10.2147/IJWH.S11304","ISSN":"1179-1411","note":"PMID: 21339935\nPMCID: PMC3039006","journalAbbreviation":"Int J Womens Health","language":"eng","author":[{"family":"Badawy","given":"Ahmed"},{"family":"Elnashar","given":"Abubaker"}],"issued":{"date-parts":[["2011",2,8]]}}}],"schema":"https://github.com/citation-style-language/schema/raw/master/csl-citation.json"}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w:t>
      </w:r>
      <w:r w:rsidRPr="008C51C9">
        <w:rPr>
          <w:rFonts w:ascii="Times New Roman" w:hAnsi="Times New Roman" w:cs="Times New Roman"/>
          <w:sz w:val="24"/>
          <w:szCs w:val="24"/>
          <w:vertAlign w:val="superscript"/>
        </w:rPr>
        <w:t>1</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Oral contraceptive pills (OCP) </w:t>
      </w:r>
      <w:r w:rsidR="00DA2FAD" w:rsidRPr="008C51C9">
        <w:rPr>
          <w:rFonts w:ascii="Times New Roman" w:hAnsi="Times New Roman" w:cs="Times New Roman"/>
          <w:sz w:val="24"/>
          <w:szCs w:val="24"/>
        </w:rPr>
        <w:t>are</w:t>
      </w:r>
      <w:r w:rsidRPr="008C51C9">
        <w:rPr>
          <w:rFonts w:ascii="Times New Roman" w:hAnsi="Times New Roman" w:cs="Times New Roman"/>
          <w:sz w:val="24"/>
          <w:szCs w:val="24"/>
        </w:rPr>
        <w:t xml:space="preserve"> most commonly recommended</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{"citationID":"2gj3ecd0lv","properties":{"formattedCitation":"{\\rtf \\super 85,88,102\\nosupersub{}}","plainCitation":"85,88,102"},"citationItems":[{"id":567,"uris":["http://zotero.org/users/4133246/items/BXIPTTE6"],"uri":["http://zotero.org/users/4133246/items/BXIPTTE6"],"itemData":{"id":567,"type":"article-journal","title":"Diagnosis and treatment of polycystic ovary syndrome: an Endocrine Society clinical practice guideline","container-title":"The Journal of Clinical Endocrinology and Metabolism","page":"4565-4592","volume":"98","issue":"12","source":"PubMed","abstract":"OBJECTIVE: The aim was to formulate practice guidelines for the diagnosis and treatment of polycystic ovary syndrome (PCOS).\nPARTICIPANTS: An Endocrine Society-appointed Task Force of experts, a methodologist, and a medical writer developed the guideline.\nEVIDENCE: This evidence-based guideline was developed using the Grading of Recommendations, Assessment, Development, and Evaluation (GRADE) system to describe both the strength of recommendations and the quality of evidence.\nCONSENSUS PROCESS: One group meeting, several conference calls, and e-mail communications enabled consensus. Committees and members of The Endocrine Society and the European Society of Endocrinology reviewed and commented on preliminary drafts of these guidelines. Two systematic reviews were conducted to summarize supporting evidence.\nCONCLUSIONS: We suggest using the Rotterdam criteria for diagnosing PCOS (presence of two of the following criteria: androgen excess, ovulatory dysfunction, or polycystic ovaries). Establishing a diagnosis of PCOS is problematic in adolescents and menopausal women. Hyperandrogenism is central to the presentation in adolescents, whereas there is no consistent phenotype in postmenopausal women. Evaluation of women with PCOS should exclude alternate androgen-excess disorders and risk factors for endometrial cancer, mood disorders, obstructive sleep apnea, diabetes, and cardiovascular disease. Hormonal contraceptives are the first-line management for menstrual abnormalities and hirsutism/acne in PCOS. Clomiphene is currently the first-line therapy for infertility; metformin is beneficial for metabolic/glycemic abnormalities and for improving menstrual irregularities, but it has limited or no benefit in treating hirsutism, acne, or infertility. Hormonal contraceptives and metformin are the treatment options in adolescents with PCOS. The role of weight loss in improving PCOS status per se is uncertain, but lifestyle intervention is beneficial in overweight/obese patients for other health benefits. Thiazolidinediones have an unfavorable risk-benefit ratio overall, and statins require further study.","DOI":"10.1210/jc.2013-2350","ISSN":"1945-7197","note":"PMID: 24151290\nPMCID: PMC5399492","shortTitle":"Diagnosis and treatment of polycystic ovary syndrome","journalAbbreviation":"J. Clin. Endocrinol. Metab.","language":"eng","author":[{"family":"Legro","given":"Richard S."},{"family":"Arslanian","given":"Silva A."},{"family":"Ehrmann","given":"David A."},{"family":"Hoeger","given":"Kathleen M."},{"family":"Murad","given":"M. Hassan"},{"family":"Pasquali","given":"Renato"},{"family":"Welt","given":"Corrine K."},{"literal":"Endocrine Society"}],"issued":{"date-parts":[["2013",12]]}},"label":"page"},{"id":619,"uris":["http://zotero.org/users/4133246/items/ARBN8UJJ"],"uri":["http://zotero.org/users/4133246/items/ARBN8UJJ"],"itemData":{"id":619,"type":"article-journal","title":"Development of evidenced-based guidelines for PCOS and implications for community health","container-title":"Seminars in Reproductive Medicine","page":"230-240","volume":"32","issue":"3","source":"PubMed","abstract":"Despite the prevalence and health implications of polycystic ovary syndrome (PCOS), key evidence practice gaps exist including delayed diagnosis, inconsistent management, inadequate support for lifestyle change, and limited attention to psychological and metabolic features. Key contributors to these gaps include a lack of awareness and absence of evidence-based guidelines (EBGs) to inform consumers and health professionals. Intervention was needed to improve awareness, patient experience, early diagnosis, self-management, complication screening, and treatment across reproductive, metabolic, and psychological features driving the authors to establish a national PCOS Alliance. All relevant stakeholders including consumers, researchers, and clinicians codeveloped a vision and based on compellingly need and lobbying, the Australian government funded development of EBGs meeting international standards. To maximize impact, a national dissemination and implementation program was delivered with ongoing evaluation. Activities were recognized by the U.S. National Institute of Health and are being scaled up with the World Health Organization.","DOI":"10.1055/s-0034-1371095","ISSN":"1526-4564","note":"PMID: 24715518","journalAbbreviation":"Semin. Reprod. Med.","language":"eng","author":[{"family":"Misso","given":"Marie"},{"family":"Boyle","given":"Jacqueline"},{"family":"Norman","given":"Robert"},{"family":"Teede","given":"Helena"}],"issued":{"date-parts":[["2014",5]]}},"label":"page"},{"id":617,"uris":["http://zotero.org/users/4133246/items/NQPGN47Z"],"uri":["http://zotero.org/users/4133246/items/NQPGN47Z"],"itemData":{"id":617,"type":"article-journal","title":"Consensus on women's health aspects of polycystic ovary syndrome (PCOS): the Amsterdam ESHRE/ASRM-Sponsored 3rd PCOS Consensus Workshop Group","container-title":"Fertility and Sterility","page":"28-38.e25","volume":"97","issue":"1","source":"PubMed","abstract":"Polycystic ovary syndrome (PCOS) is the most common endocrine disorder in females, with a high prevalence. The etiology of this heterogeneous condition remains obscure, and its phenotype expression varies. Two widely cited previous ESHRE/ASRM sponsored PCOS consensus workshops focused on diagnosis (published in 2004) and infertility management (published in 2008), respectively. The present third PCOS consensus report summarizes current knowledge and identifies knowledge gaps regarding various women's health aspects of PCOS. Relevant topics addressed-all dealt with in a systematic fashion-include adolescence, hirsutism and acne, contraception, menstrual cycle abnormalities, quality of life, ethnicity, pregnancy complications, long-term metabolic and cardiovascular health, and finally cancer risk. Additional, comprehensive background information is provided separately in an extended online publication.","DOI":"10.1016/j.fertnstert.2011.09.024","ISSN":"1556-5653","note":"PMID: 22153789","shortTitle":"Consensus on women's health aspects of polycystic ovary syndrome (PCOS)","journalAbbreviation":"Fertil. Steril.","language":"eng","author":[{"family":"Fauser","given":"Bart C. J. M."},{"family":"Tarlatzis","given":"Basil C."},{"family":"Rebar","given":"Robert W."},{"family":"Legro","given":"Richard S."},{"family":"Balen","given":"Adam H."},{"family":"Lobo","given":"Roger"},{"family":"Carmina","given":"Enrico"},{"family":"Chang","given":"Jeffrey"},{"family":"Yildiz","given":"Bulent O."},{"family":"Laven","given":"Joop S. E."},{"family":"Boivin","given":"Jacky"},{"family":"Petraglia","given":"Felice"},{"family":"Wijeyeratne","given":"C. N."},{"family":"Norman","given":"Robert J."},{"family":"Dunaif","given":"Andrea"},{"family":"Franks","given":"Stephen"},{"family":"Wild","given":"Robert A."},{"family":"Dumesic","given":"Daniel"},{"family":"Barnhart","given":"Kurt"}],"issued":{"date-parts":[["2012",1]]}},"label":"page"}],"schema":"https://github.com/citation-style-language/schema/raw/master/csl-citation.json"}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w:t>
      </w:r>
      <w:r w:rsidRPr="008C51C9">
        <w:rPr>
          <w:rFonts w:ascii="Times New Roman" w:hAnsi="Times New Roman" w:cs="Times New Roman"/>
          <w:sz w:val="24"/>
          <w:szCs w:val="24"/>
          <w:vertAlign w:val="superscript"/>
        </w:rPr>
        <w:t>2</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for the long-term treatment of women with PCOS</w:t>
      </w:r>
      <w:r w:rsidR="00753C89" w:rsidRPr="008C51C9">
        <w:rPr>
          <w:rFonts w:ascii="Times New Roman" w:hAnsi="Times New Roman" w:cs="Times New Roman"/>
          <w:sz w:val="24"/>
          <w:szCs w:val="24"/>
        </w:rPr>
        <w:t xml:space="preserve"> </w:t>
      </w:r>
      <w:r w:rsidRPr="008C51C9">
        <w:rPr>
          <w:rFonts w:ascii="Times New Roman" w:hAnsi="Times New Roman" w:cs="Times New Roman"/>
          <w:sz w:val="24"/>
          <w:szCs w:val="24"/>
        </w:rPr>
        <w:t>as first-line of pharmacological treatment for management of androgen-related symptoms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{"citationID":"lpe2WoCT","properties":{"formattedCitation":"{\\rtf \\super 104\\nosupersub{}}","plainCitation":"104"},"citationItems":[{"id":615,"uris":["http://zotero.org/users/4133246/items/MBEJRVJH"],"uri":["http://zotero.org/users/4133246/items/MBEJRVJH"],"itemData":{"id":615,"type":"article-journal","title":"Insulin-sensitising drugs versus the combined oral contraceptive pill for hirsutism, acne and risk of diabetes, cardiovascular disease, and endometrial cancer in polycystic ovary syndrome","container-title":"The Cochrane Database of Systematic Reviews","page":"CD005552","issue":"1","source":"PubMed","abstract":"BACKGROUND: Insulin-sensitizing drugs (ISDs) have recently been advocated as possibly a safer and more effective long-term treatment than the oral contraceptive pill (OCP) in women with polycystic ovary syndrome (PCOS). It is important to directly compare the efficacy and safety of ISDs versus OCPs in the long-term treatment of women with PCOS.\nOBJECTIVES: To assess the effectiveness and safety of ISDs versus the OCP (alone or in combination) in improving clinical, hormonal, and metabolic features of PCOS.\nSEARCH STRATEGY: We searched the Cochrane Menstrual Disorders and Subfertility Group Trials Register (September 2005), Cochrane Central Register of Controlled Trials (CENTRAL (Ovid), third quarter 2005), MEDLINE (1966 to September 2005), CINAHL (1982 to September 2005), and EMBASE (1988 to September 2005). References of the identified articles were handsearched, and pharmaceutical companies and experts in the field were also contacted for additional relevant studies.\nSELECTION CRITERIA: Randomised controlled trials which compared ISDs versus the OCP (alone or in combination).\nDATA COLLECTION AND ANALYSIS: Performed independently by two review authors.\nMAIN RESULTS: Six trials were included for analysis, four of which compared metformin versus OCP (104 participants) and two of which compared OCP combined with metformin versus OCP alone (70 participants). Limited data demonstrated no evidence of difference in effect between metformin and the OCP on hirsutism and acne. There was either insufficient or no data on the relative efficacy of metformin or the OCP (alone or in combination) for preventing the development of diabetes, cardiovascular disease, or endometrial cancer. Metformin was less effective than the OCP in improving menstrual pattern (Peto odds ratio (OR) 0.08, 95% CI 0.01 to 0.45). Metformin resulted in a higher incidence of gastrointestinal (Peto OR 7.75, 95% CI 1.32 to 45.71), and a lower incidence of non-gastrointestinal (Peto OR 0.11, 95% CI 0.03 to 0.39), severe adverse effects requiring stopping of medication. Metformin was less effective in reducing serum androgen levels (total testosterone: weighted mean difference (WMD) 0.54, 95% CI 0.22 to 0.86; free androgen index: WMD 3.69, 95% CI 2.56 to 4.83). Metformin was more effective than the OCP in reducing fasting insulin (WMD -3.46, 95% CI -5.39 to -1.52) and not increasing triglyceride (WMD -0.48, 95% -0.86 to -0.09) levels, but there was insufficient evidence regarding comparative effects on reducing fasting glucose or cholesterol levels.\nAUTHORS' CONCLUSIONS: Up to 12-months treatment with the OCP is associated with an improvement in menstrual pattern and serum androgen levels compared with metformin; but metformin treatment results in a reduction in fasting insulin and lower triglyceride levels than with the OCP. Side-effect profiles differ between the two drugs. There is either extremely limited or no data on important clinical outcomes such as the development of diabetes, cardiovascular disease, or endometrial cancer. There are no data comparing ISDs other than metformin (that is rosiglitazone, pioglitazone, and D-chiro-inositol) versus OCPs (alone or in combination).","DOI":"10.1002/14651858.CD005552.pub2","ISSN":"1469-493X","note":"PMID: 17253562","journalAbbreviation":"Cochrane Database Syst Rev","language":"eng","author":[{"family":"Costello","given":"M."},{"family":"Shrestha","given":"B."},{"family":"Eden","given":"J."},{"family":"Sjoblom","given":"P."},{"family":"Johnson","given":"N."}],"issued":{"date-parts":[["2007",1,24]]}}}],"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23</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and menstrual cycle irregularities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{"citationID":"eMOTJdjF","properties":{"formattedCitation":"{\\rtf \\super 105\\nosupersub{}}","plainCitation":"105"},"citationItems":[{"id":613,"uris":["http://zotero.org/users/4133246/items/KHBDUIAR"],"uri":["http://zotero.org/users/4133246/items/KHBDUIAR"],"itemData":{"id":613,"type":"article-journal","title":"Approach to the patient: contraception in women with polycystic ovary syndrome","container-title":"The Journal of Clinical Endocrinology and Metabolism","page":"794-802","volume":"100","issue":"3","source":"PubMed","abstract":"Polycystic ovary syndrome (PCOS) is a common reproductive and metabolic disorder. Patients with PCOS present with clinical signs of androgen excess (ie, hirsutism and acne), menstrual irregularities, and infertility. Combined oral contraceptive (OC) pills are the first-line medical therapy for the long-term management of PCOS. Containing a combination of estrogen and progestin, OCs restore regular menses, improve androgen excess, and provide effective contraception and protection from endometrial cancer. The benefits of hormonal contraception outweigh the risks in the vast majority of women with PCOS. However, concerns have been raised about potential adverse cardiovascular and metabolic effects of OCs. Currently available evidence indicates an increased relative risk of venous thrombosis associated with OCs varying among different formulations. Arterial thrombosis risk attributable to OCs does not appear to be significantly increased in young nonsmoking women. OC use might be associated with increased risk of diabetes in morbidly obese women with PCOS with severe insulin resistance. A tailored clinical approach to oral contraception in women with PCOS requires individualized risk stratification and management by determination of each PCOS patient's personal cardiometabolic risk profile at baseline and during follow-up. Before prescribing an OC, clinicians should document individual risk factors including age, smoking, obesity, any degree of glucose intolerance including prediabetes and diabetes, hypertension, dyslipidemia, thrombophilia, and personal or family history of a venous thromboembolic event.","DOI":"10.1210/jc.2014-3196","ISSN":"1945-7197","note":"PMID: 25701301","shortTitle":"Approach to the patient","journalAbbreviation":"J. Clin. Endocrinol. Metab.","language":"eng","author":[{"family":"Yildiz","given":"Bulent O."}],"issued":{"date-parts":[["2015",3]]}}}],"schema":"https://github.com/citation-style-language/schema/raw/master/csl-citation.json"}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24</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The primary treatment recommended for PCOS-related menstrual abnormalities is low dose of combine hormonal contraception</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{"citationID":"wmZkPCZh","properties":{"formattedCitation":"{\\rtf \\super 110\\nosupersub{}}","plainCitation":"110"},"citationItems":[{"id":747,"uris":["http://zotero.org/users/4133246/items/U3VX35JF"],"uri":["http://zotero.org/users/4133246/items/U3VX35JF"],"itemData":{"id":747,"type":"article-journal","title":"ACOG Practice Bulletin No. 108: Polycystic ovary syndrome","container-title":"Obstetrics and Gynecology","page":"936-949","volume":"114","issue":"4","source":"PubMed","abstract":"Polycystic ovary syndrome (PCOS) is a disorder characterized by hyperandrogenism, ovulatory dysfunction, and polycystic ovaries. Its etiology remains unknown, and treatment is largely symptom based and empirical. PCOS has the potential to cause substantial metabolic sequelae, including an increased risk of diabetes and cardiovascular disease, and these factors should be considered when determining long-term treatment. The purpose of this document is to examine the best available evidence for the diagnosis and clinical management of PCOS.","DOI":"10.1097/AOG.0b013e3181bd12cb","ISSN":"0029-7844","note":"PMID: 19888063","shortTitle":"ACOG Practice Bulletin No. 108","journalAbbreviation":"Obstet Gynecol","language":"eng","author":[{"literal":"ACOG Committee on Practice Bulletins--Gynecology"}],"issued":{"date-parts":[["2009",10]]}}}],"schema":"https://github.com/citation-style-language/schema/raw/master/csl-citation.json"}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25</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Ovulation induction with gonadotropins and laparoscopic ovarian drilling are second line therapies whereas, </w:t>
      </w:r>
      <w:r w:rsidRPr="008C51C9">
        <w:rPr>
          <w:rFonts w:ascii="Times New Roman" w:hAnsi="Times New Roman" w:cs="Times New Roman"/>
          <w:i/>
          <w:sz w:val="24"/>
          <w:szCs w:val="24"/>
        </w:rPr>
        <w:t>in-vitro</w:t>
      </w:r>
      <w:r w:rsidRPr="008C51C9">
        <w:rPr>
          <w:rFonts w:ascii="Times New Roman" w:hAnsi="Times New Roman" w:cs="Times New Roman"/>
          <w:sz w:val="24"/>
          <w:szCs w:val="24"/>
        </w:rPr>
        <w:t xml:space="preserve"> fertilization (IVF) is recommended as third-line therapy for the management of infertility</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{"citationID":"woWfowem","properties":{"formattedCitation":"{\\rtf \\super 113\\nosupersub{}}","plainCitation":"113"},"citationItems":[{"id":743,"uris":["http://zotero.org/users/4133246/items/ENZ6DAJA"],"uri":["http://zotero.org/users/4133246/items/ENZ6DAJA"],"itemData":{"id":743,"type":"article-journal","title":"Consensus on infertility treatment related to polycystic ovary syndrome","container-title":"Fertility and Sterility","page":"505-522","volume":"89","issue":"3","source":"PubMed","abstract":"The treatment of infertile women with polycystic ovary syndrome (PCOS) is surrounded by many controversies. On the basis of the currently available evidence, a group of experts reached a consensus regarding the therapeutic challenges raised in these women. Before any intervention is initiated, preconceptional counseling should be provided emphasizing the importance of lifestyle, especially weight reduction and exercise in overweight women, smoking, and alcohol consumption. The recommended first-line treatment for ovulation induction remains the anti-estrogen clomiphene citrate (CC). Recommended second-line intervention, should CC fail to result in pregnancy, is either exogenous gonadotropins or laparoscopic ovarian surgery (LOS). The use of exogenous gonadotropins is associated with increased chances for multiple pregnancy, and, therefore, intense monitoring of ovarian response is required. Laparoscopic ovarian surgery alone is usually effective in less than 50% of women, and additional ovulation induction medication is required under those circumstances. Overall, ovulation induction (representing the CC-gonadotropin paradigm) is reported to be highly effective with a cumulative singleton live-birth rate of 72%. Recommended third-line treatment is in vitro fertilization (IVF). More patient-tailored approaches should be developed for ovulation induction based on initial screening characteristics of women with PCOS. Such approaches may result in deviation from the above mentioned first-line, second-line, or third-line ovulation strategies in well-defined subsets of patients. Metformin use in PCOS should be restricted to women with glucose intolerance. Based on recent data available in the literature, the routine use of this drug in ovulation induction is not recommended. Insufficient evidence is currently available to recommend the clinical use of aromatase inhibitors for routine ovulation induction. Even singleton pregnancies in PCOS are associated with increased health risk for both the mother and the fetus.","DOI":"10.1016/j.fertnstert.2007.09.041","ISSN":"1556-5653","note":"PMID: 18243179","journalAbbreviation":"Fertil. Steril.","language":"eng","author":[{"literal":"Thessaloniki ESHRE/ASRM-Sponsored PCOS Consensus Workshop Group"}],"issued":{"date-parts":[["2008",3]]}}}],"schema":"https://github.com/citation-style-language/schema/raw/master/csl-citation.json"}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w:t>
      </w:r>
      <w:r w:rsidR="00FC4339" w:rsidRPr="008C51C9">
        <w:rPr>
          <w:rFonts w:ascii="Times New Roman" w:hAnsi="Times New Roman" w:cs="Times New Roman"/>
          <w:sz w:val="24"/>
          <w:szCs w:val="24"/>
        </w:rPr>
        <w:t xml:space="preserve"> </w:t>
      </w:r>
      <w:r w:rsidR="00A34012" w:rsidRPr="008C51C9">
        <w:rPr>
          <w:rFonts w:ascii="Times New Roman" w:hAnsi="Times New Roman" w:cs="Times New Roman"/>
          <w:sz w:val="24"/>
          <w:szCs w:val="24"/>
        </w:rPr>
        <w:t>Despite their widespread popularity, current treatments for PCOS are only moderately effective at controlling symptoms and preventing complications</w:t>
      </w:r>
      <w:r w:rsidR="000C04C4" w:rsidRPr="008C51C9">
        <w:rPr>
          <w:rFonts w:ascii="Times New Roman" w:hAnsi="Times New Roman" w:cs="Times New Roman"/>
          <w:sz w:val="24"/>
          <w:szCs w:val="24"/>
          <w:vertAlign w:val="superscript"/>
        </w:rPr>
        <w:t>2</w:t>
      </w:r>
      <w:r w:rsidR="00753C89" w:rsidRPr="008C51C9">
        <w:rPr>
          <w:rFonts w:ascii="Times New Roman" w:hAnsi="Times New Roman" w:cs="Times New Roman"/>
          <w:sz w:val="24"/>
          <w:szCs w:val="24"/>
          <w:vertAlign w:val="superscript"/>
        </w:rPr>
        <w:t>1,</w:t>
      </w:r>
      <w:r w:rsidR="00A34012" w:rsidRPr="008C51C9">
        <w:rPr>
          <w:rFonts w:ascii="Times New Roman" w:hAnsi="Times New Roman" w:cs="Times New Roman"/>
          <w:sz w:val="24"/>
          <w:szCs w:val="24"/>
        </w:rPr>
        <w:fldChar w:fldCharType="begin"/>
      </w:r>
      <w:r w:rsidR="00A34012" w:rsidRPr="008C51C9">
        <w:rPr>
          <w:rFonts w:ascii="Times New Roman" w:hAnsi="Times New Roman" w:cs="Times New Roman"/>
          <w:sz w:val="24"/>
          <w:szCs w:val="24"/>
        </w:rPr>
        <w:instrText xml:space="preserve"> ADDIN ZOTERO_ITEM CSL_CITATION {"citationID":"ySXwFlj2","properties":{"formattedCitation":"{\\rtf \\super 117\\nosupersub{}}","plainCitation":"117"},"citationItems":[{"id":780,"uris":["http://zotero.org/users/4133246/items/BEA5BB67"],"uri":["http://zotero.org/users/4133246/items/BEA5BB67"],"itemData":{"id":780,"type":"article-journal","title":"The physiological basis of complementary and alternative medicines for polycystic ovary syndrome","container-title":"American Journal of Physiology - Endocrinology and Metabolism","page":"E1-E10","volume":"301","issue":"1","source":"PubMed Central","abstract":"Polycystic ovary syndrome (PCOS) is a common endocrine disorder that is characterized by chronic hyperandrogenic anovulation leading to symptoms of hirsutism, acne, irregular menses, and infertility. Multiple metabolic and cardiovascular risk factors are associated with PCOS, including insulin resistance, obesity, type 2 diabetes, hypertension, inflammation, and subclinical atherosclerosis. However, current treatments for PCOS are only moderately effective at controlling symptoms and preventing complications. This article describes how the physiological effects of major complementary and alternative medicine (CAM) treatments could reduce the severity of PCOS and its complications. Acupuncture reduces hyperandrogenism and improves menstrual frequency in PCOS. Acupuncture's clinical effects are mediated via activation of somatic afferent nerves innervating the skin and muscle, which, via modulation of the activity in the somatic and autonomic nervous system, may modulate endocrine and metabolic functions in PCOS. Chinese herbal medicines and dietary supplements may also exert beneficial physiological effects in PCOS, but there is minimal evidence that these CAM treatments are safe and effective. Mindfulness has not been investigated in PCOS, but it has been shown to reduce psychological distress and exert positive effects on the central and autonomic nervous systems, hypothalamic-pituitary-adrenal axis, and immune system, leading to reductions in blood pressure, glucose, and inflammation. In conclusion, CAM treatments may have beneficial endocrine, cardiometabolic, and reproductive effects in PCOS. However, most studies of CAM treatments for PCOS are small, nonrandomized, or uncontrolled. Future well-designed studies are needed to further evaluate the safety, effectiveness, and mechanisms of CAM treatments for PCOS.","DOI":"10.1152/ajpendo.00667.2010","ISSN":"0193-1849","note":"PMID: 21487075\nPMCID: PMC4459923","journalAbbreviation":"Am J Physiol Endocrinol Metab","author":[{"family":"Raja-Khan","given":"Nazia"},{"family":"Stener-Victorin","given":"Elisabet"},{"family":"Wu","given":"XiaoKe"},{"family":"Legro","given":"Richard S."}],"issued":{"date-parts":[["2011",7]]}}}],"schema":"https://github.com/citation-style-language/schema/raw/master/csl-citation.json"} </w:instrText>
      </w:r>
      <w:r w:rsidR="00A34012"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w:t>
      </w:r>
      <w:r w:rsidR="00A34012" w:rsidRPr="008C51C9">
        <w:rPr>
          <w:rFonts w:ascii="Times New Roman" w:hAnsi="Times New Roman" w:cs="Times New Roman"/>
          <w:sz w:val="24"/>
          <w:szCs w:val="24"/>
          <w:vertAlign w:val="superscript"/>
        </w:rPr>
        <w:t>7</w:t>
      </w:r>
      <w:r w:rsidR="00A34012" w:rsidRPr="008C51C9">
        <w:rPr>
          <w:rFonts w:ascii="Times New Roman" w:hAnsi="Times New Roman" w:cs="Times New Roman"/>
          <w:sz w:val="24"/>
          <w:szCs w:val="24"/>
        </w:rPr>
        <w:fldChar w:fldCharType="end"/>
      </w:r>
      <w:r w:rsidR="00A34012" w:rsidRPr="008C51C9">
        <w:rPr>
          <w:rFonts w:ascii="Times New Roman" w:hAnsi="Times New Roman" w:cs="Times New Roman"/>
          <w:sz w:val="24"/>
          <w:szCs w:val="24"/>
        </w:rPr>
        <w:t xml:space="preserve">. There are also concerns about the adverse effects of medications in long-term. </w:t>
      </w:r>
      <w:r w:rsidR="00753C89" w:rsidRPr="008C51C9">
        <w:rPr>
          <w:rFonts w:ascii="Times New Roman" w:hAnsi="Times New Roman" w:cs="Times New Roman"/>
          <w:sz w:val="24"/>
          <w:szCs w:val="24"/>
        </w:rPr>
        <w:t xml:space="preserve">For example, </w:t>
      </w:r>
      <w:r w:rsidR="00A34012" w:rsidRPr="008C51C9">
        <w:rPr>
          <w:rFonts w:ascii="Times New Roman" w:hAnsi="Times New Roman" w:cs="Times New Roman"/>
          <w:sz w:val="24"/>
          <w:szCs w:val="24"/>
        </w:rPr>
        <w:t>OCP has negative effects on cardiovascular profile of females with PCOS</w:t>
      </w:r>
      <w:r w:rsidR="00A34012" w:rsidRPr="008C51C9">
        <w:rPr>
          <w:rFonts w:ascii="Times New Roman" w:hAnsi="Times New Roman" w:cs="Times New Roman"/>
          <w:sz w:val="24"/>
          <w:szCs w:val="24"/>
        </w:rPr>
        <w:fldChar w:fldCharType="begin"/>
      </w:r>
      <w:r w:rsidR="00A34012" w:rsidRPr="008C51C9">
        <w:rPr>
          <w:rFonts w:ascii="Times New Roman" w:hAnsi="Times New Roman" w:cs="Times New Roman"/>
          <w:sz w:val="24"/>
          <w:szCs w:val="24"/>
        </w:rPr>
        <w:instrText xml:space="preserve"> ADDIN ZOTERO_ITEM CSL_CITATION {"citationID":"b8unn4ieq","properties":{"formattedCitation":"{\\rtf \\super 121,122\\nosupersub{}}","plainCitation":"121,122"},"citationItems":[{"id":595,"uris":["http://zotero.org/users/4133246/items/DWKFNR9T"],"uri":["http://zotero.org/users/4133246/items/DWKFNR9T"],"itemData":{"id":595,"type":"article-journal","title":"Association between the current use of low-dose oral contraceptives and cardiovascular arterial disease: a meta-analysis","container-title":"The Journal of Clinical Endocrinology and Metabolism","page":"3863-3870","volume":"90","issue":"7","source":"PubMed","abstract":"CONTEXT: The long-term cardiovascular safety of widely used oral contraceptives (OCs) is still debated, and no meta-analysis assesses the modern use of OCs and the associated cardiovascular risks.\nOBJECTIVE: We aimed to assess the risk of cardiovascular diseases associated with current use of low-dose combined OCs.\nDATA SOURCES: All studies published between January 1980 and October 2002 were searched using MEDLINE, BIOSIS, and Scientific Citations.\nSTUDY SELECTION: Original studies were selected independently by two investigators (J.P.B., P.A.E.) based on inclusion criteria: low-dose combined OC (&lt;50 mug of ethinyl-estradiol); more than 10 cases in low-dose users; clear definition of cases; concurrent controls; and control for age. A third investigator (J.E.N.) adjudicated disagreements. From 2715 identified articles, 14 independent studies were included.\nDATA EXTRACTION: All data were abstracted by one investigator (J.P.B.) in a systematic manner. Classification of OCs and types of exposure were directly abstracted from studies. Current use was defined as use at the time of the event or within 3 months. Only peer-reviewed studies with definition of events as definite or possible, based on prespecified criteria, were included.\nDATA SYNTHESIS: The summary risk estimates associated with current use of low-dose OCs were 1.84 [95% confidence interval (CI) = 1.38, 2.44] for myocardial infarctions and 2.12 (95% CI = 1.56, 2.86) for ischemic strokes. The overall summary odds ratio for both outcomes was 2.01 (95% CI = 1.63, 2.48). Second generation OCs were associated with a significant increased risk of both myocardial infarction and ischemic stroke events [1.85 (95% CI = 1.03,3.32) and 2.54 (95% CI = 1.96,3.28), respectively]; and third-generation OCs, for ischemic stroke outcome only [2.03 (95% CI = 1.15,3.57)].\nCONCLUSIONS: In conclusion, a rigorous meta-analysis of the literature suggests that current use of low-dose OCs significantly increases the risk of both cardiac and vascular arterial events, including a significant risk of vascular arterial complications with third generation OCs.","DOI":"10.1210/jc.2004-1958","ISSN":"0021-972X","note":"PMID: 15814774","shortTitle":"Association between the current use of low-dose oral contraceptives and cardiovascular arterial disease","journalAbbreviation":"J. Clin. Endocrinol. Metab.","language":"eng","author":[{"family":"Baillargeon","given":"Jean-Patrice"},{"family":"McClish","given":"Donna K."},{"family":"Essah","given":"Paulina A."},{"family":"Nestler","given":"John E."}],"issued":{"date-parts":[["2005",7]]}},"label":"page"},{"id":593,"uris":["http://zotero.org/users/4133246/items/ZFKBIHAK"],"uri":["http://zotero.org/users/4133246/items/ZFKBIHAK"],"itemData":{"id":593,"type":"article-journal","title":"Thrombotic stroke and myocardial infarction with hormonal contraception","container-title":"The New England Journal of Medicine","page":"2257-2266","volume":"366","issue":"24","source":"PubMed","abstract":"BACKGROUND: Although several studies have assessed the risk of venous thromboembolism with newer hormonal contraception, few have examined thrombotic stroke and myocardial infarction, and results have been conflicting.\nMETHODS: In this 15-year Danish historical cohort study, we followed nonpregnant women, 15 to 49 years old, with no history of cardiovascular disease or cancer. Data on use of hormonal contraception, clinical end points, and potential confounders were obtained from four national registries.\nRESULTS: A total of 1,626,158 women contributed 14,251,063 person-years of observation, during which 3311 thrombotic strokes (21.4 per 100,000 person-years) and 1725 myocardial infarctions (10.1 per 100,000 person-years) occurred. As compared with nonuse, current use of oral contraceptives that included ethinyl estradiol at a dose of 30 to 40 μg was associated with the following relative risks (and 95% confidence intervals) for thrombotic stroke and myocardial infarction, according to progestin type: norethindrone, 2.2 (1.5 to 3.2) and 2.3 (1.3 to 3.9); levonorgestrel, 1.7 (1.4 to 2.0) and 2.0 (1.6 to 2.5); norgestimate, 1.5 (1.2 to 1.9) and 1.3 (0.9 to 1.9); desogestrel, 2.2 (1.8 to 2.7) and 2.1 (1.5 to 2.8); gestodene, 1.8 (1.6 to 2.0) and 1.9 (1.6 to 2.3); and drospirenone, 1.6 (1.2 to 2.2) and 1.7 (1.0 to 2.6), respectively. With ethinyl estradiol at a dose of 20 μg, the corresponding relative risks according to progestin type were as follows: desogestrel, 1.5 (1.3 to 1.9) and 1.6 (1.1 to 2.1); gestodene, 1.7 (1.4 to 2.1) and 1.2 (0.8 to 1.9); and drospirenone, 0.9 (0.2 to 3.5) and 0.0. For transdermal patches, the corresponding relative risks were 3.2 (0.8 to 12.6) and 0.0, and for a vaginal ring, 2.5 (1.4 to 4.4) and 2.1 (0.7 to 6.5).\nCONCLUSIONS: Although the absolute risks of thrombotic stroke and myocardial infarction associated with the use of hormonal contraception were low, the risk was increased by a factor of 0.9 to 1.7 with oral contraceptives that included ethinyl estradiol at a dose of 20 μg and by a factor of 1.3 to 2.3 with those that included ethinyl estradiol at a dose of 30 to 40 μg, with relatively small differences in risk according to progestin type. (Funded by the Danish Heart Association.).","DOI":"10.1056/NEJMoa1111840","ISSN":"1533-4406","note":"PMID: 22693997","journalAbbreviation":"N. Engl. J. Med.","language":"eng","author":[{"family":"Lidegaard","given":"Øjvind"},{"family":"Løkkegaard","given":"Ellen"},{"family":"Jensen","given":"Aksel"},{"family":"Skovlund","given":"Charlotte Wessel"},{"family":"Keiding","given":"Niels"}],"issued":{"date-parts":[["2012",6,14]]}},"label":"page"}],"schema":"https://github.com/citation-style-language/schema/raw/master/csl-citation.json"} </w:instrText>
      </w:r>
      <w:r w:rsidR="00A34012" w:rsidRPr="008C51C9">
        <w:rPr>
          <w:rFonts w:ascii="Times New Roman" w:hAnsi="Times New Roman" w:cs="Times New Roman"/>
          <w:sz w:val="24"/>
          <w:szCs w:val="24"/>
        </w:rPr>
        <w:fldChar w:fldCharType="separate"/>
      </w:r>
      <w:r w:rsidR="00A34012" w:rsidRPr="008C51C9">
        <w:rPr>
          <w:rFonts w:ascii="Times New Roman" w:hAnsi="Times New Roman" w:cs="Times New Roman"/>
          <w:sz w:val="24"/>
          <w:szCs w:val="24"/>
          <w:vertAlign w:val="superscript"/>
        </w:rPr>
        <w:t>2</w:t>
      </w:r>
      <w:r w:rsidR="000C04C4" w:rsidRPr="008C51C9">
        <w:rPr>
          <w:rFonts w:ascii="Times New Roman" w:hAnsi="Times New Roman" w:cs="Times New Roman"/>
          <w:sz w:val="24"/>
          <w:szCs w:val="24"/>
          <w:vertAlign w:val="superscript"/>
        </w:rPr>
        <w:t>8</w:t>
      </w:r>
      <w:r w:rsidR="00A34012" w:rsidRPr="008C51C9">
        <w:rPr>
          <w:rFonts w:ascii="Times New Roman" w:hAnsi="Times New Roman" w:cs="Times New Roman"/>
          <w:sz w:val="24"/>
          <w:szCs w:val="24"/>
        </w:rPr>
        <w:fldChar w:fldCharType="end"/>
      </w:r>
      <w:r w:rsidR="00A34012" w:rsidRPr="008C51C9">
        <w:rPr>
          <w:rFonts w:ascii="Times New Roman" w:hAnsi="Times New Roman" w:cs="Times New Roman"/>
          <w:sz w:val="24"/>
          <w:szCs w:val="24"/>
        </w:rPr>
        <w:t xml:space="preserve">. </w:t>
      </w:r>
    </w:p>
    <w:p w14:paraId="7284000C" w14:textId="77777777" w:rsidR="00B400D8" w:rsidRPr="008C51C9" w:rsidRDefault="00B400D8" w:rsidP="00B400D8">
      <w:pPr>
        <w:jc w:val="both"/>
        <w:rPr>
          <w:rFonts w:ascii="Times New Roman" w:hAnsi="Times New Roman" w:cs="Times New Roman"/>
          <w:sz w:val="24"/>
          <w:szCs w:val="24"/>
        </w:rPr>
      </w:pPr>
      <w:r w:rsidRPr="008C51C9">
        <w:rPr>
          <w:rFonts w:ascii="Times New Roman" w:hAnsi="Times New Roman" w:cs="Times New Roman"/>
          <w:sz w:val="24"/>
          <w:szCs w:val="24"/>
        </w:rPr>
        <w:t xml:space="preserve">Existing studies suggest that several </w:t>
      </w:r>
      <w:r w:rsidRPr="008C51C9">
        <w:rPr>
          <w:rFonts w:ascii="Times New Roman" w:hAnsi="Times New Roman" w:cs="Times New Roman"/>
          <w:bCs/>
          <w:sz w:val="24"/>
          <w:szCs w:val="24"/>
        </w:rPr>
        <w:t>complementary and alternative medicines (</w:t>
      </w:r>
      <w:r w:rsidRPr="008C51C9">
        <w:rPr>
          <w:rFonts w:ascii="Times New Roman" w:hAnsi="Times New Roman" w:cs="Times New Roman"/>
          <w:sz w:val="24"/>
          <w:szCs w:val="24"/>
        </w:rPr>
        <w:t>CAMs) could be beneficial as an adjunct to conventional medical management of PCOS. They are considered safer than their pharmacological counterparts and in certain cases, have been found clinically effective in reducing the severity of PCOS and its endocrine, cardiometabolic, and reproductive complications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{"citationID":"2h7ip5r1ts","properties":{"formattedCitation":"{\\rtf \\super 117,125\\nosupersub{}}","plainCitation":"117,125"},"citationItems":[{"id":780,"uris":["http://zotero.org/users/4133246/items/BEA5BB67"],"uri":["http://zotero.org/users/4133246/items/BEA5BB67"],"itemData":{"id":780,"type":"article-journal","title":"The physiological basis of complementary and alternative medicines for polycystic ovary syndrome","container-title":"American Journal of Physiology - Endocrinology and Metabolism","page":"E1-E10","volume":"301","issue":"1","source":"PubMed Central","abstract":"Polycystic ovary syndrome (PCOS) is a common endocrine disorder that is characterized by chronic hyperandrogenic anovulation leading to symptoms of hirsutism, acne, irregular menses, and infertility. Multiple metabolic and cardiovascular risk factors are associated with PCOS, including insulin resistance, obesity, type 2 diabetes, hypertension, inflammation, and subclinical atherosclerosis. However, current treatments for PCOS are only moderately effective at controlling symptoms and preventing complications. This article describes how the physiological effects of major complementary and alternative medicine (CAM) treatments could reduce the severity of PCOS and its complications. Acupuncture reduces hyperandrogenism and improves menstrual frequency in PCOS. Acupuncture's clinical effects are mediated via activation of somatic afferent nerves innervating the skin and muscle, which, via modulation of the activity in the somatic and autonomic nervous system, may modulate endocrine and metabolic functions in PCOS. Chinese herbal medicines and dietary supplements may also exert beneficial physiological effects in PCOS, but there is minimal evidence that these CAM treatments are safe and effective. Mindfulness has not been investigated in PCOS, but it has been shown to reduce psychological distress and exert positive effects on the central and autonomic nervous systems, hypothalamic-pituitary-adrenal axis, and immune system, leading to reductions in blood pressure, glucose, and inflammation. In conclusion, CAM treatments may have beneficial endocrine, cardiometabolic, and reproductive effects in PCOS. However, most studies of CAM treatments for PCOS are small, nonrandomized, or uncontrolled. Future well-designed studies are needed to further evaluate the safety, effectiveness, and mechanisms of CAM treatments for PCOS.","DOI":"10.1152/ajpendo.00667.2010","ISSN":"0193-1849","note":"PMID: 21487075\nPMCID: PMC4459923","journalAbbreviation":"Am J Physiol Endocrinol Metab","author":[{"family":"Raja-Khan","given":"Nazia"},{"family":"Stener-Victorin","given":"Elisabet"},{"family":"Wu","given":"XiaoKe"},{"family":"Legro","given":"Richard S."}],"issued":{"date-parts":[["2011",7]]}},"label":"page"},{"id":782,"uris":["http://zotero.org/users/4133246/items/TKKJF5MS"],"uri":["http://zotero.org/users/4133246/items/TKKJF5MS"],"itemData":{"id":782,"type":"article-journal","title":"Herbal medicine for the management of polycystic ovary syndrome (PCOS) and associated oligo/amenorrhoea and hyperandrogenism; a review of the laboratory evidence for effects with corroborative clinical findings","container-title":"BMC Complementary and Alternative Medicine","page":"511","volume":"14","issue":"1","source":"bmccomplementalternmed.biomedcentral.com","abstract":"Polycystic ovary syndrome (PCOS) is a prevalent, complex endocrine disorder characterised by polycystic ovaries, chronic anovulation and hyperandrogenism leading to symptoms of irregular menstrual cycles, hirsutism, acne and infertility. Evidence based medical management emphasises a multidisciplinary approach for PCOS, as conventional pharmaceutical treatment addresses single symptoms, may be contra-indicated, is often associated with side effects and not effective in some cases. In addition women with PCOS have expressed a strong desire for alternative treatments. This review examines the reproductive endocrine effects in PCOS for an alternative treatment, herbal medicine. The aim of this review was to identify consistent evidence from both pre-clinical and clinical research, to add to the evidence base for herbal medicine in PCOS (and associated oligo/amenorrhoea and hyperandrogenism) and to inform herbal selection in the provision clinical care for these common conditions. We undertook two searches of the scientific literature. The first search sought pre-clinical studies which explained the reproductive endocrine effects of whole herbal extracts in oligo/amenorrhoea, hyperandrogenism and PCOS. Herbal medicines from the first search informed key words for the second search. The second search sought clinical studies, which corroborated laboratory findings. Subjects included women with PCOS, menstrual irregularities and hyperandrogenism. A total of 33 studies were included in this review. Eighteen pre-clinical studies reported mechanisms of effect and fifteen clinical studies corroborated pre-clinical findings, including eight randomised controlled trials, and 762 women with menstrual irregularities, hyperandrogenism and/or PCOS. Interventions included herbal extracts of Vitex agnus-castus, Cimicifuga racemosa, Tribulus terrestris, Glycyrrhiza spp., Paeonia lactiflora and Cinnamomum cassia. Endocrine outcomes included reduced luteinising hormone (LH), prolactin, fasting insulin and testosterone. There was evidence for the regulation of ovulation, improved metabolic hormone profile and improved fertility outcomes in PCOS. There was evidence for an equivalent effect of two herbal medicines and the pharmaceutical agents bromocriptine (and Vitex agnus-castus) and clomiphene citrate (and Cimicifuga racemosa). There was less robust evidence for the complementary combination of spirinolactone and Glycyrrhiza spp. for hyperandrogenism. Preclinical and clinical studies provide evidence that six herbal medicines may have beneficial effects for women with oligo/amenorrhea, hyperandrogenism and PCOS. However the quantity of pre-clinical data was limited, and the quality of clinical evidence was variable. Further pre-clinical studies are needed to explain the effects of herbal medicines not included in this review with current clinical evidence but an absence of pre-clinical data.","DOI":"10.1186/1472-6882-14-511","ISSN":"1472-6882","language":"En","author":[{"family":"Arentz","given":"Susan"},{"family":"Abbott","given":"Jason Anthony"},{"family":"Smith","given":"Caroline Anne"},{"family":"Bensoussan","given":"Alan"}],"issued":{"date-parts":[["2014",12]]}},"label":"page"}],"schema":"https://github.com/citation-style-language/schema/raw/master/csl-citation.json"}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w:t>
      </w:r>
      <w:r w:rsidRPr="008C51C9">
        <w:rPr>
          <w:rFonts w:ascii="Times New Roman" w:hAnsi="Times New Roman" w:cs="Times New Roman"/>
          <w:sz w:val="24"/>
          <w:szCs w:val="24"/>
          <w:vertAlign w:val="superscript"/>
        </w:rPr>
        <w:t>7,2</w:t>
      </w:r>
      <w:r w:rsidR="000C04C4" w:rsidRPr="008C51C9">
        <w:rPr>
          <w:rFonts w:ascii="Times New Roman" w:hAnsi="Times New Roman" w:cs="Times New Roman"/>
          <w:sz w:val="24"/>
          <w:szCs w:val="24"/>
          <w:vertAlign w:val="superscript"/>
        </w:rPr>
        <w:t>9</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Essential oils can be used in different ways, including massage, bathing, and inhalation. Different oils are thought to act on the body in different ways, having a relaxing, energizing, calming, or uplifting effect. It is theorized that when massaged, the oils are absorbed by the skin, allowing them to act fast</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{"citationID":"VNOTHPAx","properties":{"formattedCitation":"{\\rtf \\super 140\\uc0\\u8211{}144\\nosupersub{}}","plainCitation":"140–144"},"citationItems":[{"id":185,"uris":["http://zotero.org/users/4133246/items/TA8JHKGP"],"uri":["http://zotero.org/users/4133246/items/TA8JHKGP"],"itemData":{"id":185,"type":"article-journal","title":"Essential oils used in aromatherapy: A systemic review","container-title":"Asian Pacific Journal of Tropical Biomedicine","page":"601-611","volume":"5","issue":"8","source":"ScienceDirect","abstract":"Nowadays, use of alternative and complementary therapies with mainstream medicine has gained the momentum. Aromatherapy is one of the complementary therapies which use essential oils as the major therapeutic agents to treat several diseases. The essential or volatile oils are extracted from the flowers, barks, stem, leaves, roots, fruits and other parts of the plant by various methods. It came into existence after the scientists deciphered the antiseptic and skin permeability properties of essential oils. Inhalation, local application and baths are the major methods used in aromatherapy that utilize these oils to penetrate the human skin surface with marked aura. Once the oils are in the system, they remodulate themselves and work in a friendly manner at the site of malfunction or at the affected area. This type of therapy utilizes various permutation and combinations to get relief from numerous ailments like depression, indigestion, headache, insomnia, muscular pain, respiratory problems, skin ailments, swollen joints, urine associated complications etc. The essential oils are found to be more beneficial when other aspects of life and diet are given due consideration. This review explores the information available in the literature regarding therapeutic, medical, cosmetic, psychological, olfactory, massage aromatherapy, safety issues and different plants used in aromatherapy. All the available information was compiled from electronic databases such as Academic Journals, Ethnobotany, Google Scholar, PubMed, Science Direct, Web of Science, and library search.","DOI":"10.1016/j.apjtb.2015.05.007","ISSN":"2221-1691","shortTitle":"Essential oils used in aromatherapy","journalAbbreviation":"Asian Pacific Journal of Tropical Biomedicine","author":[{"family":"Ali","given":"Babar"},{"family":"Al-Wabel","given":"Naser Ali"},{"family":"Shams","given":"Saiba"},{"family":"Ahamad","given":"Aftab"},{"family":"Khan","given":"Shah Alam"},{"family":"Anwar","given":"Firoz"}],"issued":{"date-parts":[["2015",8,1]]}},"label":"page"},{"id":85,"uris":["http://zotero.org/users/4133246/items/F32X7954"],"uri":["http://zotero.org/users/4133246/items/F32X7954"],"itemData":{"id":85,"type":"article-journal","title":"Aromatherapy facts and fictions: a scientific analysis of olfactory effects on mood, physiology and behavior","container-title":"The International Journal of Neuroscience","page":"263-290","volume":"119","issue":"2","source":"PubMed","abstract":"A systematic review of scientific experimentation addressing olfactory effects on mood, physiology and behavior was undertaken. From this review, 18 studies meeting stringent empirical criteria were then analyzed in detail and it was found that credible evidence that odors can affect mood, physiology and behavior exists. To explain these effects, pharmacological and psychological mechanisms were explored and a psychological interpretation of the data was found to be more comprehensive. Methodological problems regarding dependent measures and stimuli, which led to inconsistencies in the data were discussed, as were the mediating variables of culture, experience, sex differences, and personality.","DOI":"10.1080/00207450802333953","ISSN":"1563-5279","note":"PMID: 19125379","shortTitle":"Aromatherapy facts and fictions","journalAbbreviation":"Int. J. Neurosci.","language":"eng","author":[{"family":"Herz","given":"Rachel S."}],"issued":{"date-parts":[["2009"]]}},"label":"page"},{"id":82,"uris":["http://zotero.org/users/4133246/items/WEM835SP"],"uri":["http://zotero.org/users/4133246/items/WEM835SP"],"itemData":{"id":82,"type":"book","title":"Clinical Aromatherapy in Nursing","publisher":"Singular Publishing Group","number-of-pages":"308","source":"Google Books","abstract":"Discussion of the use of oils and how they may apply to the management of common, specific problems such as infection and pain.","ISBN":"978-1-56593-876-2","language":"en","author":[{"family":"Buckle","given":"Jane"}],"issued":{"date-parts":[["1997"]]}},"label":"page"},{"id":77,"uris":["http://zotero.org/users/4133246/items/35EA2W82"],"uri":["http://zotero.org/users/4133246/items/35EA2W82"],"itemData":{"id":77,"type":"book","title":"Aromatherapy Workbook","publisher":"Inner Traditions / Bear &amp; Co","number-of-pages":"194","source":"Google Books","abstract":"Aromatherapy Workbook, first published in 1990, is an essential guide to the history, folklore, science, and practice of aromatherapy. It features more than seventy essential oils classified by botanical family with detailed discussions of their specific actions, along with unique insights into their energetic and spiritual properties. This revised edition incorporates the latest biochemical research with the spiritual and psychological understanding of essential oils.  Author Marcel Lavabre, a founder of the American Aromatherapy Association, explains the mysterious and powerful influence of scent on our mental state, emotion, and sexuality. He discusses the various methods of extraction, devotes a special section to the art of blending, and presents specific formulas for disorders such as digestive and circulatory ailments, headaches, insomnia, and menstrual problems. Aromatherapy Workbook is an ideal guide for beginners as well as a reference for practitioners. • More than 90,000 copies sold. • Easy-to-follow illustrated reference for beginners. • A desk resource and teaching tool for practicing aromatherapists.","ISBN":"978-0-89281-644-6","note":"Google-Books-ID: VjzNgKAJTEMC","language":"en","author":[{"family":"Lavabre","given":"Marcel"}],"issued":{"date-parts":[["1996",12]]}},"label":"page"},{"id":215,"uris":["http://zotero.org/users/4133246/items/933P9INA"],"uri":["http://zotero.org/users/4133246/items/933P9INA"],"itemData":{"id":215,"type":"article-journal","title":"Evaluating the effectiveness of aromatherapy in reducing levels of anxiety in palliative care patients: results of a pilot study","container-title":"Complementary Therapies in Clinical Practice","page":"148-155","volume":"12","issue":"2","source":"PubMed","abstract":"Results of the pilot study of the four counties randomised controlled trial to evaluate the effectiveness of aromatherapy massage with 1% Santalum album (Sandalwood) (group A) when compared with massage with Sweet Almond Carrier oil, (group B) or Sandalwood oil via an aromastone (group C), in reducing levels of anxiety in palliative care. The aims of the pilot study were to evaluate the effectiveness of aromatherapy in reducing anxiety in patients receiving palliative care in four counties. The primary end points of the research were to report a statistically significant difference in anxiety scores between experimental group (B) and comparison groups (A and C) and to influence the integration of aromatherapy into all aspects of palliative care. The limited data of the pilot study (N=34) tested the logistics of the research, particularly the 25% attrition rate and the robustness of the data collection tools. The results were not substantial enough to generate coherent statistics. Therefore no assumptions could be drawn from these results due to the inconsistencies that were bound to occur in such a small sample. However, the results do seem to support the notion that Sandalwood oil is effective in reducing anxiety.","DOI":"10.1016/j.ctcp.2005.11.003","ISSN":"1744-3881","note":"PMID: 16648093","shortTitle":"Evaluating the effectiveness of aromatherapy in reducing levels of anxiety in palliative care patients","journalAbbreviation":"Complement Ther Clin Pract","language":"eng","author":[{"family":"Kyle","given":"Gaye"}],"issued":{"date-parts":[["2006",5]]}},"label":"page"}],"schema":"https://github.com/citation-style-language/schema/raw/master/csl-citation.json"}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w:t>
      </w:r>
      <w:r w:rsidRPr="008C51C9">
        <w:rPr>
          <w:rFonts w:ascii="Times New Roman" w:hAnsi="Times New Roman" w:cs="Times New Roman"/>
          <w:sz w:val="24"/>
          <w:szCs w:val="24"/>
          <w:vertAlign w:val="superscript"/>
        </w:rPr>
        <w:t>0</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w:t>
      </w:r>
    </w:p>
    <w:p w14:paraId="4D02B110" w14:textId="77777777" w:rsidR="00B400D8" w:rsidRPr="008C51C9" w:rsidRDefault="00B400D8" w:rsidP="00B400D8">
      <w:pPr>
        <w:jc w:val="both"/>
        <w:rPr>
          <w:rFonts w:ascii="Times New Roman" w:hAnsi="Times New Roman" w:cs="Times New Roman"/>
          <w:sz w:val="24"/>
          <w:szCs w:val="24"/>
        </w:rPr>
      </w:pPr>
      <w:r w:rsidRPr="008C51C9">
        <w:rPr>
          <w:rFonts w:ascii="Times New Roman" w:hAnsi="Times New Roman" w:cs="Times New Roman"/>
          <w:sz w:val="24"/>
          <w:szCs w:val="24"/>
        </w:rPr>
        <w:t xml:space="preserve">Some of the essential oils that have been scientifically linked for treatment of PCOS are spearmint oil (of </w:t>
      </w:r>
      <w:r w:rsidRPr="008C51C9">
        <w:rPr>
          <w:rFonts w:ascii="Times New Roman" w:hAnsi="Times New Roman" w:cs="Times New Roman"/>
          <w:i/>
          <w:sz w:val="24"/>
          <w:szCs w:val="24"/>
        </w:rPr>
        <w:t>Mentha spicata</w:t>
      </w:r>
      <w:r w:rsidRPr="008C51C9">
        <w:rPr>
          <w:rFonts w:ascii="Times New Roman" w:hAnsi="Times New Roman" w:cs="Times New Roman"/>
          <w:sz w:val="24"/>
          <w:szCs w:val="24"/>
        </w:rPr>
        <w:t>)</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{"citationID":"1q0e5rh2qh","properties":{"formattedCitation":"{\\rtf \\super 136,137\\nosupersub{}}","plainCitation":"136,137"},"citationItems":[{"id":449,"uris":["http://zotero.org/users/4133246/items/5MXFK5QU"],"uri":["http://zotero.org/users/4133246/items/5MXFK5QU"],"itemData":{"id":449,"type":"article-journal","title":"Role of Essential Oil of Mentha Spicata (Spearmint) in Addressing Reverse Hormonal and Folliculogenesis Disturbances in a Polycystic Ovarian Syndrome in a Rat Model","container-title":"Advanced Pharmaceutical Bulletin","page":"651-654","volume":"7","issue":"4","source":"PubMed Central","abstract":"Purpose: Given the antiandrogenic effects of spearmint, in this study we evaluated the effects of its essential oil on polycystic ovarian syndrome in a rat model., Methods: Female rats were treated as follows: Control, normal rats which received 150 mg/kg spearmint oil or 300 mg/kg spearmint oil, or sesame oil; and PCOS-induced rats which received 150 mg/kg spearmint oil or 300 mg/kg spearmint oil, or sesame oil. Then the animals were killed and the levels of LH, FSH, testosterone and ovarian folliculogenesis were evaluated., Results: Spearmint oil reduced body weight, testosterone level, ovarian cysts and atretic follicles and increased Graafian follicles in PCOS rats., Conclusion: Spearmint has treatment potential on PCOS through inhibition of testosterone and restoration of follicular development in ovarian tissue.","DOI":"10.15171/apb.2017.078","ISSN":"2228-5881","note":"PMID: 29399556\nPMCID: PMC5788221","journalAbbreviation":"Adv Pharm Bull","author":[{"family":"Sadeghi Ataabadi","given":"Mahmood"},{"family":"Alaee","given":"Sanaz"},{"family":"Bagheri","given":"Mohammad Jafar"},{"family":"Bahmanpoor","given":"Soghra"}],"issued":{"date-parts":[["2017",12]]}},"label":"page"},{"id":811,"uris":["http://zotero.org/users/4133246/items/FU5TTDKB"],"uri":["http://zotero.org/users/4133246/items/FU5TTDKB"],"itemData":{"id":811,"type":"article-journal","title":"Spearmint herbal tea has significant anti-androgen effects in polycystic ovarian syndrome. A randomized controlled trial","container-title":"Phytotherapy research: PTR","page":"186-188","volume":"24","issue":"2","source":"PubMed","abstract":"Hirsutism in polycystic ovarian syndrome (PCOS), consequent to elevated androgen levels leads to significant cosmetic and psychological problems. Recent research in Turkey has shown that spearmint tea has antiandrogenic properties in females with hirsutism. No research has yet been undertaken to assess whether a reduction in androgen levels brought about by spearmint tea, translates to a clinical improvement in the degree of hirsutism. This study was a two centre, 30 day randomized controlled trial. Forty two volunteers were randomized to take spearmint tea twice a day for a 1 month period and compared with a placebo herbal tea. At 0, 15 and 30 days of the study serum androgen hormone levels and gonadotrophins were checked, the degree of hirsutism was clinically rated using the Ferriman-Galwey score and a questionnaire (the modified DQLI = Dermatology Quality of Life Index) was used to assess improvements in the level of self-reported hirsutism. Forty one of 42 patients completed the study. Free and total testosterone levels were significantly reduced over the 30 day period in the spearmint tea group (p &lt; 0.05). LH and FSH also increased (p &lt; 0.05). Patient's subjective assessments of their degree of hirsutism scored by the modified DQLI were significantly reduced in the spearmint tea group (p &lt; 0.05). There was, however, no significant reduction in the objective Ferriman-Galwey ratings of hirsutism between the two trial groups over the trial duration (p = 0.12). There was a clear and significant alteration in the relevant hormone levels. This is associated clinically with a reduction in the self-reported degree of hirsutism but unfortunately not with the objectively rated score. It was demonstrated and confirmed that spearmint has antiandrogen properties, the simple fact that this does not clearly translate into clinical practice is due to the relationship between androgen hormones and follicular hair growth and cell turnover time. Simply put, the study duration was not long enough. The original studies from Turkey were in fact only 5 days long. The time taken for hirsutism to resolve is significant and a much longer future study is proposed as the preliminary findings are encouraging that spearmint has the potential for use as a helpful and natural treatment for hirsutism in PCOS.","DOI":"10.1002/ptr.2900","ISSN":"1099-1573","note":"PMID: 19585478","journalAbbreviation":"Phytother Res","language":"eng","author":[{"family":"Grant","given":"Paul"}],"issued":{"date-parts":[["2010",2]]}},"label":"page"}],"schema":"https://github.com/citation-style-language/schema/raw/master/csl-citation.json"}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3</w:t>
      </w:r>
      <w:r w:rsidR="00F362D3" w:rsidRPr="008C51C9">
        <w:rPr>
          <w:rFonts w:ascii="Times New Roman" w:hAnsi="Times New Roman" w:cs="Times New Roman"/>
          <w:sz w:val="24"/>
          <w:szCs w:val="24"/>
          <w:vertAlign w:val="superscript"/>
        </w:rPr>
        <w:t>1</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chamomile oil</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{"citationID":"NvfMLZYD","properties":{"formattedCitation":"{\\rtf \\super 147\\nosupersub{}}","plainCitation":"147"},"citationItems":[{"id":454,"uris":["http://zotero.org/users/4133246/items/8V63RHZ8"],"uri":["http://zotero.org/users/4133246/items/8V63RHZ8"],"itemData":{"id":454,"type":"article-journal","title":"Effects of Chamomile Extract on Biochemical and Clinical Parameters in a Rat Model of Polycystic Ovary Syndrome","container-title":"Journal of Reproduction &amp; Infertility","page":"169-174","volume":"11","issue":"3","source":"PubMed Central","abstract":"Introduction\nPolycystic ovary syndrome (PCOS) is a complex endocrine and metabolic disorder associated with ovulatory dysfunction. Presently, little is known about the primary factors that initiate PCOS. Chamomile flowers are used in alternative medicine for its anti-spasmolytic and anti-inflammatory effects. Antispasmodic properties of chamomile ease menstrual cramps and lessen the possibility of premature labor. This medicinal herb also stimulates menstruation. In this study, we evaluated the effects of Chamomile alcoholic-extract on the biochemical and clinical parameters in a rat model of PCOS.\n\nMaterials and Methods\nEstrous cyclicity of 30 virgin adult cycling rats was monitored by vaginal smears obtained between 0800 and 1200 hours. After about 4 days, each rat received an i.m. injection of Estradiol Valerate (Aburaihan Co., Iran), 2 mg in 0.2 ml of corn oil, to induce PCO. Corn oil was injected to the rats in the control group. All the rats in the experimental group were evaluated for follicular cysts 60 days after the injection. Rats with PCOS were treated by multiple doses (25, 50, 75 mg/kg) of intraperitoneal injections of Chamomile alcoholic-extract for ten days. The data were statistically analyzed at a significance level of p&lt;0.05 by ANOVA, followed by the Student Newman-Keuls post hoc test.\n\nResults\nThe histological and hormonal results showed that Chamomile can decrease the signs of PCOS in the ovarian tissue and help LH secretion in rats (p&lt;0.05).\n\nConclusion\nThe alcoholic-extract of dried Matricaria chamomilla L. flowers can not only induce recovery from a PCO induced state in rats, but also increase dominant follicles. Additionally better endometrial tissue arrangements can be regarded as another therapeutic effect of Chamomile.","ISSN":"2228-5482","note":"PMID: 23926485\nPMCID: PMC3719301","journalAbbreviation":"J Reprod Infertil","author":[{"family":"Zafari Zangeneh","given":"Farideh"},{"family":"Minaee","given":"Bagher"},{"family":"Amirzargar","given":"Ashraf"},{"family":"Ahangarpour","given":"Akram"},{"family":"Mousavizadeh","given":"Kazem"}],"issued":{"date-parts":[["2010"]]}}}],"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32</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dill oil (of </w:t>
      </w:r>
      <w:proofErr w:type="spellStart"/>
      <w:r w:rsidRPr="008C51C9">
        <w:rPr>
          <w:rFonts w:ascii="Times New Roman" w:hAnsi="Times New Roman" w:cs="Times New Roman"/>
          <w:i/>
          <w:sz w:val="24"/>
          <w:szCs w:val="24"/>
        </w:rPr>
        <w:t>Anethumgraveolens</w:t>
      </w:r>
      <w:proofErr w:type="spellEnd"/>
      <w:r w:rsidRPr="008C51C9">
        <w:rPr>
          <w:rFonts w:ascii="Times New Roman" w:hAnsi="Times New Roman" w:cs="Times New Roman"/>
          <w:i/>
          <w:sz w:val="24"/>
          <w:szCs w:val="24"/>
        </w:rPr>
        <w:t xml:space="preserve"> L.</w:t>
      </w:r>
      <w:r w:rsidRPr="008C51C9">
        <w:rPr>
          <w:rFonts w:ascii="Times New Roman" w:hAnsi="Times New Roman" w:cs="Times New Roman"/>
          <w:sz w:val="24"/>
          <w:szCs w:val="24"/>
        </w:rPr>
        <w:t>)</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{"citationID":"5ikj76nrd","properties":{"formattedCitation":"{\\rtf \\super 148,149\\nosupersub{}}","plainCitation":"148,149"},"citationItems":[{"id":817,"uris":["http://zotero.org/users/4133246/items/VESUSJDU"],"uri":["http://zotero.org/users/4133246/items/VESUSJDU"],"itemData":{"id":817,"type":"article","title":"Anethum graveolens L. (dill): One plant for many Gynaecological disorders","URL":"http://oaji.net/articles/2016/3020-1456051978.pdf","accessed":{"date-parts":[["2018",2,27]]}},"label":"page"},{"id":815,"uris":["http://zotero.org/users/4133246/items/8K8XGJG3"],"uri":["http://zotero.org/users/4133246/items/8K8XGJG3"],"itemData":{"id":815,"type":"article-journal","title":"Effect of Dill (Anethum graveolens) on the severity of primary dysmenorrhea in compared with mefenamic acid: A randomized, double-blind trial","container-title":"Journal of Research in Medical Sciences : The Official Journal of Isfahan University of Medical Sciences","page":"326-330","volume":"19","issue":"4","source":"PubMed Central","abstract":"Background:\nDysmenorrhea has negative effects on women's life. Due to side-effects of chemical drugs, there is growing trend toward herbal medicine. The aim of this study was to assess the effect of Dill compared to mefenamic acid on primary dysmenorrhea.\n\nMaterials and Methods:\nThis double-blind, randomized, clinical trial study was conducted on 75 single female students between 18 and 28 years old educating in Nursing and Midwifery School and Paramedical Faculty of Qom University of Medical Sciences of Iran in 2011. They were allocated randomly into one of the three groups: In Dill group, they took 1000 mg of Dill powder q12h for 5 days from 2 days before the beginning of menstruation for two cycles. Other groups received 250 mg mefenamic acid or 500 mg starch capsule as placebo, respectively. Dysmenorrhea severity was determined by a verbal multidimensional scoring system and a visual analog scale (VAS). Students with mild dysmenorrhea were excluded. Data were analyzed by SPSS using the descriptive statistic, paired-samples t-test, Wilcoxon signed-rank test, Mann-Whitney test, and Kruskal-Wallis test.\n\nResults:\nThere were no significant differences between three groups for demographic or descriptive variables. Comprising the VAS showed that the participants of Dill and mefenamic acid groups had lower significant pain in the 1st and the 2nd months after treatment, whereas in the placebo group this was only significant in the 2nd month (P &lt; 0.05).\n\nConclusion:\nDill was as effective as mefenamic acid in reducing the pain severity in primary dysmenorrhea. Further studies regarding side-effects of Dill and its interactivity are recommended.","ISSN":"1735-1995","note":"PMID: 25097605\nPMCID: PMC4115348","shortTitle":"Effect of Dill (Anethum graveolens) on the severity of primary dysmenorrhea in compared with mefenamic acid","journalAbbreviation":"J Res Med Sci","author":[{"family":"Heidarifar","given":"Reza"},{"family":"Mehran","given":"Nahid"},{"family":"Heidari","given":"Akram"},{"family":"Tehran","given":"Hoda Ahmari"},{"family":"Koohbor","given":"Mohammad"},{"family":"Mansourabad","given":"Mostafa Kazemian"}],"issued":{"date-parts":[["2014",4]]}},"label":"page"}],"schema":"https://github.com/citation-style-language/schema/raw/master/csl-citation.json"}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33</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white cedar oil (of </w:t>
      </w:r>
      <w:proofErr w:type="spellStart"/>
      <w:r w:rsidRPr="008C51C9">
        <w:rPr>
          <w:rFonts w:ascii="Times New Roman" w:hAnsi="Times New Roman" w:cs="Times New Roman"/>
          <w:i/>
          <w:sz w:val="24"/>
          <w:szCs w:val="24"/>
        </w:rPr>
        <w:t>Thuja</w:t>
      </w:r>
      <w:proofErr w:type="spellEnd"/>
      <w:r w:rsidR="00DB49FC">
        <w:rPr>
          <w:rFonts w:ascii="Times New Roman" w:hAnsi="Times New Roman" w:cs="Times New Roman"/>
          <w:i/>
          <w:sz w:val="24"/>
          <w:szCs w:val="24"/>
        </w:rPr>
        <w:t xml:space="preserve"> </w:t>
      </w:r>
      <w:proofErr w:type="spellStart"/>
      <w:r w:rsidRPr="008C51C9">
        <w:rPr>
          <w:rFonts w:ascii="Times New Roman" w:hAnsi="Times New Roman" w:cs="Times New Roman"/>
          <w:i/>
          <w:sz w:val="24"/>
          <w:szCs w:val="24"/>
        </w:rPr>
        <w:t>occidentalis</w:t>
      </w:r>
      <w:proofErr w:type="spellEnd"/>
      <w:r w:rsidRPr="008C51C9">
        <w:rPr>
          <w:rFonts w:ascii="Times New Roman" w:hAnsi="Times New Roman" w:cs="Times New Roman"/>
          <w:i/>
          <w:sz w:val="24"/>
          <w:szCs w:val="24"/>
        </w:rPr>
        <w:t xml:space="preserve"> L</w:t>
      </w:r>
      <w:r w:rsidRPr="008C51C9">
        <w:rPr>
          <w:rFonts w:ascii="Times New Roman" w:hAnsi="Times New Roman" w:cs="Times New Roman"/>
          <w:sz w:val="24"/>
          <w:szCs w:val="24"/>
        </w:rPr>
        <w:t>.)</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{"citationID":"oVjWdgZP","properties":{"formattedCitation":"{\\rtf \\super 146\\nosupersub{}}","plainCitation":"146"},"citationItems":[{"id":452,"uris":["http://zotero.org/users/4133246/items/RNIFTJRI"],"uri":["http://zotero.org/users/4133246/items/RNIFTJRI"],"itemData":{"id":452,"type":"article-journal","title":"Thuja occidentalis L. and its active compound, α-thujone: Promising effects in the treatment of polycystic ovary syndrome without inducing osteoporosis","container-title":"Journal of Ethnopharmacology","page":"25-30","volume":"168","source":"ScienceDirect","abstract":"Ethnopharmacological relevance\nThuja occidentalis L. (Cupressaceae) has been used in folk medicine for the treatment of rheumatism, amenorrhea, cystitis, and uterine carcinomas, and as an abortifacient and contraceptive.\nAim of the study\nThe present study aimed to determine whether T. occidentalis oil and α-thujone could be beneficial in the treatment of polycystic ovary syndrome (PCOS).\nMaterials and methods\nT. occidentalis oil and α-thujone were administered to rats with letrozole-induced PCOS for 21 days. At the end of 21 days, the rats were sacrificed and blood samples were taken by cardiac puncture. The levels of serum gonadotropins, steroids, blood lipid, leptin, and glucose and the values of antioxidant parameters were measured.\nResults\nThe results demonstrated that estradiol and progesterone levels significantly increased, while luteinizing hormone (LH) and testosterone levels decreased in the T. occidentalis- and α-thujone-administered groups. The plasma low-density lipoprotein-cholesterol (LDL-C), leptin, and glucose concentrations were also significantly decreased in the T. occidentalis and α-thujone groups when compared to the control group. Histopathological findings demonstrated that the T. occidentalis and α-thujone groups displayed good healing. According to the phytochemical analyses, 25 compounds were identified in the T. occidentalis oil. The main constituents of the oil were the monoterpene ketones α- and β-thujone, fenchone, and sabinene, as well as the diterpenes beyerene and rimuene.\nConclusion\nT. occidentalis essential oil and its active component, α-thujone, can be used for the treatment of PCOS without inducing osteoporosis.","DOI":"10.1016/j.jep.2015.03.029","ISSN":"0378-8741","shortTitle":"Thuja occidentalis L. and its active compound, α-thujone","journalAbbreviation":"Journal of Ethnopharmacology","author":[{"family":"Küpeli Akkol","given":"Esra"},{"family":"İlhan","given":"Mert"},{"family":"Ayşe Demirel","given":"Mürşide"},{"family":"Keleş","given":"Hikmet"},{"family":"Tümen","given":"Ibrahim"},{"family":"Süntar","given":"İpek"}],"issued":{"date-parts":[["2015",6,20]]}}}],"schema":"https://github.com/citation-style-language/schema/raw/master/csl-citation.json"}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w:t>
      </w:r>
      <w:r w:rsidRPr="008C51C9">
        <w:rPr>
          <w:rFonts w:ascii="Times New Roman" w:hAnsi="Times New Roman" w:cs="Times New Roman"/>
          <w:sz w:val="24"/>
          <w:szCs w:val="24"/>
          <w:vertAlign w:val="superscript"/>
        </w:rPr>
        <w:t>4</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and cinnamon oil (of </w:t>
      </w:r>
      <w:proofErr w:type="spellStart"/>
      <w:r w:rsidRPr="008C51C9">
        <w:rPr>
          <w:rFonts w:ascii="Times New Roman" w:hAnsi="Times New Roman" w:cs="Times New Roman"/>
          <w:i/>
          <w:sz w:val="24"/>
          <w:szCs w:val="24"/>
        </w:rPr>
        <w:t>Cinnamomum</w:t>
      </w:r>
      <w:proofErr w:type="spellEnd"/>
      <w:r w:rsidRPr="008C51C9">
        <w:rPr>
          <w:rFonts w:ascii="Times New Roman" w:hAnsi="Times New Roman" w:cs="Times New Roman"/>
          <w:i/>
          <w:sz w:val="24"/>
          <w:szCs w:val="24"/>
        </w:rPr>
        <w:t xml:space="preserve"> cassia</w:t>
      </w:r>
      <w:r w:rsidRPr="008C51C9">
        <w:rPr>
          <w:rFonts w:ascii="Times New Roman" w:hAnsi="Times New Roman" w:cs="Times New Roman"/>
          <w:sz w:val="24"/>
          <w:szCs w:val="24"/>
        </w:rPr>
        <w:t>)</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{"citationID":"2pf3kfpq6g","properties":{"formattedCitation":"{\\rtf \\super 135,150\\nosupersub{}}","plainCitation":"135,150"},"citationItems":[{"id":808,"uris":["http://zotero.org/users/4133246/items/U8J2KSB7"],"uri":["http://zotero.org/users/4133246/items/U8J2KSB7"],"itemData":{"id":808,"type":"article-journal","title":"The effect of cinnamon extract on insulin resistance parameters in polycystic ovary syndrome: a pilot study","container-title":"Fertility and Sterility","page":"240-243","volume":"88","issue":"1","source":"PubMed","abstract":"Cinnamon extract has been shown to reduce insulin resistance in in vitro and in vivo studies by increasing phosphatidylinositol 3-kinase activity in the insulin signaling pathway and thus potentiating insulin action. Fifteen women with polycystic ovary syndrome (PCOS) were randomized to daily oral cinnamon and placebo for 8 weeks. Comparisons of post-treatment to baseline insulin sensitivity indices using fasting and 2-hour oral glucose tolerance tests showed significant reductions in insulin resistance in the cinnamon group but not in the placebo group. A larger trial is needed to confirm the findings of this pilot study and to evaluate the effect of cinnamon extract on menstrual cyclicity.","DOI":"10.1016/j.fertnstert.2006.11.082","ISSN":"1556-5653","note":"PMID: 17296187","shortTitle":"The effect of cinnamon extract on insulin resistance parameters in polycystic ovary syndrome","journalAbbreviation":"Fertil. Steril.","language":"eng","author":[{"family":"Wang","given":"Jeff G."},{"family":"Anderson","given":"Richard A."},{"family":"Graham","given":"George M."},{"family":"Chu","given":"Micheline C."},{"family":"Sauer","given":"Mark V."},{"family":"Guarnaccia","given":"Michael M."},{"family":"Lobo","given":"Rogerio A."}],"issued":{"date-parts":[["2007",7]]}},"label":"page"},{"id":460,"uris":["http://zotero.org/users/4133246/items/3MZBUN9D"],"uri":["http://zotero.org/users/4133246/items/3MZBUN9D"],"itemData":{"id":460,"type":"post-weblog","title":"The Benefits of Cinnamon for PCOS","URL":"http://naumesnd.com/2015/09/10/cinnamon/","language":"en-US","accessed":{"date-parts":[["2018",2,25]]}},"label":"page"}],"schema":"https://github.com/citation-style-language/schema/raw/master/csl-citation.json"}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35</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Other essential oils such as </w:t>
      </w:r>
      <w:proofErr w:type="spellStart"/>
      <w:r w:rsidRPr="008C51C9">
        <w:rPr>
          <w:rFonts w:ascii="Times New Roman" w:hAnsi="Times New Roman" w:cs="Times New Roman"/>
          <w:sz w:val="24"/>
          <w:szCs w:val="24"/>
        </w:rPr>
        <w:t>ylangylang</w:t>
      </w:r>
      <w:proofErr w:type="spellEnd"/>
      <w:r w:rsidRPr="008C51C9">
        <w:rPr>
          <w:rFonts w:ascii="Times New Roman" w:hAnsi="Times New Roman" w:cs="Times New Roman"/>
          <w:sz w:val="24"/>
          <w:szCs w:val="24"/>
        </w:rPr>
        <w:t>, geranium, lavender and clary sage, also claim to be beneficial in treatment of PCOS, but have not been scientifically researched</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{"citationID":"nO4WzafE","properties":{"formattedCitation":"{\\rtf \\super 145\\nosupersub{}}","plainCitation":"145"},"citationItems":[{"id":462,"uris":["http://zotero.org/users/4133246/items/T9U2H326"],"uri":["http://zotero.org/users/4133246/items/T9U2H326"],"itemData":{"id":462,"type":"webpage","title":"Top 5 Essential Oils for PCOS","container-title":"PCOS Diva","abstract":"Essential oils are powerful healers. Women with PCOS can especially benefit. Here are my top 5 favorite essential oils for PCOS.","URL":"https://pcosdiva.com/2017/01/top-5-essential-oils-for-pcos/","language":"en-US","issued":{"date-parts":[["2017",1,23]]},"accessed":{"date-parts":[["2018",2,25]]}}}],"schema":"https://github.com/citation-style-language/schema/raw/master/csl-citation.json"}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w:t>
      </w:r>
    </w:p>
    <w:p w14:paraId="7B4F9172" w14:textId="77777777" w:rsidR="00A34012" w:rsidRPr="008C51C9" w:rsidRDefault="00A34012" w:rsidP="00E45B54">
      <w:pPr>
        <w:jc w:val="both"/>
        <w:rPr>
          <w:rFonts w:ascii="Times New Roman" w:hAnsi="Times New Roman" w:cs="Times New Roman"/>
          <w:sz w:val="24"/>
          <w:szCs w:val="24"/>
        </w:rPr>
      </w:pPr>
      <w:r w:rsidRPr="008C51C9">
        <w:rPr>
          <w:rFonts w:ascii="Times New Roman" w:hAnsi="Times New Roman" w:cs="Times New Roman"/>
          <w:sz w:val="24"/>
          <w:szCs w:val="24"/>
        </w:rPr>
        <w:lastRenderedPageBreak/>
        <w:t>Herbal medicines, 100% natural plant extract based formulations, have demonstrated positive effects in management of PCOS, similar to their pharmacological counterparts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{"citationID":"1qki510shh","properties":{"formattedCitation":"{\\rtf \\super 117,125\\nosupersub{}}","plainCitation":"117,125"},"citationItems":[{"id":780,"uris":["http://zotero.org/users/4133246/items/BEA5BB67"],"uri":["http://zotero.org/users/4133246/items/BEA5BB67"],"itemData":{"id":780,"type":"article-journal","title":"The physiological basis of complementary and alternative medicines for polycystic ovary syndrome","container-title":"American Journal of Physiology - Endocrinology and Metabolism","page":"E1-E10","volume":"301","issue":"1","source":"PubMed Central","abstract":"Polycystic ovary syndrome (PCOS) is a common endocrine disorder that is characterized by chronic hyperandrogenic anovulation leading to symptoms of hirsutism, acne, irregular menses, and infertility. Multiple metabolic and cardiovascular risk factors are associated with PCOS, including insulin resistance, obesity, type 2 diabetes, hypertension, inflammation, and subclinical atherosclerosis. However, current treatments for PCOS are only moderately effective at controlling symptoms and preventing complications. This article describes how the physiological effects of major complementary and alternative medicine (CAM) treatments could reduce the severity of PCOS and its complications. Acupuncture reduces hyperandrogenism and improves menstrual frequency in PCOS. Acupuncture's clinical effects are mediated via activation of somatic afferent nerves innervating the skin and muscle, which, via modulation of the activity in the somatic and autonomic nervous system, may modulate endocrine and metabolic functions in PCOS. Chinese herbal medicines and dietary supplements may also exert beneficial physiological effects in PCOS, but there is minimal evidence that these CAM treatments are safe and effective. Mindfulness has not been investigated in PCOS, but it has been shown to reduce psychological distress and exert positive effects on the central and autonomic nervous systems, hypothalamic-pituitary-adrenal axis, and immune system, leading to reductions in blood pressure, glucose, and inflammation. In conclusion, CAM treatments may have beneficial endocrine, cardiometabolic, and reproductive effects in PCOS. However, most studies of CAM treatments for PCOS are small, nonrandomized, or uncontrolled. Future well-designed studies are needed to further evaluate the safety, effectiveness, and mechanisms of CAM treatments for PCOS.","DOI":"10.1152/ajpendo.00667.2010","ISSN":"0193-1849","note":"PMID: 21487075\nPMCID: PMC4459923","journalAbbreviation":"Am J Physiol Endocrinol Metab","author":[{"family":"Raja-Khan","given":"Nazia"},{"family":"Stener-Victorin","given":"Elisabet"},{"family":"Wu","given":"XiaoKe"},{"family":"Legro","given":"Richard S."}],"issued":{"date-parts":[["2011",7]]}},"label":"page"},{"id":782,"uris":["http://zotero.org/users/4133246/items/TKKJF5MS"],"uri":["http://zotero.org/users/4133246/items/TKKJF5MS"],"itemData":{"id":782,"type":"article-journal","title":"Herbal medicine for the management of polycystic ovary syndrome (PCOS) and associated oligo/amenorrhoea and hyperandrogenism; a review of the laboratory evidence for effects with corroborative clinical findings","container-title":"BMC Complementary and Alternative Medicine","page":"511","volume":"14","issue":"1","source":"bmccomplementalternmed.biomedcentral.com","abstract":"Polycystic ovary syndrome (PCOS) is a prevalent, complex endocrine disorder characterised by polycystic ovaries, chronic anovulation and hyperandrogenism leading to symptoms of irregular menstrual cycles, hirsutism, acne and infertility. Evidence based medical management emphasises a multidisciplinary approach for PCOS, as conventional pharmaceutical treatment addresses single symptoms, may be contra-indicated, is often associated with side effects and not effective in some cases. In addition women with PCOS have expressed a strong desire for alternative treatments. This review examines the reproductive endocrine effects in PCOS for an alternative treatment, herbal medicine. The aim of this review was to identify consistent evidence from both pre-clinical and clinical research, to add to the evidence base for herbal medicine in PCOS (and associated oligo/amenorrhoea and hyperandrogenism) and to inform herbal selection in the provision clinical care for these common conditions. We undertook two searches of the scientific literature. The first search sought pre-clinical studies which explained the reproductive endocrine effects of whole herbal extracts in oligo/amenorrhoea, hyperandrogenism and PCOS. Herbal medicines from the first search informed key words for the second search. The second search sought clinical studies, which corroborated laboratory findings. Subjects included women with PCOS, menstrual irregularities and hyperandrogenism. A total of 33 studies were included in this review. Eighteen pre-clinical studies reported mechanisms of effect and fifteen clinical studies corroborated pre-clinical findings, including eight randomised controlled trials, and 762 women with menstrual irregularities, hyperandrogenism and/or PCOS. Interventions included herbal extracts of Vitex agnus-castus, Cimicifuga racemosa, Tribulus terrestris, Glycyrrhiza spp., Paeonia lactiflora and Cinnamomum cassia. Endocrine outcomes included reduced luteinising hormone (LH), prolactin, fasting insulin and testosterone. There was evidence for the regulation of ovulation, improved metabolic hormone profile and improved fertility outcomes in PCOS. There was evidence for an equivalent effect of two herbal medicines and the pharmaceutical agents bromocriptine (and Vitex agnus-castus) and clomiphene citrate (and Cimicifuga racemosa). There was less robust evidence for the complementary combination of spirinolactone and Glycyrrhiza spp. for hyperandrogenism. Preclinical and clinical studies provide evidence that six herbal medicines may have beneficial effects for women with oligo/amenorrhea, hyperandrogenism and PCOS. However the quantity of pre-clinical data was limited, and the quality of clinical evidence was variable. Further pre-clinical studies are needed to explain the effects of herbal medicines not included in this review with current clinical evidence but an absence of pre-clinical data.","DOI":"10.1186/1472-6882-14-511","ISSN":"1472-6882","language":"En","author":[{"family":"Arentz","given":"Susan"},{"family":"Abbott","given":"Jason Anthony"},{"family":"Smith","given":"Caroline Anne"},{"family":"Bensoussan","given":"Alan"}],"issued":{"date-parts":[["2014",12]]}},"label":"page"}],"schema":"https://github.com/citation-style-language/schema/raw/master/csl-citation.json"}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2</w:t>
      </w:r>
      <w:r w:rsidRPr="008C51C9">
        <w:rPr>
          <w:rFonts w:ascii="Times New Roman" w:hAnsi="Times New Roman" w:cs="Times New Roman"/>
          <w:sz w:val="24"/>
          <w:szCs w:val="24"/>
          <w:vertAlign w:val="superscript"/>
        </w:rPr>
        <w:t>7,2</w:t>
      </w:r>
      <w:r w:rsidR="00F362D3" w:rsidRPr="008C51C9">
        <w:rPr>
          <w:rFonts w:ascii="Times New Roman" w:hAnsi="Times New Roman" w:cs="Times New Roman"/>
          <w:sz w:val="24"/>
          <w:szCs w:val="24"/>
          <w:vertAlign w:val="superscript"/>
        </w:rPr>
        <w:t>9</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Several herbal medicines, ayurvedic products and essential oils are available in the markets that claim to have a beneficial effect in </w:t>
      </w:r>
      <w:r w:rsidR="007D7481" w:rsidRPr="008C51C9">
        <w:rPr>
          <w:rFonts w:ascii="Times New Roman" w:hAnsi="Times New Roman" w:cs="Times New Roman"/>
          <w:sz w:val="24"/>
          <w:szCs w:val="24"/>
        </w:rPr>
        <w:t>pati</w:t>
      </w:r>
      <w:r w:rsidR="00230B9F" w:rsidRPr="008C51C9">
        <w:rPr>
          <w:rFonts w:ascii="Times New Roman" w:hAnsi="Times New Roman" w:cs="Times New Roman"/>
          <w:sz w:val="24"/>
          <w:szCs w:val="24"/>
        </w:rPr>
        <w:t>ents</w:t>
      </w:r>
      <w:r w:rsidRPr="008C51C9">
        <w:rPr>
          <w:rFonts w:ascii="Times New Roman" w:hAnsi="Times New Roman" w:cs="Times New Roman"/>
          <w:sz w:val="24"/>
          <w:szCs w:val="24"/>
        </w:rPr>
        <w:t xml:space="preserve"> of PCOS, but only few claims have been validated through laboratory and clinical evidences and most studies are small, nonrandomized, or uncontrolled</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{"citationID":"SMpEMTaY","properties":{"formattedCitation":"{\\rtf \\super 125\\nosupersub{}}","plainCitation":"125"},"citationItems":[{"id":782,"uris":["http://zotero.org/users/4133246/items/TKKJF5MS"],"uri":["http://zotero.org/users/4133246/items/TKKJF5MS"],"itemData":{"id":782,"type":"article-journal","title":"Herbal medicine for the management of polycystic ovary syndrome (PCOS) and associated oligo/amenorrhoea and hyperandrogenism; a review of the laboratory evidence for effects with corroborative clinical findings","container-title":"BMC Complementary and Alternative Medicine","page":"511","volume":"14","issue":"1","source":"bmccomplementalternmed.biomedcentral.com","abstract":"Polycystic ovary syndrome (PCOS) is a prevalent, complex endocrine disorder characterised by polycystic ovaries, chronic anovulation and hyperandrogenism leading to symptoms of irregular menstrual cycles, hirsutism, acne and infertility. Evidence based medical management emphasises a multidisciplinary approach for PCOS, as conventional pharmaceutical treatment addresses single symptoms, may be contra-indicated, is often associated with side effects and not effective in some cases. In addition women with PCOS have expressed a strong desire for alternative treatments. This review examines the reproductive endocrine effects in PCOS for an alternative treatment, herbal medicine. The aim of this review was to identify consistent evidence from both pre-clinical and clinical research, to add to the evidence base for herbal medicine in PCOS (and associated oligo/amenorrhoea and hyperandrogenism) and to inform herbal selection in the provision clinical care for these common conditions. We undertook two searches of the scientific literature. The first search sought pre-clinical studies which explained the reproductive endocrine effects of whole herbal extracts in oligo/amenorrhoea, hyperandrogenism and PCOS. Herbal medicines from the first search informed key words for the second search. The second search sought clinical studies, which corroborated laboratory findings. Subjects included women with PCOS, menstrual irregularities and hyperandrogenism. A total of 33 studies were included in this review. Eighteen pre-clinical studies reported mechanisms of effect and fifteen clinical studies corroborated pre-clinical findings, including eight randomised controlled trials, and 762 women with menstrual irregularities, hyperandrogenism and/or PCOS. Interventions included herbal extracts of Vitex agnus-castus, Cimicifuga racemosa, Tribulus terrestris, Glycyrrhiza spp., Paeonia lactiflora and Cinnamomum cassia. Endocrine outcomes included reduced luteinising hormone (LH), prolactin, fasting insulin and testosterone. There was evidence for the regulation of ovulation, improved metabolic hormone profile and improved fertility outcomes in PCOS. There was evidence for an equivalent effect of two herbal medicines and the pharmaceutical agents bromocriptine (and Vitex agnus-castus) and clomiphene citrate (and Cimicifuga racemosa). There was less robust evidence for the complementary combination of spirinolactone and Glycyrrhiza spp. for hyperandrogenism. Preclinical and clinical studies provide evidence that six herbal medicines may have beneficial effects for women with oligo/amenorrhea, hyperandrogenism and PCOS. However the quantity of pre-clinical data was limited, and the quality of clinical evidence was variable. Further pre-clinical studies are needed to explain the effects of herbal medicines not included in this review with current clinical evidence but an absence of pre-clinical data.","DOI":"10.1186/1472-6882-14-511","ISSN":"1472-6882","language":"En","author":[{"family":"Arentz","given":"Susan"},{"family":"Abbott","given":"Jason Anthony"},{"family":"Smith","given":"Caroline Anne"},{"family":"Bensoussan","given":"Alan"}],"issued":{"date-parts":[["2014",12]]}}}],"schema":"https://github.com/citation-style-language/schema/raw/master/csl-citation.json"}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2</w:t>
      </w:r>
      <w:r w:rsidR="00F362D3" w:rsidRPr="008C51C9">
        <w:rPr>
          <w:rFonts w:ascii="Times New Roman" w:hAnsi="Times New Roman" w:cs="Times New Roman"/>
          <w:sz w:val="24"/>
          <w:szCs w:val="24"/>
          <w:vertAlign w:val="superscript"/>
        </w:rPr>
        <w:t>9</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Till date, role of essential oil in management of PCOS has mainly been studie</w:t>
      </w:r>
      <w:r w:rsidR="00230B9F" w:rsidRPr="008C51C9">
        <w:rPr>
          <w:rFonts w:ascii="Times New Roman" w:hAnsi="Times New Roman" w:cs="Times New Roman"/>
          <w:sz w:val="24"/>
          <w:szCs w:val="24"/>
        </w:rPr>
        <w:t>d</w:t>
      </w:r>
      <w:r w:rsidRPr="008C51C9">
        <w:rPr>
          <w:rFonts w:ascii="Times New Roman" w:hAnsi="Times New Roman" w:cs="Times New Roman"/>
          <w:sz w:val="24"/>
          <w:szCs w:val="24"/>
        </w:rPr>
        <w:t xml:space="preserve"> on rat models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{"citationID":"a1lmDnWS","properties":{"formattedCitation":"{\\rtf \\super 130,136,147,148\\nosupersub{}}","plainCitation":"130,136,147,148"},"citationItems":[{"id":800,"uris":["http://zotero.org/users/4133246/items/RVTR87U8"],"uri":["http://zotero.org/users/4133246/items/RVTR87U8"],"itemData":{"id":800,"type":"article-journal","title":"Alternative treatment of ovarian cysts with Tribulus terrestris extract: a rat model","container-title":"Reproduction in Domestic Animals = Zuchthygiene","page":"e12-15","volume":"47","issue":"1","source":"PubMed","abstract":"Tribulus terrestris has long been used in traditional medicine to treat impotency and improve sexual functions in man. The aim of this study was to evaluate the efficiency of T. terrestris extract in the treatment of polycystic ovary (PCO) in Wistar rat. Estradiol valerate was injected to 15 mature Wistar rats to induce PCO. Rats were randomly divided into three groups (control, low-dose and high-dose groups) of five each and received 0, 5 and 10 mg of T. terrestris extract, respectively.Treatments began on days 50 and 61 after estradiol injection; at the same time, vaginal smear was prepared. The ovaries were removed on day 62, and histological sections were prepared accordingly. The number and diameter of corpora lutea, thickness of the theca interna layer and the number of all follicles were evaluated in both ovaries. In comparison with the control group, the number of corpora lutea and primary and secondary follicles significantly increased following T. terrestris treatment; however, the number of ovarian cysts significantly decreased. It can be concluded that T. terrestris have a luteinizing effect on ovarian cysts, which may relate to its gonadotropin-like activity; also, a high dose of the extract can efficiently remove ovarian cysts and resume ovarian activity.","DOI":"10.1111/j.1439-0531.2011.01877.x","ISSN":"1439-0531","note":"PMID: 21883512","shortTitle":"Alternative treatment of ovarian cysts with Tribulus terrestris extract","journalAbbreviation":"Reprod. Domest. Anim.","language":"eng","author":[{"family":"Dehghan","given":"A."},{"family":"Esfandiari","given":"A."},{"family":"Bigdeli","given":"S. Momeni"}],"issued":{"date-parts":[["2012",2]]}},"label":"page"},{"id":449,"uris":["http://zotero.org/users/4133246/items/5MXFK5QU"],"uri":["http://zotero.org/users/4133246/items/5MXFK5QU"],"itemData":{"id":449,"type":"article-journal","title":"Role of Essential Oil of Mentha Spicata (Spearmint) in Addressing Reverse Hormonal and Folliculogenesis Disturbances in a Polycystic Ovarian Syndrome in a Rat Model","container-title":"Advanced Pharmaceutical Bulletin","page":"651-654","volume":"7","issue":"4","source":"PubMed Central","abstract":"Purpose: Given the antiandrogenic effects of spearmint, in this study we evaluated the effects of its essential oil on polycystic ovarian syndrome in a rat model., Methods: Female rats were treated as follows: Control, normal rats which received 150 mg/kg spearmint oil or 300 mg/kg spearmint oil, or sesame oil; and PCOS-induced rats which received 150 mg/kg spearmint oil or 300 mg/kg spearmint oil, or sesame oil. Then the animals were killed and the levels of LH, FSH, testosterone and ovarian folliculogenesis were evaluated., Results: Spearmint oil reduced body weight, testosterone level, ovarian cysts and atretic follicles and increased Graafian follicles in PCOS rats., Conclusion: Spearmint has treatment potential on PCOS through inhibition of testosterone and restoration of follicular development in ovarian tissue.","DOI":"10.15171/apb.2017.078","ISSN":"2228-5881","note":"PMID: 29399556\nPMCID: PMC5788221","journalAbbreviation":"Adv Pharm Bull","author":[{"family":"Sadeghi Ataabadi","given":"Mahmood"},{"family":"Alaee","given":"Sanaz"},{"family":"Bagheri","given":"Mohammad Jafar"},{"family":"Bahmanpoor","given":"Soghra"}],"issued":{"date-parts":[["2017",12]]}},"label":"page"},{"id":454,"uris":["http://zotero.org/users/4133246/items/8V63RHZ8"],"uri":["http://zotero.org/users/4133246/items/8V63RHZ8"],"itemData":{"id":454,"type":"article-journal","title":"Effects of Chamomile Extract on Biochemical and Clinical Parameters in a Rat Model of Polycystic Ovary Syndrome","container-title":"Journal of Reproduction &amp; Infertility","page":"169-174","volume":"11","issue":"3","source":"PubMed Central","abstract":"Introduction\nPolycystic ovary syndrome (PCOS) is a complex endocrine and metabolic disorder associated with ovulatory dysfunction. Presently, little is known about the primary factors that initiate PCOS. Chamomile flowers are used in alternative medicine for its anti-spasmolytic and anti-inflammatory effects. Antispasmodic properties of chamomile ease menstrual cramps and lessen the possibility of premature labor. This medicinal herb also stimulates menstruation. In this study, we evaluated the effects of Chamomile alcoholic-extract on the biochemical and clinical parameters in a rat model of PCOS.\n\nMaterials and Methods\nEstrous cyclicity of 30 virgin adult cycling rats was monitored by vaginal smears obtained between 0800 and 1200 hours. After about 4 days, each rat received an i.m. injection of Estradiol Valerate (Aburaihan Co., Iran), 2 mg in 0.2 ml of corn oil, to induce PCO. Corn oil was injected to the rats in the control group. All the rats in the experimental group were evaluated for follicular cysts 60 days after the injection. Rats with PCOS were treated by multiple doses (25, 50, 75 mg/kg) of intraperitoneal injections of Chamomile alcoholic-extract for ten days. The data were statistically analyzed at a significance level of p&lt;0.05 by ANOVA, followed by the Student Newman-Keuls post hoc test.\n\nResults\nThe histological and hormonal results showed that Chamomile can decrease the signs of PCOS in the ovarian tissue and help LH secretion in rats (p&lt;0.05).\n\nConclusion\nThe alcoholic-extract of dried Matricaria chamomilla L. flowers can not only induce recovery from a PCO induced state in rats, but also increase dominant follicles. Additionally better endometrial tissue arrangements can be regarded as another therapeutic effect of Chamomile.","ISSN":"2228-5482","note":"PMID: 23926485\nPMCID: PMC3719301","journalAbbreviation":"J Reprod Infertil","author":[{"family":"Zafari Zangeneh","given":"Farideh"},{"family":"Minaee","given":"Bagher"},{"family":"Amirzargar","given":"Ashraf"},{"family":"Ahangarpour","given":"Akram"},{"family":"Mousavizadeh","given":"Kazem"}],"issued":{"date-parts":[["2010"]]}},"label":"page"},{"id":815,"uris":["http://zotero.org/users/4133246/items/8K8XGJG3"],"uri":["http://zotero.org/users/4133246/items/8K8XGJG3"],"itemData":{"id":815,"type":"article-journal","title":"Effect of Dill (Anethum graveolens) on the severity of primary dysmenorrhea in compared with mefenamic acid: A randomized, double-blind trial","container-title":"Journal of Research in Medical Sciences : The Official Journal of Isfahan University of Medical Sciences","page":"326-330","volume":"19","issue":"4","source":"PubMed Central","abstract":"Background:\nDysmenorrhea has negative effects on women's life. Due to side-effects of chemical drugs, there is growing trend toward herbal medicine. The aim of this study was to assess the effect of Dill compared to mefenamic acid on primary dysmenorrhea.\n\nMaterials and Methods:\nThis double-blind, randomized, clinical trial study was conducted on 75 single female students between 18 and 28 years old educating in Nursing and Midwifery School and Paramedical Faculty of Qom University of Medical Sciences of Iran in 2011. They were allocated randomly into one of the three groups: In Dill group, they took 1000 mg of Dill powder q12h for 5 days from 2 days before the beginning of menstruation for two cycles. Other groups received 250 mg mefenamic acid or 500 mg starch capsule as placebo, respectively. Dysmenorrhea severity was determined by a verbal multidimensional scoring system and a visual analog scale (VAS). Students with mild dysmenorrhea were excluded. Data were analyzed by SPSS using the descriptive statistic, paired-samples t-test, Wilcoxon signed-rank test, Mann-Whitney test, and Kruskal-Wallis test.\n\nResults:\nThere were no significant differences between three groups for demographic or descriptive variables. Comprising the VAS showed that the participants of Dill and mefenamic acid groups had lower significant pain in the 1st and the 2nd months after treatment, whereas in the placebo group this was only significant in the 2nd month (P &lt; 0.05).\n\nConclusion:\nDill was as effective as mefenamic acid in reducing the pain severity in primary dysmenorrhea. Further studies regarding side-effects of Dill and its interactivity are recommended.","ISSN":"1735-1995","note":"PMID: 25097605\nPMCID: PMC4115348","shortTitle":"Effect of Dill (Anethum graveolens) on the severity of primary dysmenorrhea in compared with mefenamic acid","journalAbbreviation":"J Res Med Sci","author":[{"family":"Heidarifar","given":"Reza"},{"family":"Mehran","given":"Nahid"},{"family":"Heidari","given":"Akram"},{"family":"Tehran","given":"Hoda Ahmari"},{"family":"Koohbor","given":"Mohammad"},{"family":"Mansourabad","given":"Mostafa Kazemian"}],"issued":{"date-parts":[["2014",4]]}},"label":"page"}],"schema":"https://github.com/citation-style-language/schema/raw/master/csl-citation.json"}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32,3</w:t>
      </w:r>
      <w:r w:rsidR="00006B69">
        <w:rPr>
          <w:rFonts w:ascii="Times New Roman" w:hAnsi="Times New Roman" w:cs="Times New Roman"/>
          <w:sz w:val="24"/>
          <w:szCs w:val="24"/>
          <w:vertAlign w:val="superscript"/>
        </w:rPr>
        <w:t>5</w:t>
      </w:r>
      <w:r w:rsidR="00F362D3" w:rsidRPr="008C51C9">
        <w:rPr>
          <w:rFonts w:ascii="Times New Roman" w:hAnsi="Times New Roman" w:cs="Times New Roman"/>
          <w:sz w:val="24"/>
          <w:szCs w:val="24"/>
          <w:vertAlign w:val="superscript"/>
        </w:rPr>
        <w:t>,3</w:t>
      </w:r>
      <w:r w:rsidR="000F4FEC">
        <w:rPr>
          <w:rFonts w:ascii="Times New Roman" w:hAnsi="Times New Roman" w:cs="Times New Roman"/>
          <w:sz w:val="24"/>
          <w:szCs w:val="24"/>
          <w:vertAlign w:val="superscript"/>
        </w:rPr>
        <w:t>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and there are no clinical trials proving beneficial effect of topical application of essential oil and its safety in treatment of PCOS. </w:t>
      </w:r>
    </w:p>
    <w:p w14:paraId="368BAC10" w14:textId="77777777" w:rsidR="00A34012" w:rsidRPr="008C51C9" w:rsidRDefault="007E228B" w:rsidP="00E45B54">
      <w:pPr>
        <w:jc w:val="both"/>
        <w:rPr>
          <w:rFonts w:ascii="Times New Roman" w:hAnsi="Times New Roman" w:cs="Times New Roman"/>
          <w:sz w:val="24"/>
          <w:szCs w:val="24"/>
        </w:rPr>
      </w:pPr>
      <w:r w:rsidRPr="008C51C9">
        <w:rPr>
          <w:rFonts w:ascii="Times New Roman" w:hAnsi="Times New Roman" w:cs="Times New Roman"/>
          <w:sz w:val="24"/>
          <w:szCs w:val="24"/>
        </w:rPr>
        <w:t>The test product</w:t>
      </w:r>
      <w:r w:rsidR="00D24B26" w:rsidRPr="008C51C9">
        <w:rPr>
          <w:rFonts w:ascii="Times New Roman" w:hAnsi="Times New Roman" w:cs="Times New Roman"/>
          <w:sz w:val="24"/>
          <w:szCs w:val="24"/>
        </w:rPr>
        <w:t>, a therapeutic blend of oils, is</w:t>
      </w:r>
      <w:r w:rsidRPr="008C51C9">
        <w:rPr>
          <w:rFonts w:ascii="Times New Roman" w:hAnsi="Times New Roman" w:cs="Times New Roman"/>
          <w:sz w:val="24"/>
          <w:szCs w:val="24"/>
        </w:rPr>
        <w:t xml:space="preserve"> </w:t>
      </w:r>
      <w:r w:rsidR="00A34012" w:rsidRPr="008C51C9">
        <w:rPr>
          <w:rFonts w:ascii="Times New Roman" w:hAnsi="Times New Roman" w:cs="Times New Roman"/>
          <w:sz w:val="24"/>
          <w:szCs w:val="24"/>
        </w:rPr>
        <w:t xml:space="preserve">prepared using </w:t>
      </w:r>
      <w:r w:rsidR="00D24B26" w:rsidRPr="008C51C9">
        <w:rPr>
          <w:rFonts w:ascii="Times New Roman" w:hAnsi="Times New Roman" w:cs="Times New Roman"/>
          <w:sz w:val="24"/>
          <w:szCs w:val="24"/>
        </w:rPr>
        <w:t xml:space="preserve">traditional principles of Ayurveda </w:t>
      </w:r>
      <w:r w:rsidR="00843113" w:rsidRPr="008C51C9">
        <w:rPr>
          <w:rFonts w:ascii="Times New Roman" w:hAnsi="Times New Roman" w:cs="Times New Roman"/>
          <w:sz w:val="24"/>
          <w:szCs w:val="24"/>
        </w:rPr>
        <w:t>by blending plants extracts with volatile oils. This blend helps support the body’s intrinsic healing processes.</w:t>
      </w:r>
      <w:r w:rsidR="00A34012" w:rsidRPr="008C51C9">
        <w:rPr>
          <w:rFonts w:ascii="Times New Roman" w:hAnsi="Times New Roman" w:cs="Times New Roman"/>
          <w:sz w:val="24"/>
          <w:szCs w:val="24"/>
        </w:rPr>
        <w:t xml:space="preserve"> The proprietary composition of </w:t>
      </w:r>
      <w:r w:rsidR="006B3305" w:rsidRPr="008C51C9">
        <w:rPr>
          <w:rFonts w:ascii="Times New Roman" w:hAnsi="Times New Roman" w:cs="Times New Roman"/>
          <w:sz w:val="24"/>
          <w:szCs w:val="24"/>
        </w:rPr>
        <w:t xml:space="preserve">the </w:t>
      </w:r>
      <w:r w:rsidR="00A34012" w:rsidRPr="008C51C9">
        <w:rPr>
          <w:rFonts w:ascii="Times New Roman" w:hAnsi="Times New Roman" w:cs="Times New Roman"/>
          <w:sz w:val="24"/>
          <w:szCs w:val="24"/>
        </w:rPr>
        <w:t>oil blend i</w:t>
      </w:r>
      <w:r w:rsidR="00F663D9" w:rsidRPr="008C51C9">
        <w:rPr>
          <w:rFonts w:ascii="Times New Roman" w:hAnsi="Times New Roman" w:cs="Times New Roman"/>
          <w:sz w:val="24"/>
          <w:szCs w:val="24"/>
        </w:rPr>
        <w:t>s given in Table</w:t>
      </w:r>
      <w:r w:rsidR="00A477D4" w:rsidRPr="008C51C9">
        <w:rPr>
          <w:rFonts w:ascii="Times New Roman" w:hAnsi="Times New Roman" w:cs="Times New Roman"/>
          <w:sz w:val="24"/>
          <w:szCs w:val="24"/>
        </w:rPr>
        <w:t>1</w:t>
      </w:r>
      <w:r w:rsidR="00D354A4" w:rsidRPr="008C51C9">
        <w:rPr>
          <w:rFonts w:ascii="Times New Roman" w:hAnsi="Times New Roman" w:cs="Times New Roman"/>
          <w:sz w:val="24"/>
          <w:szCs w:val="24"/>
        </w:rPr>
        <w:t xml:space="preserve">. The placebo oil used is </w:t>
      </w:r>
      <w:r w:rsidR="00E779C7">
        <w:rPr>
          <w:rFonts w:ascii="Times New Roman" w:hAnsi="Times New Roman" w:cs="Times New Roman"/>
          <w:sz w:val="24"/>
          <w:szCs w:val="24"/>
        </w:rPr>
        <w:t xml:space="preserve">a blend of </w:t>
      </w:r>
      <w:r w:rsidR="00D354A4" w:rsidRPr="008C51C9">
        <w:rPr>
          <w:rFonts w:ascii="Times New Roman" w:hAnsi="Times New Roman" w:cs="Times New Roman"/>
          <w:sz w:val="24"/>
          <w:szCs w:val="24"/>
        </w:rPr>
        <w:t>oil</w:t>
      </w:r>
      <w:r w:rsidR="00E779C7">
        <w:rPr>
          <w:rFonts w:ascii="Times New Roman" w:hAnsi="Times New Roman" w:cs="Times New Roman"/>
          <w:sz w:val="24"/>
          <w:szCs w:val="24"/>
        </w:rPr>
        <w:t xml:space="preserve">s </w:t>
      </w:r>
      <w:proofErr w:type="spellStart"/>
      <w:r w:rsidR="00E779C7">
        <w:rPr>
          <w:rFonts w:ascii="Times New Roman" w:hAnsi="Times New Roman" w:cs="Times New Roman"/>
          <w:sz w:val="24"/>
          <w:szCs w:val="24"/>
        </w:rPr>
        <w:t>soyabean</w:t>
      </w:r>
      <w:proofErr w:type="spellEnd"/>
      <w:r w:rsidR="00E779C7">
        <w:rPr>
          <w:rFonts w:ascii="Times New Roman" w:hAnsi="Times New Roman" w:cs="Times New Roman"/>
          <w:sz w:val="24"/>
          <w:szCs w:val="24"/>
        </w:rPr>
        <w:t xml:space="preserve">, sunflower and </w:t>
      </w:r>
      <w:proofErr w:type="spellStart"/>
      <w:r w:rsidR="00E779C7">
        <w:rPr>
          <w:rFonts w:ascii="Times New Roman" w:hAnsi="Times New Roman" w:cs="Times New Roman"/>
          <w:sz w:val="24"/>
          <w:szCs w:val="24"/>
        </w:rPr>
        <w:t>musturd</w:t>
      </w:r>
      <w:proofErr w:type="spellEnd"/>
      <w:r w:rsidR="00D354A4" w:rsidRPr="008C51C9">
        <w:rPr>
          <w:rFonts w:ascii="Times New Roman" w:hAnsi="Times New Roman" w:cs="Times New Roman"/>
          <w:sz w:val="24"/>
          <w:szCs w:val="24"/>
        </w:rPr>
        <w:t>.</w:t>
      </w:r>
    </w:p>
    <w:p w14:paraId="2754C026" w14:textId="77777777" w:rsidR="00F663D9" w:rsidRPr="008C51C9" w:rsidRDefault="00F663D9" w:rsidP="00E45B54">
      <w:pPr>
        <w:jc w:val="both"/>
        <w:rPr>
          <w:rFonts w:ascii="Times New Roman" w:hAnsi="Times New Roman" w:cs="Times New Roman"/>
          <w:sz w:val="24"/>
          <w:szCs w:val="24"/>
        </w:rPr>
      </w:pPr>
    </w:p>
    <w:tbl>
      <w:tblPr>
        <w:tblW w:w="8815" w:type="dxa"/>
        <w:tblLook w:val="04A0" w:firstRow="1" w:lastRow="0" w:firstColumn="1" w:lastColumn="0" w:noHBand="0" w:noVBand="1"/>
      </w:tblPr>
      <w:tblGrid>
        <w:gridCol w:w="1315"/>
        <w:gridCol w:w="2550"/>
        <w:gridCol w:w="854"/>
        <w:gridCol w:w="1126"/>
        <w:gridCol w:w="2160"/>
        <w:gridCol w:w="810"/>
      </w:tblGrid>
      <w:tr w:rsidR="006B3305" w:rsidRPr="008C51C9" w14:paraId="11F72A1B" w14:textId="77777777" w:rsidTr="007576C1">
        <w:trPr>
          <w:trHeight w:val="300"/>
        </w:trPr>
        <w:tc>
          <w:tcPr>
            <w:tcW w:w="38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5C3F94" w14:textId="77777777" w:rsidR="006B3305" w:rsidRPr="008C51C9" w:rsidRDefault="006B3305" w:rsidP="006B3305">
            <w:pPr>
              <w:spacing w:after="0" w:line="240" w:lineRule="auto"/>
              <w:jc w:val="center"/>
              <w:rPr>
                <w:rFonts w:ascii="Calibri" w:eastAsia="Times New Roman" w:hAnsi="Calibri" w:cs="Calibri"/>
                <w:b/>
                <w:bCs/>
                <w:color w:val="000000"/>
                <w:lang w:val="en-US"/>
              </w:rPr>
            </w:pPr>
            <w:r w:rsidRPr="008C51C9">
              <w:rPr>
                <w:rFonts w:ascii="Calibri" w:eastAsia="Times New Roman" w:hAnsi="Calibri" w:cs="Calibri"/>
                <w:b/>
                <w:bCs/>
                <w:color w:val="000000"/>
                <w:lang w:val="en-US"/>
              </w:rPr>
              <w:t>Plant Extracts from</w:t>
            </w:r>
          </w:p>
        </w:tc>
        <w:tc>
          <w:tcPr>
            <w:tcW w:w="495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2FFFF6F" w14:textId="77777777" w:rsidR="006B3305" w:rsidRPr="008C51C9" w:rsidRDefault="006B3305" w:rsidP="006B3305">
            <w:pPr>
              <w:spacing w:after="0" w:line="240" w:lineRule="auto"/>
              <w:jc w:val="center"/>
              <w:rPr>
                <w:rFonts w:ascii="Calibri" w:eastAsia="Times New Roman" w:hAnsi="Calibri" w:cs="Calibri"/>
                <w:b/>
                <w:bCs/>
                <w:color w:val="000000"/>
                <w:lang w:val="en-US"/>
              </w:rPr>
            </w:pPr>
            <w:r w:rsidRPr="008C51C9">
              <w:rPr>
                <w:rFonts w:ascii="Calibri" w:eastAsia="Times New Roman" w:hAnsi="Calibri" w:cs="Calibri"/>
                <w:b/>
                <w:bCs/>
                <w:color w:val="000000"/>
                <w:lang w:val="en-US"/>
              </w:rPr>
              <w:t xml:space="preserve">Base Oil </w:t>
            </w:r>
          </w:p>
        </w:tc>
      </w:tr>
      <w:tr w:rsidR="007576C1" w:rsidRPr="008C51C9" w14:paraId="33C450A0" w14:textId="77777777" w:rsidTr="007576C1">
        <w:trPr>
          <w:trHeight w:val="600"/>
        </w:trPr>
        <w:tc>
          <w:tcPr>
            <w:tcW w:w="1315" w:type="dxa"/>
            <w:tcBorders>
              <w:top w:val="nil"/>
              <w:left w:val="single" w:sz="4" w:space="0" w:color="auto"/>
              <w:bottom w:val="single" w:sz="4" w:space="0" w:color="auto"/>
              <w:right w:val="single" w:sz="4" w:space="0" w:color="auto"/>
            </w:tcBorders>
            <w:shd w:val="clear" w:color="000000" w:fill="FFFFFF"/>
            <w:vAlign w:val="center"/>
            <w:hideMark/>
          </w:tcPr>
          <w:p w14:paraId="52170D0C"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English Name</w:t>
            </w:r>
          </w:p>
        </w:tc>
        <w:tc>
          <w:tcPr>
            <w:tcW w:w="2550" w:type="dxa"/>
            <w:tcBorders>
              <w:top w:val="nil"/>
              <w:left w:val="nil"/>
              <w:bottom w:val="single" w:sz="4" w:space="0" w:color="auto"/>
              <w:right w:val="single" w:sz="4" w:space="0" w:color="auto"/>
            </w:tcBorders>
            <w:shd w:val="clear" w:color="000000" w:fill="FFFFFF"/>
            <w:vAlign w:val="center"/>
            <w:hideMark/>
          </w:tcPr>
          <w:p w14:paraId="595C6AE3"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Latin Name</w:t>
            </w:r>
          </w:p>
        </w:tc>
        <w:tc>
          <w:tcPr>
            <w:tcW w:w="854" w:type="dxa"/>
            <w:tcBorders>
              <w:top w:val="nil"/>
              <w:left w:val="nil"/>
              <w:bottom w:val="single" w:sz="4" w:space="0" w:color="auto"/>
              <w:right w:val="single" w:sz="4" w:space="0" w:color="auto"/>
            </w:tcBorders>
            <w:shd w:val="clear" w:color="000000" w:fill="FFFFFF"/>
            <w:vAlign w:val="center"/>
            <w:hideMark/>
          </w:tcPr>
          <w:p w14:paraId="497D6506"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%age</w:t>
            </w:r>
          </w:p>
        </w:tc>
        <w:tc>
          <w:tcPr>
            <w:tcW w:w="1126" w:type="dxa"/>
            <w:tcBorders>
              <w:top w:val="nil"/>
              <w:left w:val="nil"/>
              <w:bottom w:val="single" w:sz="4" w:space="0" w:color="auto"/>
              <w:right w:val="single" w:sz="4" w:space="0" w:color="auto"/>
            </w:tcBorders>
            <w:shd w:val="clear" w:color="000000" w:fill="FFFFFF"/>
            <w:vAlign w:val="center"/>
            <w:hideMark/>
          </w:tcPr>
          <w:p w14:paraId="6A9979DC"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English Name</w:t>
            </w:r>
          </w:p>
        </w:tc>
        <w:tc>
          <w:tcPr>
            <w:tcW w:w="2160" w:type="dxa"/>
            <w:tcBorders>
              <w:top w:val="nil"/>
              <w:left w:val="nil"/>
              <w:bottom w:val="single" w:sz="4" w:space="0" w:color="auto"/>
              <w:right w:val="single" w:sz="4" w:space="0" w:color="auto"/>
            </w:tcBorders>
            <w:shd w:val="clear" w:color="000000" w:fill="FFFFFF"/>
            <w:vAlign w:val="center"/>
            <w:hideMark/>
          </w:tcPr>
          <w:p w14:paraId="1CE4CF3B"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Latin Name</w:t>
            </w:r>
          </w:p>
        </w:tc>
        <w:tc>
          <w:tcPr>
            <w:tcW w:w="810" w:type="dxa"/>
            <w:tcBorders>
              <w:top w:val="nil"/>
              <w:left w:val="nil"/>
              <w:bottom w:val="single" w:sz="4" w:space="0" w:color="auto"/>
              <w:right w:val="single" w:sz="4" w:space="0" w:color="auto"/>
            </w:tcBorders>
            <w:shd w:val="clear" w:color="000000" w:fill="FFFFFF"/>
            <w:vAlign w:val="center"/>
            <w:hideMark/>
          </w:tcPr>
          <w:p w14:paraId="10EEC9E7"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%age</w:t>
            </w:r>
          </w:p>
        </w:tc>
      </w:tr>
      <w:tr w:rsidR="007576C1" w:rsidRPr="008C51C9" w14:paraId="7B7D6B9C"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0D55DC53"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Oregano</w:t>
            </w:r>
          </w:p>
        </w:tc>
        <w:tc>
          <w:tcPr>
            <w:tcW w:w="2550" w:type="dxa"/>
            <w:tcBorders>
              <w:top w:val="nil"/>
              <w:left w:val="nil"/>
              <w:bottom w:val="single" w:sz="4" w:space="0" w:color="auto"/>
              <w:right w:val="single" w:sz="4" w:space="0" w:color="auto"/>
            </w:tcBorders>
            <w:shd w:val="clear" w:color="auto" w:fill="auto"/>
            <w:noWrap/>
            <w:vAlign w:val="bottom"/>
            <w:hideMark/>
          </w:tcPr>
          <w:p w14:paraId="31F21998" w14:textId="77777777" w:rsidR="006B3305" w:rsidRPr="008C51C9" w:rsidRDefault="006B3305" w:rsidP="006B3305">
            <w:pPr>
              <w:spacing w:after="0" w:line="240" w:lineRule="auto"/>
              <w:rPr>
                <w:rFonts w:ascii="Calibri" w:eastAsia="Times New Roman" w:hAnsi="Calibri" w:cs="Calibri"/>
                <w:color w:val="000000"/>
                <w:lang w:val="en-US"/>
              </w:rPr>
            </w:pPr>
            <w:proofErr w:type="spellStart"/>
            <w:r w:rsidRPr="008C51C9">
              <w:rPr>
                <w:rFonts w:ascii="Calibri" w:eastAsia="Times New Roman" w:hAnsi="Calibri" w:cs="Calibri"/>
                <w:color w:val="000000"/>
                <w:lang w:val="en-US"/>
              </w:rPr>
              <w:t>Origanum</w:t>
            </w:r>
            <w:proofErr w:type="spellEnd"/>
            <w:r w:rsidRPr="008C51C9">
              <w:rPr>
                <w:rFonts w:ascii="Calibri" w:eastAsia="Times New Roman" w:hAnsi="Calibri" w:cs="Calibri"/>
                <w:color w:val="000000"/>
                <w:lang w:val="en-US"/>
              </w:rPr>
              <w:t xml:space="preserve"> vulgare </w:t>
            </w:r>
            <w:proofErr w:type="spellStart"/>
            <w:proofErr w:type="gramStart"/>
            <w:r w:rsidRPr="008C51C9">
              <w:rPr>
                <w:rFonts w:ascii="Calibri" w:eastAsia="Times New Roman" w:hAnsi="Calibri" w:cs="Calibri"/>
                <w:color w:val="000000"/>
                <w:lang w:val="en-US"/>
              </w:rPr>
              <w:t>var.Carvacrol</w:t>
            </w:r>
            <w:proofErr w:type="spellEnd"/>
            <w:proofErr w:type="gramEnd"/>
          </w:p>
        </w:tc>
        <w:tc>
          <w:tcPr>
            <w:tcW w:w="854" w:type="dxa"/>
            <w:vMerge w:val="restart"/>
            <w:tcBorders>
              <w:top w:val="nil"/>
              <w:left w:val="single" w:sz="4" w:space="0" w:color="auto"/>
              <w:bottom w:val="single" w:sz="4" w:space="0" w:color="auto"/>
              <w:right w:val="single" w:sz="4" w:space="0" w:color="auto"/>
            </w:tcBorders>
            <w:shd w:val="clear" w:color="auto" w:fill="auto"/>
            <w:vAlign w:val="center"/>
            <w:hideMark/>
          </w:tcPr>
          <w:p w14:paraId="2FCCB3F6" w14:textId="3DA5CDE1" w:rsidR="006B3305" w:rsidRPr="008C51C9" w:rsidRDefault="006B3305" w:rsidP="006B3305">
            <w:pPr>
              <w:spacing w:after="0" w:line="240" w:lineRule="auto"/>
              <w:jc w:val="center"/>
              <w:rPr>
                <w:rFonts w:ascii="Calibri" w:eastAsia="Times New Roman" w:hAnsi="Calibri" w:cs="Calibri"/>
                <w:color w:val="000000"/>
                <w:lang w:val="en-US"/>
              </w:rPr>
            </w:pPr>
            <w:r w:rsidRPr="008C51C9">
              <w:rPr>
                <w:rFonts w:ascii="Calibri" w:eastAsia="Times New Roman" w:hAnsi="Calibri" w:cs="Calibri"/>
                <w:color w:val="000000"/>
                <w:lang w:val="en-US"/>
              </w:rPr>
              <w:t xml:space="preserve">Total </w:t>
            </w:r>
            <w:r w:rsidRPr="001F0E37">
              <w:rPr>
                <w:rFonts w:ascii="Calibri" w:eastAsia="Times New Roman" w:hAnsi="Calibri" w:cs="Calibri"/>
                <w:color w:val="000000"/>
                <w:lang w:val="en-US"/>
              </w:rPr>
              <w:t>8%</w:t>
            </w:r>
          </w:p>
        </w:tc>
        <w:tc>
          <w:tcPr>
            <w:tcW w:w="1126" w:type="dxa"/>
            <w:tcBorders>
              <w:top w:val="nil"/>
              <w:left w:val="nil"/>
              <w:bottom w:val="single" w:sz="4" w:space="0" w:color="auto"/>
              <w:right w:val="single" w:sz="4" w:space="0" w:color="auto"/>
            </w:tcBorders>
            <w:shd w:val="clear" w:color="000000" w:fill="FFFFFF"/>
            <w:noWrap/>
            <w:vAlign w:val="center"/>
            <w:hideMark/>
          </w:tcPr>
          <w:p w14:paraId="5B20B2BE"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Almond</w:t>
            </w:r>
          </w:p>
        </w:tc>
        <w:tc>
          <w:tcPr>
            <w:tcW w:w="2160" w:type="dxa"/>
            <w:tcBorders>
              <w:top w:val="nil"/>
              <w:left w:val="nil"/>
              <w:bottom w:val="single" w:sz="4" w:space="0" w:color="auto"/>
              <w:right w:val="single" w:sz="4" w:space="0" w:color="auto"/>
            </w:tcBorders>
            <w:shd w:val="clear" w:color="auto" w:fill="auto"/>
            <w:noWrap/>
            <w:vAlign w:val="bottom"/>
            <w:hideMark/>
          </w:tcPr>
          <w:p w14:paraId="1075FCB7"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Prunus </w:t>
            </w:r>
            <w:proofErr w:type="spellStart"/>
            <w:r w:rsidRPr="008C51C9">
              <w:rPr>
                <w:rFonts w:ascii="Calibri" w:eastAsia="Times New Roman" w:hAnsi="Calibri" w:cs="Calibri"/>
                <w:color w:val="000000"/>
                <w:lang w:val="en-US"/>
              </w:rPr>
              <w:t>dulcis</w:t>
            </w:r>
            <w:proofErr w:type="spellEnd"/>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14:paraId="196CBC38" w14:textId="78EA75A5" w:rsidR="006B3305" w:rsidRPr="008C51C9" w:rsidRDefault="006B3305" w:rsidP="006B3305">
            <w:pPr>
              <w:spacing w:after="0" w:line="240" w:lineRule="auto"/>
              <w:jc w:val="center"/>
              <w:rPr>
                <w:rFonts w:ascii="Calibri" w:eastAsia="Times New Roman" w:hAnsi="Calibri" w:cs="Calibri"/>
                <w:color w:val="000000"/>
                <w:lang w:val="en-US"/>
              </w:rPr>
            </w:pPr>
            <w:r w:rsidRPr="008C51C9">
              <w:rPr>
                <w:rFonts w:ascii="Calibri" w:eastAsia="Times New Roman" w:hAnsi="Calibri" w:cs="Calibri"/>
                <w:color w:val="000000"/>
                <w:lang w:val="en-US"/>
              </w:rPr>
              <w:t xml:space="preserve">Total </w:t>
            </w:r>
            <w:r w:rsidRPr="001F0E37">
              <w:rPr>
                <w:rFonts w:ascii="Calibri" w:eastAsia="Times New Roman" w:hAnsi="Calibri" w:cs="Calibri"/>
                <w:color w:val="000000"/>
                <w:lang w:val="en-US"/>
              </w:rPr>
              <w:t>82%</w:t>
            </w:r>
          </w:p>
        </w:tc>
      </w:tr>
      <w:tr w:rsidR="007576C1" w:rsidRPr="008C51C9" w14:paraId="4731F173"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15963384"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Sandalwood</w:t>
            </w:r>
          </w:p>
        </w:tc>
        <w:tc>
          <w:tcPr>
            <w:tcW w:w="2550" w:type="dxa"/>
            <w:tcBorders>
              <w:top w:val="nil"/>
              <w:left w:val="nil"/>
              <w:bottom w:val="single" w:sz="4" w:space="0" w:color="auto"/>
              <w:right w:val="single" w:sz="4" w:space="0" w:color="auto"/>
            </w:tcBorders>
            <w:shd w:val="clear" w:color="auto" w:fill="auto"/>
            <w:noWrap/>
            <w:vAlign w:val="bottom"/>
            <w:hideMark/>
          </w:tcPr>
          <w:p w14:paraId="3E42FB89"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Santalum album</w:t>
            </w:r>
          </w:p>
        </w:tc>
        <w:tc>
          <w:tcPr>
            <w:tcW w:w="854" w:type="dxa"/>
            <w:vMerge/>
            <w:tcBorders>
              <w:top w:val="nil"/>
              <w:left w:val="single" w:sz="4" w:space="0" w:color="auto"/>
              <w:bottom w:val="single" w:sz="4" w:space="0" w:color="auto"/>
              <w:right w:val="single" w:sz="4" w:space="0" w:color="auto"/>
            </w:tcBorders>
            <w:vAlign w:val="center"/>
            <w:hideMark/>
          </w:tcPr>
          <w:p w14:paraId="2AB89388"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06009D4E"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Olive</w:t>
            </w:r>
          </w:p>
        </w:tc>
        <w:tc>
          <w:tcPr>
            <w:tcW w:w="2160" w:type="dxa"/>
            <w:tcBorders>
              <w:top w:val="nil"/>
              <w:left w:val="nil"/>
              <w:bottom w:val="single" w:sz="4" w:space="0" w:color="auto"/>
              <w:right w:val="single" w:sz="4" w:space="0" w:color="auto"/>
            </w:tcBorders>
            <w:shd w:val="clear" w:color="auto" w:fill="auto"/>
            <w:noWrap/>
            <w:vAlign w:val="bottom"/>
            <w:hideMark/>
          </w:tcPr>
          <w:p w14:paraId="609F6518"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Olea </w:t>
            </w:r>
            <w:proofErr w:type="spellStart"/>
            <w:r w:rsidRPr="008C51C9">
              <w:rPr>
                <w:rFonts w:ascii="Calibri" w:eastAsia="Times New Roman" w:hAnsi="Calibri" w:cs="Calibri"/>
                <w:color w:val="000000"/>
                <w:lang w:val="en-US"/>
              </w:rPr>
              <w:t>europaea</w:t>
            </w:r>
            <w:proofErr w:type="spellEnd"/>
          </w:p>
        </w:tc>
        <w:tc>
          <w:tcPr>
            <w:tcW w:w="810" w:type="dxa"/>
            <w:vMerge/>
            <w:tcBorders>
              <w:top w:val="nil"/>
              <w:left w:val="single" w:sz="4" w:space="0" w:color="auto"/>
              <w:bottom w:val="single" w:sz="4" w:space="0" w:color="auto"/>
              <w:right w:val="single" w:sz="4" w:space="0" w:color="auto"/>
            </w:tcBorders>
            <w:vAlign w:val="center"/>
            <w:hideMark/>
          </w:tcPr>
          <w:p w14:paraId="5DF6268E"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335F018D"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620896C7"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Myrrh</w:t>
            </w:r>
          </w:p>
        </w:tc>
        <w:tc>
          <w:tcPr>
            <w:tcW w:w="2550" w:type="dxa"/>
            <w:tcBorders>
              <w:top w:val="nil"/>
              <w:left w:val="nil"/>
              <w:bottom w:val="single" w:sz="4" w:space="0" w:color="auto"/>
              <w:right w:val="single" w:sz="4" w:space="0" w:color="auto"/>
            </w:tcBorders>
            <w:shd w:val="clear" w:color="auto" w:fill="auto"/>
            <w:noWrap/>
            <w:vAlign w:val="bottom"/>
            <w:hideMark/>
          </w:tcPr>
          <w:p w14:paraId="7E8D2D80" w14:textId="77777777" w:rsidR="006B3305" w:rsidRPr="008C51C9" w:rsidRDefault="006B3305" w:rsidP="006B3305">
            <w:pPr>
              <w:spacing w:after="0" w:line="240" w:lineRule="auto"/>
              <w:rPr>
                <w:rFonts w:ascii="Calibri" w:eastAsia="Times New Roman" w:hAnsi="Calibri" w:cs="Calibri"/>
                <w:color w:val="000000"/>
                <w:lang w:val="en-US"/>
              </w:rPr>
            </w:pPr>
            <w:proofErr w:type="spellStart"/>
            <w:r w:rsidRPr="008C51C9">
              <w:rPr>
                <w:rFonts w:ascii="Calibri" w:eastAsia="Times New Roman" w:hAnsi="Calibri" w:cs="Calibri"/>
                <w:color w:val="000000"/>
                <w:lang w:val="en-US"/>
              </w:rPr>
              <w:t>Commiphora</w:t>
            </w:r>
            <w:proofErr w:type="spellEnd"/>
            <w:r w:rsidRPr="008C51C9">
              <w:rPr>
                <w:rFonts w:ascii="Calibri" w:eastAsia="Times New Roman" w:hAnsi="Calibri" w:cs="Calibri"/>
                <w:color w:val="000000"/>
                <w:lang w:val="en-US"/>
              </w:rPr>
              <w:t xml:space="preserve"> </w:t>
            </w:r>
            <w:proofErr w:type="spellStart"/>
            <w:r w:rsidRPr="008C51C9">
              <w:rPr>
                <w:rFonts w:ascii="Calibri" w:eastAsia="Times New Roman" w:hAnsi="Calibri" w:cs="Calibri"/>
                <w:color w:val="000000"/>
                <w:lang w:val="en-US"/>
              </w:rPr>
              <w:t>myrrha</w:t>
            </w:r>
            <w:proofErr w:type="spellEnd"/>
          </w:p>
        </w:tc>
        <w:tc>
          <w:tcPr>
            <w:tcW w:w="854" w:type="dxa"/>
            <w:vMerge/>
            <w:tcBorders>
              <w:top w:val="nil"/>
              <w:left w:val="single" w:sz="4" w:space="0" w:color="auto"/>
              <w:bottom w:val="single" w:sz="4" w:space="0" w:color="auto"/>
              <w:right w:val="single" w:sz="4" w:space="0" w:color="auto"/>
            </w:tcBorders>
            <w:vAlign w:val="center"/>
            <w:hideMark/>
          </w:tcPr>
          <w:p w14:paraId="09178635"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668458B9"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Coconut</w:t>
            </w:r>
          </w:p>
        </w:tc>
        <w:tc>
          <w:tcPr>
            <w:tcW w:w="2160" w:type="dxa"/>
            <w:tcBorders>
              <w:top w:val="nil"/>
              <w:left w:val="nil"/>
              <w:bottom w:val="single" w:sz="4" w:space="0" w:color="auto"/>
              <w:right w:val="single" w:sz="4" w:space="0" w:color="auto"/>
            </w:tcBorders>
            <w:shd w:val="clear" w:color="auto" w:fill="auto"/>
            <w:noWrap/>
            <w:vAlign w:val="bottom"/>
            <w:hideMark/>
          </w:tcPr>
          <w:p w14:paraId="7E4C9742"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Cocos </w:t>
            </w:r>
            <w:r w:rsidR="00296994" w:rsidRPr="008C51C9">
              <w:rPr>
                <w:rFonts w:ascii="Calibri" w:eastAsia="Times New Roman" w:hAnsi="Calibri" w:cs="Calibri"/>
                <w:color w:val="000000"/>
                <w:lang w:val="en-US"/>
              </w:rPr>
              <w:t>n</w:t>
            </w:r>
            <w:r w:rsidRPr="008C51C9">
              <w:rPr>
                <w:rFonts w:ascii="Calibri" w:eastAsia="Times New Roman" w:hAnsi="Calibri" w:cs="Calibri"/>
                <w:color w:val="000000"/>
                <w:lang w:val="en-US"/>
              </w:rPr>
              <w:t>ucifera</w:t>
            </w:r>
          </w:p>
        </w:tc>
        <w:tc>
          <w:tcPr>
            <w:tcW w:w="810" w:type="dxa"/>
            <w:vMerge/>
            <w:tcBorders>
              <w:top w:val="nil"/>
              <w:left w:val="single" w:sz="4" w:space="0" w:color="auto"/>
              <w:bottom w:val="single" w:sz="4" w:space="0" w:color="auto"/>
              <w:right w:val="single" w:sz="4" w:space="0" w:color="auto"/>
            </w:tcBorders>
            <w:vAlign w:val="center"/>
            <w:hideMark/>
          </w:tcPr>
          <w:p w14:paraId="5B53A7F3"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5A9437F3"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5ECB43C1"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Basil</w:t>
            </w:r>
          </w:p>
        </w:tc>
        <w:tc>
          <w:tcPr>
            <w:tcW w:w="2550" w:type="dxa"/>
            <w:tcBorders>
              <w:top w:val="nil"/>
              <w:left w:val="nil"/>
              <w:bottom w:val="single" w:sz="4" w:space="0" w:color="auto"/>
              <w:right w:val="single" w:sz="4" w:space="0" w:color="auto"/>
            </w:tcBorders>
            <w:shd w:val="clear" w:color="auto" w:fill="auto"/>
            <w:noWrap/>
            <w:vAlign w:val="bottom"/>
            <w:hideMark/>
          </w:tcPr>
          <w:p w14:paraId="36F33288" w14:textId="77777777" w:rsidR="006B3305" w:rsidRPr="008C51C9" w:rsidRDefault="006B3305" w:rsidP="006B3305">
            <w:pPr>
              <w:spacing w:after="0" w:line="240" w:lineRule="auto"/>
              <w:rPr>
                <w:rFonts w:ascii="Calibri" w:eastAsia="Times New Roman" w:hAnsi="Calibri" w:cs="Calibri"/>
                <w:color w:val="000000"/>
                <w:lang w:val="en-US"/>
              </w:rPr>
            </w:pPr>
            <w:proofErr w:type="spellStart"/>
            <w:r w:rsidRPr="008C51C9">
              <w:rPr>
                <w:rFonts w:ascii="Calibri" w:eastAsia="Times New Roman" w:hAnsi="Calibri" w:cs="Calibri"/>
                <w:color w:val="000000"/>
                <w:lang w:val="en-US"/>
              </w:rPr>
              <w:t>Ocimum</w:t>
            </w:r>
            <w:proofErr w:type="spellEnd"/>
            <w:r w:rsidRPr="008C51C9">
              <w:rPr>
                <w:rFonts w:ascii="Calibri" w:eastAsia="Times New Roman" w:hAnsi="Calibri" w:cs="Calibri"/>
                <w:color w:val="000000"/>
                <w:lang w:val="en-US"/>
              </w:rPr>
              <w:t xml:space="preserve"> </w:t>
            </w:r>
            <w:proofErr w:type="spellStart"/>
            <w:r w:rsidRPr="008C51C9">
              <w:rPr>
                <w:rFonts w:ascii="Calibri" w:eastAsia="Times New Roman" w:hAnsi="Calibri" w:cs="Calibri"/>
                <w:color w:val="000000"/>
                <w:lang w:val="en-US"/>
              </w:rPr>
              <w:t>basilicum</w:t>
            </w:r>
            <w:proofErr w:type="spellEnd"/>
            <w:r w:rsidRPr="008C51C9">
              <w:rPr>
                <w:rFonts w:ascii="Calibri" w:eastAsia="Times New Roman" w:hAnsi="Calibri" w:cs="Calibri"/>
                <w:color w:val="000000"/>
                <w:lang w:val="en-US"/>
              </w:rPr>
              <w:t xml:space="preserve"> </w:t>
            </w:r>
            <w:proofErr w:type="spellStart"/>
            <w:proofErr w:type="gramStart"/>
            <w:r w:rsidRPr="008C51C9">
              <w:rPr>
                <w:rFonts w:ascii="Calibri" w:eastAsia="Times New Roman" w:hAnsi="Calibri" w:cs="Calibri"/>
                <w:color w:val="000000"/>
                <w:lang w:val="en-US"/>
              </w:rPr>
              <w:t>var.Linalool</w:t>
            </w:r>
            <w:proofErr w:type="spellEnd"/>
            <w:proofErr w:type="gramEnd"/>
          </w:p>
        </w:tc>
        <w:tc>
          <w:tcPr>
            <w:tcW w:w="854" w:type="dxa"/>
            <w:vMerge/>
            <w:tcBorders>
              <w:top w:val="nil"/>
              <w:left w:val="single" w:sz="4" w:space="0" w:color="auto"/>
              <w:bottom w:val="single" w:sz="4" w:space="0" w:color="auto"/>
              <w:right w:val="single" w:sz="4" w:space="0" w:color="auto"/>
            </w:tcBorders>
            <w:vAlign w:val="center"/>
            <w:hideMark/>
          </w:tcPr>
          <w:p w14:paraId="2AE66911"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64598CF6" w14:textId="77777777" w:rsidR="006B3305" w:rsidRPr="008C51C9" w:rsidRDefault="006B3305" w:rsidP="006B3305">
            <w:pPr>
              <w:spacing w:after="0" w:line="240" w:lineRule="auto"/>
              <w:rPr>
                <w:rFonts w:ascii="Calibri" w:eastAsia="Times New Roman" w:hAnsi="Calibri" w:cs="Calibri"/>
                <w:color w:val="000000"/>
                <w:lang w:val="en-US"/>
              </w:rPr>
            </w:pPr>
            <w:proofErr w:type="spellStart"/>
            <w:r w:rsidRPr="008C51C9">
              <w:rPr>
                <w:rFonts w:ascii="Calibri" w:eastAsia="Times New Roman" w:hAnsi="Calibri" w:cs="Calibri"/>
                <w:color w:val="000000"/>
                <w:lang w:val="en-US"/>
              </w:rPr>
              <w:t>Til</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5A81A6C3"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Sesamum </w:t>
            </w:r>
            <w:proofErr w:type="spellStart"/>
            <w:r w:rsidRPr="008C51C9">
              <w:rPr>
                <w:rFonts w:ascii="Calibri" w:eastAsia="Times New Roman" w:hAnsi="Calibri" w:cs="Calibri"/>
                <w:color w:val="000000"/>
                <w:lang w:val="en-US"/>
              </w:rPr>
              <w:t>indicum</w:t>
            </w:r>
            <w:proofErr w:type="spellEnd"/>
            <w:r w:rsidRPr="008C51C9">
              <w:rPr>
                <w:rFonts w:ascii="Calibri" w:eastAsia="Times New Roman" w:hAnsi="Calibri" w:cs="Calibri"/>
                <w:color w:val="000000"/>
                <w:lang w:val="en-US"/>
              </w:rPr>
              <w:t xml:space="preserve"> L.</w:t>
            </w:r>
          </w:p>
        </w:tc>
        <w:tc>
          <w:tcPr>
            <w:tcW w:w="810" w:type="dxa"/>
            <w:vMerge/>
            <w:tcBorders>
              <w:top w:val="nil"/>
              <w:left w:val="single" w:sz="4" w:space="0" w:color="auto"/>
              <w:bottom w:val="single" w:sz="4" w:space="0" w:color="auto"/>
              <w:right w:val="single" w:sz="4" w:space="0" w:color="auto"/>
            </w:tcBorders>
            <w:vAlign w:val="center"/>
            <w:hideMark/>
          </w:tcPr>
          <w:p w14:paraId="3AE7682C"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5A6D53E3"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03334890"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Geranium</w:t>
            </w:r>
          </w:p>
        </w:tc>
        <w:tc>
          <w:tcPr>
            <w:tcW w:w="2550" w:type="dxa"/>
            <w:tcBorders>
              <w:top w:val="nil"/>
              <w:left w:val="nil"/>
              <w:bottom w:val="single" w:sz="4" w:space="0" w:color="auto"/>
              <w:right w:val="single" w:sz="4" w:space="0" w:color="auto"/>
            </w:tcBorders>
            <w:shd w:val="clear" w:color="auto" w:fill="auto"/>
            <w:noWrap/>
            <w:vAlign w:val="bottom"/>
            <w:hideMark/>
          </w:tcPr>
          <w:p w14:paraId="61736346"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Pelargonium </w:t>
            </w:r>
            <w:proofErr w:type="spellStart"/>
            <w:r w:rsidRPr="008C51C9">
              <w:rPr>
                <w:rFonts w:ascii="Calibri" w:eastAsia="Times New Roman" w:hAnsi="Calibri" w:cs="Calibri"/>
                <w:color w:val="000000"/>
                <w:lang w:val="en-US"/>
              </w:rPr>
              <w:t>graveolens</w:t>
            </w:r>
            <w:proofErr w:type="spellEnd"/>
          </w:p>
        </w:tc>
        <w:tc>
          <w:tcPr>
            <w:tcW w:w="854" w:type="dxa"/>
            <w:vMerge/>
            <w:tcBorders>
              <w:top w:val="nil"/>
              <w:left w:val="single" w:sz="4" w:space="0" w:color="auto"/>
              <w:bottom w:val="single" w:sz="4" w:space="0" w:color="auto"/>
              <w:right w:val="single" w:sz="4" w:space="0" w:color="auto"/>
            </w:tcBorders>
            <w:vAlign w:val="center"/>
            <w:hideMark/>
          </w:tcPr>
          <w:p w14:paraId="22B45FA8"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7CC677BC"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Apricot</w:t>
            </w:r>
          </w:p>
        </w:tc>
        <w:tc>
          <w:tcPr>
            <w:tcW w:w="2160" w:type="dxa"/>
            <w:tcBorders>
              <w:top w:val="nil"/>
              <w:left w:val="nil"/>
              <w:bottom w:val="single" w:sz="4" w:space="0" w:color="auto"/>
              <w:right w:val="single" w:sz="4" w:space="0" w:color="auto"/>
            </w:tcBorders>
            <w:shd w:val="clear" w:color="auto" w:fill="auto"/>
            <w:noWrap/>
            <w:vAlign w:val="bottom"/>
            <w:hideMark/>
          </w:tcPr>
          <w:p w14:paraId="64EC60FA"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Prunus </w:t>
            </w:r>
            <w:proofErr w:type="spellStart"/>
            <w:r w:rsidR="00296994" w:rsidRPr="008C51C9">
              <w:rPr>
                <w:rFonts w:ascii="Calibri" w:eastAsia="Times New Roman" w:hAnsi="Calibri" w:cs="Calibri"/>
                <w:color w:val="000000"/>
                <w:lang w:val="en-US"/>
              </w:rPr>
              <w:t>a</w:t>
            </w:r>
            <w:r w:rsidRPr="008C51C9">
              <w:rPr>
                <w:rFonts w:ascii="Calibri" w:eastAsia="Times New Roman" w:hAnsi="Calibri" w:cs="Calibri"/>
                <w:color w:val="000000"/>
                <w:lang w:val="en-US"/>
              </w:rPr>
              <w:t>rmeniaca</w:t>
            </w:r>
            <w:proofErr w:type="spellEnd"/>
          </w:p>
        </w:tc>
        <w:tc>
          <w:tcPr>
            <w:tcW w:w="810" w:type="dxa"/>
            <w:vMerge/>
            <w:tcBorders>
              <w:top w:val="nil"/>
              <w:left w:val="single" w:sz="4" w:space="0" w:color="auto"/>
              <w:bottom w:val="single" w:sz="4" w:space="0" w:color="auto"/>
              <w:right w:val="single" w:sz="4" w:space="0" w:color="auto"/>
            </w:tcBorders>
            <w:vAlign w:val="center"/>
            <w:hideMark/>
          </w:tcPr>
          <w:p w14:paraId="5B51566C"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35CE60D1"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2F37FF76"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Grapeseed</w:t>
            </w:r>
          </w:p>
        </w:tc>
        <w:tc>
          <w:tcPr>
            <w:tcW w:w="2550" w:type="dxa"/>
            <w:tcBorders>
              <w:top w:val="nil"/>
              <w:left w:val="nil"/>
              <w:bottom w:val="single" w:sz="4" w:space="0" w:color="auto"/>
              <w:right w:val="single" w:sz="4" w:space="0" w:color="auto"/>
            </w:tcBorders>
            <w:shd w:val="clear" w:color="auto" w:fill="auto"/>
            <w:noWrap/>
            <w:vAlign w:val="bottom"/>
            <w:hideMark/>
          </w:tcPr>
          <w:p w14:paraId="12501D19"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Citrus </w:t>
            </w:r>
            <w:proofErr w:type="spellStart"/>
            <w:r w:rsidRPr="008C51C9">
              <w:rPr>
                <w:rFonts w:ascii="Calibri" w:eastAsia="Times New Roman" w:hAnsi="Calibri" w:cs="Calibri"/>
                <w:color w:val="000000"/>
                <w:lang w:val="en-US"/>
              </w:rPr>
              <w:t>paradisii</w:t>
            </w:r>
            <w:proofErr w:type="spellEnd"/>
          </w:p>
        </w:tc>
        <w:tc>
          <w:tcPr>
            <w:tcW w:w="854" w:type="dxa"/>
            <w:vMerge/>
            <w:tcBorders>
              <w:top w:val="nil"/>
              <w:left w:val="single" w:sz="4" w:space="0" w:color="auto"/>
              <w:bottom w:val="single" w:sz="4" w:space="0" w:color="auto"/>
              <w:right w:val="single" w:sz="4" w:space="0" w:color="auto"/>
            </w:tcBorders>
            <w:vAlign w:val="center"/>
            <w:hideMark/>
          </w:tcPr>
          <w:p w14:paraId="267909A5"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0C73D650"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Sunflower</w:t>
            </w:r>
          </w:p>
        </w:tc>
        <w:tc>
          <w:tcPr>
            <w:tcW w:w="2160" w:type="dxa"/>
            <w:tcBorders>
              <w:top w:val="nil"/>
              <w:left w:val="nil"/>
              <w:bottom w:val="single" w:sz="4" w:space="0" w:color="auto"/>
              <w:right w:val="single" w:sz="4" w:space="0" w:color="auto"/>
            </w:tcBorders>
            <w:shd w:val="clear" w:color="auto" w:fill="auto"/>
            <w:noWrap/>
            <w:vAlign w:val="bottom"/>
            <w:hideMark/>
          </w:tcPr>
          <w:p w14:paraId="52F16698"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Helianthus </w:t>
            </w:r>
            <w:proofErr w:type="spellStart"/>
            <w:r w:rsidRPr="008C51C9">
              <w:rPr>
                <w:rFonts w:ascii="Calibri" w:eastAsia="Times New Roman" w:hAnsi="Calibri" w:cs="Calibri"/>
                <w:color w:val="000000"/>
                <w:lang w:val="en-US"/>
              </w:rPr>
              <w:t>annuus</w:t>
            </w:r>
            <w:proofErr w:type="spellEnd"/>
          </w:p>
        </w:tc>
        <w:tc>
          <w:tcPr>
            <w:tcW w:w="810" w:type="dxa"/>
            <w:vMerge/>
            <w:tcBorders>
              <w:top w:val="nil"/>
              <w:left w:val="single" w:sz="4" w:space="0" w:color="auto"/>
              <w:bottom w:val="single" w:sz="4" w:space="0" w:color="auto"/>
              <w:right w:val="single" w:sz="4" w:space="0" w:color="auto"/>
            </w:tcBorders>
            <w:vAlign w:val="center"/>
            <w:hideMark/>
          </w:tcPr>
          <w:p w14:paraId="11F9C384"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100E93BE"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4964FECD"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Clary Sage</w:t>
            </w:r>
          </w:p>
        </w:tc>
        <w:tc>
          <w:tcPr>
            <w:tcW w:w="2550" w:type="dxa"/>
            <w:tcBorders>
              <w:top w:val="nil"/>
              <w:left w:val="nil"/>
              <w:bottom w:val="single" w:sz="4" w:space="0" w:color="auto"/>
              <w:right w:val="single" w:sz="4" w:space="0" w:color="auto"/>
            </w:tcBorders>
            <w:shd w:val="clear" w:color="auto" w:fill="auto"/>
            <w:noWrap/>
            <w:vAlign w:val="bottom"/>
            <w:hideMark/>
          </w:tcPr>
          <w:p w14:paraId="428FE640"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Salvia </w:t>
            </w:r>
            <w:proofErr w:type="spellStart"/>
            <w:r w:rsidRPr="008C51C9">
              <w:rPr>
                <w:rFonts w:ascii="Calibri" w:eastAsia="Times New Roman" w:hAnsi="Calibri" w:cs="Calibri"/>
                <w:color w:val="000000"/>
                <w:lang w:val="en-US"/>
              </w:rPr>
              <w:t>sclarea</w:t>
            </w:r>
            <w:proofErr w:type="spellEnd"/>
          </w:p>
        </w:tc>
        <w:tc>
          <w:tcPr>
            <w:tcW w:w="854" w:type="dxa"/>
            <w:vMerge/>
            <w:tcBorders>
              <w:top w:val="nil"/>
              <w:left w:val="single" w:sz="4" w:space="0" w:color="auto"/>
              <w:bottom w:val="single" w:sz="4" w:space="0" w:color="auto"/>
              <w:right w:val="single" w:sz="4" w:space="0" w:color="auto"/>
            </w:tcBorders>
            <w:vAlign w:val="center"/>
            <w:hideMark/>
          </w:tcPr>
          <w:p w14:paraId="2580EEAF"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5E516359"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Castor</w:t>
            </w:r>
          </w:p>
        </w:tc>
        <w:tc>
          <w:tcPr>
            <w:tcW w:w="2160" w:type="dxa"/>
            <w:tcBorders>
              <w:top w:val="nil"/>
              <w:left w:val="nil"/>
              <w:bottom w:val="single" w:sz="4" w:space="0" w:color="auto"/>
              <w:right w:val="single" w:sz="4" w:space="0" w:color="auto"/>
            </w:tcBorders>
            <w:shd w:val="clear" w:color="auto" w:fill="auto"/>
            <w:noWrap/>
            <w:vAlign w:val="bottom"/>
            <w:hideMark/>
          </w:tcPr>
          <w:p w14:paraId="735D3AE0"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Ricinus </w:t>
            </w:r>
            <w:proofErr w:type="spellStart"/>
            <w:r w:rsidRPr="008C51C9">
              <w:rPr>
                <w:rFonts w:ascii="Calibri" w:eastAsia="Times New Roman" w:hAnsi="Calibri" w:cs="Calibri"/>
                <w:color w:val="000000"/>
                <w:lang w:val="en-US"/>
              </w:rPr>
              <w:t>communis</w:t>
            </w:r>
            <w:proofErr w:type="spellEnd"/>
          </w:p>
        </w:tc>
        <w:tc>
          <w:tcPr>
            <w:tcW w:w="810" w:type="dxa"/>
            <w:vMerge/>
            <w:tcBorders>
              <w:top w:val="nil"/>
              <w:left w:val="single" w:sz="4" w:space="0" w:color="auto"/>
              <w:bottom w:val="single" w:sz="4" w:space="0" w:color="auto"/>
              <w:right w:val="single" w:sz="4" w:space="0" w:color="auto"/>
            </w:tcBorders>
            <w:vAlign w:val="center"/>
            <w:hideMark/>
          </w:tcPr>
          <w:p w14:paraId="5AA892A4"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4F9F6A1E"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1A46A4A9"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Cedarwood</w:t>
            </w:r>
          </w:p>
        </w:tc>
        <w:tc>
          <w:tcPr>
            <w:tcW w:w="2550" w:type="dxa"/>
            <w:tcBorders>
              <w:top w:val="nil"/>
              <w:left w:val="nil"/>
              <w:bottom w:val="single" w:sz="4" w:space="0" w:color="auto"/>
              <w:right w:val="single" w:sz="4" w:space="0" w:color="auto"/>
            </w:tcBorders>
            <w:shd w:val="clear" w:color="auto" w:fill="auto"/>
            <w:noWrap/>
            <w:vAlign w:val="bottom"/>
            <w:hideMark/>
          </w:tcPr>
          <w:p w14:paraId="2327A98F" w14:textId="77777777" w:rsidR="006B3305" w:rsidRPr="008C51C9" w:rsidRDefault="006B3305" w:rsidP="006B3305">
            <w:pPr>
              <w:spacing w:after="0" w:line="240" w:lineRule="auto"/>
              <w:rPr>
                <w:rFonts w:ascii="Calibri" w:eastAsia="Times New Roman" w:hAnsi="Calibri" w:cs="Calibri"/>
                <w:color w:val="000000"/>
                <w:lang w:val="en-US"/>
              </w:rPr>
            </w:pPr>
            <w:proofErr w:type="spellStart"/>
            <w:r w:rsidRPr="008C51C9">
              <w:rPr>
                <w:rFonts w:ascii="Calibri" w:eastAsia="Times New Roman" w:hAnsi="Calibri" w:cs="Calibri"/>
                <w:color w:val="000000"/>
                <w:lang w:val="en-US"/>
              </w:rPr>
              <w:t>Cedrus</w:t>
            </w:r>
            <w:proofErr w:type="spellEnd"/>
            <w:r w:rsidRPr="008C51C9">
              <w:rPr>
                <w:rFonts w:ascii="Calibri" w:eastAsia="Times New Roman" w:hAnsi="Calibri" w:cs="Calibri"/>
                <w:color w:val="000000"/>
                <w:lang w:val="en-US"/>
              </w:rPr>
              <w:t xml:space="preserve"> </w:t>
            </w:r>
            <w:proofErr w:type="spellStart"/>
            <w:r w:rsidRPr="008C51C9">
              <w:rPr>
                <w:rFonts w:ascii="Calibri" w:eastAsia="Times New Roman" w:hAnsi="Calibri" w:cs="Calibri"/>
                <w:color w:val="000000"/>
                <w:lang w:val="en-US"/>
              </w:rPr>
              <w:t>atlantica</w:t>
            </w:r>
            <w:proofErr w:type="spellEnd"/>
          </w:p>
        </w:tc>
        <w:tc>
          <w:tcPr>
            <w:tcW w:w="854" w:type="dxa"/>
            <w:vMerge/>
            <w:tcBorders>
              <w:top w:val="nil"/>
              <w:left w:val="single" w:sz="4" w:space="0" w:color="auto"/>
              <w:bottom w:val="single" w:sz="4" w:space="0" w:color="auto"/>
              <w:right w:val="single" w:sz="4" w:space="0" w:color="auto"/>
            </w:tcBorders>
            <w:vAlign w:val="center"/>
            <w:hideMark/>
          </w:tcPr>
          <w:p w14:paraId="43A09556"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028DDB8A"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172BE1B3"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097E5C16"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4113DDA2"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31B6EE98"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Peppermint</w:t>
            </w:r>
          </w:p>
        </w:tc>
        <w:tc>
          <w:tcPr>
            <w:tcW w:w="2550" w:type="dxa"/>
            <w:tcBorders>
              <w:top w:val="nil"/>
              <w:left w:val="nil"/>
              <w:bottom w:val="single" w:sz="4" w:space="0" w:color="auto"/>
              <w:right w:val="single" w:sz="4" w:space="0" w:color="auto"/>
            </w:tcBorders>
            <w:shd w:val="clear" w:color="auto" w:fill="auto"/>
            <w:noWrap/>
            <w:vAlign w:val="bottom"/>
            <w:hideMark/>
          </w:tcPr>
          <w:p w14:paraId="51EC140F"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Mentha </w:t>
            </w:r>
            <w:proofErr w:type="spellStart"/>
            <w:r w:rsidRPr="008C51C9">
              <w:rPr>
                <w:rFonts w:ascii="Calibri" w:eastAsia="Times New Roman" w:hAnsi="Calibri" w:cs="Calibri"/>
                <w:color w:val="000000"/>
                <w:lang w:val="en-US"/>
              </w:rPr>
              <w:t>piperita</w:t>
            </w:r>
            <w:proofErr w:type="spellEnd"/>
          </w:p>
        </w:tc>
        <w:tc>
          <w:tcPr>
            <w:tcW w:w="854" w:type="dxa"/>
            <w:vMerge/>
            <w:tcBorders>
              <w:top w:val="nil"/>
              <w:left w:val="single" w:sz="4" w:space="0" w:color="auto"/>
              <w:bottom w:val="single" w:sz="4" w:space="0" w:color="auto"/>
              <w:right w:val="single" w:sz="4" w:space="0" w:color="auto"/>
            </w:tcBorders>
            <w:vAlign w:val="center"/>
            <w:hideMark/>
          </w:tcPr>
          <w:p w14:paraId="68CA714B"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39692F06"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133DDEC9"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4798842F"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385CBCC2"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322A7289" w14:textId="77777777" w:rsidR="006B3305" w:rsidRPr="008C51C9" w:rsidRDefault="006B3305" w:rsidP="006B3305">
            <w:pPr>
              <w:spacing w:after="0" w:line="240" w:lineRule="auto"/>
              <w:rPr>
                <w:rFonts w:ascii="Calibri" w:eastAsia="Times New Roman" w:hAnsi="Calibri" w:cs="Calibri"/>
                <w:color w:val="000000"/>
                <w:lang w:val="en-US"/>
              </w:rPr>
            </w:pPr>
            <w:proofErr w:type="spellStart"/>
            <w:r w:rsidRPr="008C51C9">
              <w:rPr>
                <w:rFonts w:ascii="Calibri" w:eastAsia="Times New Roman" w:hAnsi="Calibri" w:cs="Calibri"/>
                <w:color w:val="000000"/>
                <w:lang w:val="en-US"/>
              </w:rPr>
              <w:t>Ylang</w:t>
            </w:r>
            <w:proofErr w:type="spellEnd"/>
            <w:r w:rsidRPr="008C51C9">
              <w:rPr>
                <w:rFonts w:ascii="Calibri" w:eastAsia="Times New Roman" w:hAnsi="Calibri" w:cs="Calibri"/>
                <w:color w:val="000000"/>
                <w:lang w:val="en-US"/>
              </w:rPr>
              <w:t xml:space="preserve"> </w:t>
            </w:r>
            <w:proofErr w:type="spellStart"/>
            <w:r w:rsidRPr="008C51C9">
              <w:rPr>
                <w:rFonts w:ascii="Calibri" w:eastAsia="Times New Roman" w:hAnsi="Calibri" w:cs="Calibri"/>
                <w:color w:val="000000"/>
                <w:lang w:val="en-US"/>
              </w:rPr>
              <w:t>Ylang</w:t>
            </w:r>
            <w:proofErr w:type="spellEnd"/>
          </w:p>
        </w:tc>
        <w:tc>
          <w:tcPr>
            <w:tcW w:w="2550" w:type="dxa"/>
            <w:tcBorders>
              <w:top w:val="nil"/>
              <w:left w:val="nil"/>
              <w:bottom w:val="single" w:sz="4" w:space="0" w:color="auto"/>
              <w:right w:val="single" w:sz="4" w:space="0" w:color="auto"/>
            </w:tcBorders>
            <w:shd w:val="clear" w:color="auto" w:fill="auto"/>
            <w:noWrap/>
            <w:vAlign w:val="bottom"/>
            <w:hideMark/>
          </w:tcPr>
          <w:p w14:paraId="2178ADB7" w14:textId="77777777" w:rsidR="006B3305" w:rsidRPr="008C51C9" w:rsidRDefault="006B3305" w:rsidP="006B3305">
            <w:pPr>
              <w:spacing w:after="0" w:line="240" w:lineRule="auto"/>
              <w:rPr>
                <w:rFonts w:ascii="Calibri" w:eastAsia="Times New Roman" w:hAnsi="Calibri" w:cs="Calibri"/>
                <w:color w:val="000000"/>
                <w:lang w:val="en-US"/>
              </w:rPr>
            </w:pPr>
            <w:proofErr w:type="spellStart"/>
            <w:r w:rsidRPr="008C51C9">
              <w:rPr>
                <w:rFonts w:ascii="Calibri" w:eastAsia="Times New Roman" w:hAnsi="Calibri" w:cs="Calibri"/>
                <w:color w:val="000000"/>
                <w:lang w:val="en-US"/>
              </w:rPr>
              <w:t>Cananga</w:t>
            </w:r>
            <w:proofErr w:type="spellEnd"/>
            <w:r w:rsidRPr="008C51C9">
              <w:rPr>
                <w:rFonts w:ascii="Calibri" w:eastAsia="Times New Roman" w:hAnsi="Calibri" w:cs="Calibri"/>
                <w:color w:val="000000"/>
                <w:lang w:val="en-US"/>
              </w:rPr>
              <w:t xml:space="preserve"> </w:t>
            </w:r>
            <w:proofErr w:type="spellStart"/>
            <w:r w:rsidRPr="008C51C9">
              <w:rPr>
                <w:rFonts w:ascii="Calibri" w:eastAsia="Times New Roman" w:hAnsi="Calibri" w:cs="Calibri"/>
                <w:color w:val="000000"/>
                <w:lang w:val="en-US"/>
              </w:rPr>
              <w:t>odorata</w:t>
            </w:r>
            <w:proofErr w:type="spellEnd"/>
            <w:r w:rsidRPr="008C51C9">
              <w:rPr>
                <w:rFonts w:ascii="Calibri" w:eastAsia="Times New Roman" w:hAnsi="Calibri" w:cs="Calibri"/>
                <w:color w:val="000000"/>
                <w:lang w:val="en-US"/>
              </w:rPr>
              <w:t xml:space="preserve"> </w:t>
            </w:r>
            <w:proofErr w:type="spellStart"/>
            <w:proofErr w:type="gramStart"/>
            <w:r w:rsidRPr="008C51C9">
              <w:rPr>
                <w:rFonts w:ascii="Calibri" w:eastAsia="Times New Roman" w:hAnsi="Calibri" w:cs="Calibri"/>
                <w:color w:val="000000"/>
                <w:lang w:val="en-US"/>
              </w:rPr>
              <w:t>var.Genuana</w:t>
            </w:r>
            <w:proofErr w:type="spellEnd"/>
            <w:proofErr w:type="gramEnd"/>
          </w:p>
        </w:tc>
        <w:tc>
          <w:tcPr>
            <w:tcW w:w="854" w:type="dxa"/>
            <w:vMerge/>
            <w:tcBorders>
              <w:top w:val="nil"/>
              <w:left w:val="single" w:sz="4" w:space="0" w:color="auto"/>
              <w:bottom w:val="single" w:sz="4" w:space="0" w:color="auto"/>
              <w:right w:val="single" w:sz="4" w:space="0" w:color="auto"/>
            </w:tcBorders>
            <w:vAlign w:val="center"/>
            <w:hideMark/>
          </w:tcPr>
          <w:p w14:paraId="2DAD04F2"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61A38BFB"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5A3E14BE"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1AAEA0D5"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633A8086"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58C22CDA"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Rose</w:t>
            </w:r>
          </w:p>
        </w:tc>
        <w:tc>
          <w:tcPr>
            <w:tcW w:w="2550" w:type="dxa"/>
            <w:tcBorders>
              <w:top w:val="nil"/>
              <w:left w:val="nil"/>
              <w:bottom w:val="single" w:sz="4" w:space="0" w:color="auto"/>
              <w:right w:val="single" w:sz="4" w:space="0" w:color="auto"/>
            </w:tcBorders>
            <w:shd w:val="clear" w:color="auto" w:fill="auto"/>
            <w:noWrap/>
            <w:vAlign w:val="bottom"/>
            <w:hideMark/>
          </w:tcPr>
          <w:p w14:paraId="2C3F80E3"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Rosa </w:t>
            </w:r>
            <w:r w:rsidR="007501ED" w:rsidRPr="008C51C9">
              <w:rPr>
                <w:rFonts w:ascii="Calibri" w:eastAsia="Times New Roman" w:hAnsi="Calibri" w:cs="Calibri"/>
                <w:color w:val="000000"/>
                <w:lang w:val="en-US"/>
              </w:rPr>
              <w:t>damascene</w:t>
            </w:r>
          </w:p>
        </w:tc>
        <w:tc>
          <w:tcPr>
            <w:tcW w:w="854" w:type="dxa"/>
            <w:vMerge/>
            <w:tcBorders>
              <w:top w:val="nil"/>
              <w:left w:val="single" w:sz="4" w:space="0" w:color="auto"/>
              <w:bottom w:val="single" w:sz="4" w:space="0" w:color="auto"/>
              <w:right w:val="single" w:sz="4" w:space="0" w:color="auto"/>
            </w:tcBorders>
            <w:vAlign w:val="center"/>
            <w:hideMark/>
          </w:tcPr>
          <w:p w14:paraId="1B404834"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0C1EAE2A"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100C2860"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3D75974F"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57193A3B"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566171D1"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Cypress</w:t>
            </w:r>
          </w:p>
        </w:tc>
        <w:tc>
          <w:tcPr>
            <w:tcW w:w="2550" w:type="dxa"/>
            <w:tcBorders>
              <w:top w:val="nil"/>
              <w:left w:val="nil"/>
              <w:bottom w:val="single" w:sz="4" w:space="0" w:color="auto"/>
              <w:right w:val="single" w:sz="4" w:space="0" w:color="auto"/>
            </w:tcBorders>
            <w:shd w:val="clear" w:color="auto" w:fill="auto"/>
            <w:noWrap/>
            <w:vAlign w:val="bottom"/>
            <w:hideMark/>
          </w:tcPr>
          <w:p w14:paraId="7358304C"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Cupressus sempervirens</w:t>
            </w:r>
          </w:p>
        </w:tc>
        <w:tc>
          <w:tcPr>
            <w:tcW w:w="854" w:type="dxa"/>
            <w:vMerge/>
            <w:tcBorders>
              <w:top w:val="nil"/>
              <w:left w:val="single" w:sz="4" w:space="0" w:color="auto"/>
              <w:bottom w:val="single" w:sz="4" w:space="0" w:color="auto"/>
              <w:right w:val="single" w:sz="4" w:space="0" w:color="auto"/>
            </w:tcBorders>
            <w:vAlign w:val="center"/>
            <w:hideMark/>
          </w:tcPr>
          <w:p w14:paraId="1941B77E"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09291533"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081EF064"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25F8DBE9"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1D710612"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7DDBD94C"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Fennel</w:t>
            </w:r>
          </w:p>
        </w:tc>
        <w:tc>
          <w:tcPr>
            <w:tcW w:w="2550" w:type="dxa"/>
            <w:tcBorders>
              <w:top w:val="nil"/>
              <w:left w:val="nil"/>
              <w:bottom w:val="single" w:sz="4" w:space="0" w:color="auto"/>
              <w:right w:val="single" w:sz="4" w:space="0" w:color="auto"/>
            </w:tcBorders>
            <w:shd w:val="clear" w:color="auto" w:fill="auto"/>
            <w:noWrap/>
            <w:vAlign w:val="bottom"/>
            <w:hideMark/>
          </w:tcPr>
          <w:p w14:paraId="762C4014" w14:textId="77777777" w:rsidR="006B3305" w:rsidRPr="008C51C9" w:rsidRDefault="006B3305" w:rsidP="006B3305">
            <w:pPr>
              <w:spacing w:after="0" w:line="240" w:lineRule="auto"/>
              <w:rPr>
                <w:rFonts w:ascii="Calibri" w:eastAsia="Times New Roman" w:hAnsi="Calibri" w:cs="Calibri"/>
                <w:color w:val="000000"/>
                <w:lang w:val="en-US"/>
              </w:rPr>
            </w:pPr>
            <w:proofErr w:type="spellStart"/>
            <w:r w:rsidRPr="008C51C9">
              <w:rPr>
                <w:rFonts w:ascii="Calibri" w:eastAsia="Times New Roman" w:hAnsi="Calibri" w:cs="Calibri"/>
                <w:color w:val="000000"/>
                <w:lang w:val="en-US"/>
              </w:rPr>
              <w:t>Foeniculum</w:t>
            </w:r>
            <w:proofErr w:type="spellEnd"/>
            <w:r w:rsidRPr="008C51C9">
              <w:rPr>
                <w:rFonts w:ascii="Calibri" w:eastAsia="Times New Roman" w:hAnsi="Calibri" w:cs="Calibri"/>
                <w:color w:val="000000"/>
                <w:lang w:val="en-US"/>
              </w:rPr>
              <w:t xml:space="preserve"> vulgare</w:t>
            </w:r>
          </w:p>
        </w:tc>
        <w:tc>
          <w:tcPr>
            <w:tcW w:w="854" w:type="dxa"/>
            <w:vMerge/>
            <w:tcBorders>
              <w:top w:val="nil"/>
              <w:left w:val="single" w:sz="4" w:space="0" w:color="auto"/>
              <w:bottom w:val="single" w:sz="4" w:space="0" w:color="auto"/>
              <w:right w:val="single" w:sz="4" w:space="0" w:color="auto"/>
            </w:tcBorders>
            <w:vAlign w:val="center"/>
            <w:hideMark/>
          </w:tcPr>
          <w:p w14:paraId="1AA328B1"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005CD7A9"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04CA1B35"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58826532"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3FE00522"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14029824"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Myrtle</w:t>
            </w:r>
          </w:p>
        </w:tc>
        <w:tc>
          <w:tcPr>
            <w:tcW w:w="2550" w:type="dxa"/>
            <w:tcBorders>
              <w:top w:val="nil"/>
              <w:left w:val="nil"/>
              <w:bottom w:val="single" w:sz="4" w:space="0" w:color="auto"/>
              <w:right w:val="single" w:sz="4" w:space="0" w:color="auto"/>
            </w:tcBorders>
            <w:shd w:val="clear" w:color="auto" w:fill="auto"/>
            <w:noWrap/>
            <w:vAlign w:val="bottom"/>
            <w:hideMark/>
          </w:tcPr>
          <w:p w14:paraId="42934803" w14:textId="77777777" w:rsidR="006B3305" w:rsidRPr="008C51C9" w:rsidRDefault="006B3305" w:rsidP="006B3305">
            <w:pPr>
              <w:spacing w:after="0" w:line="240" w:lineRule="auto"/>
              <w:rPr>
                <w:rFonts w:ascii="Calibri" w:eastAsia="Times New Roman" w:hAnsi="Calibri" w:cs="Calibri"/>
                <w:color w:val="000000"/>
                <w:lang w:val="en-US"/>
              </w:rPr>
            </w:pPr>
            <w:proofErr w:type="spellStart"/>
            <w:r w:rsidRPr="008C51C9">
              <w:rPr>
                <w:rFonts w:ascii="Calibri" w:eastAsia="Times New Roman" w:hAnsi="Calibri" w:cs="Calibri"/>
                <w:color w:val="000000"/>
                <w:lang w:val="en-US"/>
              </w:rPr>
              <w:t>Myrtus</w:t>
            </w:r>
            <w:proofErr w:type="spellEnd"/>
            <w:r w:rsidRPr="008C51C9">
              <w:rPr>
                <w:rFonts w:ascii="Calibri" w:eastAsia="Times New Roman" w:hAnsi="Calibri" w:cs="Calibri"/>
                <w:color w:val="000000"/>
                <w:lang w:val="en-US"/>
              </w:rPr>
              <w:t xml:space="preserve"> </w:t>
            </w:r>
            <w:proofErr w:type="spellStart"/>
            <w:r w:rsidRPr="008C51C9">
              <w:rPr>
                <w:rFonts w:ascii="Calibri" w:eastAsia="Times New Roman" w:hAnsi="Calibri" w:cs="Calibri"/>
                <w:color w:val="000000"/>
                <w:lang w:val="en-US"/>
              </w:rPr>
              <w:t>communis</w:t>
            </w:r>
            <w:proofErr w:type="spellEnd"/>
          </w:p>
        </w:tc>
        <w:tc>
          <w:tcPr>
            <w:tcW w:w="854" w:type="dxa"/>
            <w:vMerge/>
            <w:tcBorders>
              <w:top w:val="nil"/>
              <w:left w:val="single" w:sz="4" w:space="0" w:color="auto"/>
              <w:bottom w:val="single" w:sz="4" w:space="0" w:color="auto"/>
              <w:right w:val="single" w:sz="4" w:space="0" w:color="auto"/>
            </w:tcBorders>
            <w:vAlign w:val="center"/>
            <w:hideMark/>
          </w:tcPr>
          <w:p w14:paraId="273E7801"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228E7AD5"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4F0B0742"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75224C8F"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67D8C9C1"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1031B482" w14:textId="77777777" w:rsidR="006B3305" w:rsidRPr="008C51C9" w:rsidRDefault="006B3305" w:rsidP="006B3305">
            <w:pPr>
              <w:spacing w:after="0" w:line="240" w:lineRule="auto"/>
              <w:rPr>
                <w:rFonts w:ascii="Calibri" w:eastAsia="Times New Roman" w:hAnsi="Calibri" w:cs="Calibri"/>
                <w:color w:val="000000"/>
                <w:lang w:val="en-US"/>
              </w:rPr>
            </w:pPr>
            <w:proofErr w:type="spellStart"/>
            <w:r w:rsidRPr="008C51C9">
              <w:rPr>
                <w:rFonts w:ascii="Calibri" w:eastAsia="Times New Roman" w:hAnsi="Calibri" w:cs="Calibri"/>
                <w:color w:val="000000"/>
                <w:lang w:val="en-US"/>
              </w:rPr>
              <w:t>Avacado</w:t>
            </w:r>
            <w:proofErr w:type="spellEnd"/>
          </w:p>
        </w:tc>
        <w:tc>
          <w:tcPr>
            <w:tcW w:w="2550" w:type="dxa"/>
            <w:tcBorders>
              <w:top w:val="nil"/>
              <w:left w:val="nil"/>
              <w:bottom w:val="single" w:sz="4" w:space="0" w:color="auto"/>
              <w:right w:val="single" w:sz="4" w:space="0" w:color="auto"/>
            </w:tcBorders>
            <w:shd w:val="clear" w:color="000000" w:fill="FFFFFF"/>
            <w:noWrap/>
            <w:vAlign w:val="center"/>
            <w:hideMark/>
          </w:tcPr>
          <w:p w14:paraId="5DE699D2" w14:textId="77777777" w:rsidR="006B3305" w:rsidRPr="008C51C9" w:rsidRDefault="006B3305" w:rsidP="006B3305">
            <w:pPr>
              <w:spacing w:after="0" w:line="240" w:lineRule="auto"/>
              <w:rPr>
                <w:rFonts w:ascii="Calibri" w:eastAsia="Times New Roman" w:hAnsi="Calibri" w:cs="Calibri"/>
                <w:color w:val="000000"/>
                <w:lang w:val="en-US"/>
              </w:rPr>
            </w:pPr>
            <w:proofErr w:type="spellStart"/>
            <w:r w:rsidRPr="008C51C9">
              <w:rPr>
                <w:rFonts w:ascii="Calibri" w:eastAsia="Times New Roman" w:hAnsi="Calibri" w:cs="Calibri"/>
                <w:color w:val="000000"/>
                <w:lang w:val="en-US"/>
              </w:rPr>
              <w:t>Persea</w:t>
            </w:r>
            <w:proofErr w:type="spellEnd"/>
            <w:r w:rsidRPr="008C51C9">
              <w:rPr>
                <w:rFonts w:ascii="Calibri" w:eastAsia="Times New Roman" w:hAnsi="Calibri" w:cs="Calibri"/>
                <w:color w:val="000000"/>
                <w:lang w:val="en-US"/>
              </w:rPr>
              <w:t xml:space="preserve"> </w:t>
            </w:r>
            <w:r w:rsidR="003F3381" w:rsidRPr="008C51C9">
              <w:rPr>
                <w:rFonts w:ascii="Calibri" w:eastAsia="Times New Roman" w:hAnsi="Calibri" w:cs="Calibri"/>
                <w:color w:val="000000"/>
                <w:lang w:val="en-US"/>
              </w:rPr>
              <w:t>Americana</w:t>
            </w:r>
          </w:p>
        </w:tc>
        <w:tc>
          <w:tcPr>
            <w:tcW w:w="854" w:type="dxa"/>
            <w:vMerge/>
            <w:tcBorders>
              <w:top w:val="nil"/>
              <w:left w:val="single" w:sz="4" w:space="0" w:color="auto"/>
              <w:bottom w:val="single" w:sz="4" w:space="0" w:color="auto"/>
              <w:right w:val="single" w:sz="4" w:space="0" w:color="auto"/>
            </w:tcBorders>
            <w:vAlign w:val="center"/>
            <w:hideMark/>
          </w:tcPr>
          <w:p w14:paraId="72A7E8C6"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2E99EBD1"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61F87C60"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14C86BB5"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53F54959"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02C0EA80"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Thyme</w:t>
            </w:r>
          </w:p>
        </w:tc>
        <w:tc>
          <w:tcPr>
            <w:tcW w:w="2550" w:type="dxa"/>
            <w:tcBorders>
              <w:top w:val="nil"/>
              <w:left w:val="nil"/>
              <w:bottom w:val="single" w:sz="4" w:space="0" w:color="auto"/>
              <w:right w:val="single" w:sz="4" w:space="0" w:color="auto"/>
            </w:tcBorders>
            <w:shd w:val="clear" w:color="auto" w:fill="auto"/>
            <w:noWrap/>
            <w:vAlign w:val="bottom"/>
            <w:hideMark/>
          </w:tcPr>
          <w:p w14:paraId="3DF0EDDE"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Thymus vulgaris </w:t>
            </w:r>
            <w:proofErr w:type="spellStart"/>
            <w:proofErr w:type="gramStart"/>
            <w:r w:rsidRPr="008C51C9">
              <w:rPr>
                <w:rFonts w:ascii="Calibri" w:eastAsia="Times New Roman" w:hAnsi="Calibri" w:cs="Calibri"/>
                <w:color w:val="000000"/>
                <w:lang w:val="en-US"/>
              </w:rPr>
              <w:t>var.Linalool</w:t>
            </w:r>
            <w:proofErr w:type="spellEnd"/>
            <w:proofErr w:type="gramEnd"/>
          </w:p>
        </w:tc>
        <w:tc>
          <w:tcPr>
            <w:tcW w:w="854" w:type="dxa"/>
            <w:vMerge/>
            <w:tcBorders>
              <w:top w:val="nil"/>
              <w:left w:val="single" w:sz="4" w:space="0" w:color="auto"/>
              <w:bottom w:val="single" w:sz="4" w:space="0" w:color="auto"/>
              <w:right w:val="single" w:sz="4" w:space="0" w:color="auto"/>
            </w:tcBorders>
            <w:vAlign w:val="center"/>
            <w:hideMark/>
          </w:tcPr>
          <w:p w14:paraId="5EE22E6C"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261BCEBC"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13D6D28C"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33580CF1"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bl>
    <w:p w14:paraId="040BC655" w14:textId="77777777" w:rsidR="006B3305" w:rsidRPr="008C51C9" w:rsidRDefault="000822CD" w:rsidP="00E45B54">
      <w:pPr>
        <w:jc w:val="both"/>
        <w:rPr>
          <w:rFonts w:ascii="Times New Roman" w:hAnsi="Times New Roman" w:cs="Times New Roman"/>
          <w:sz w:val="24"/>
          <w:szCs w:val="24"/>
        </w:rPr>
      </w:pPr>
      <w:r w:rsidRPr="008C51C9">
        <w:rPr>
          <w:rFonts w:ascii="Times New Roman" w:hAnsi="Times New Roman" w:cs="Times New Roman"/>
          <w:sz w:val="24"/>
          <w:szCs w:val="24"/>
        </w:rPr>
        <w:t xml:space="preserve">Table1: Plant names used for the test oil preparation  </w:t>
      </w:r>
    </w:p>
    <w:p w14:paraId="52C46D0A" w14:textId="77777777" w:rsidR="000B42F5" w:rsidRDefault="000B42F5" w:rsidP="00E45B54">
      <w:pPr>
        <w:jc w:val="both"/>
        <w:rPr>
          <w:rFonts w:ascii="Times New Roman" w:hAnsi="Times New Roman" w:cs="Times New Roman"/>
          <w:sz w:val="24"/>
          <w:szCs w:val="24"/>
        </w:rPr>
      </w:pPr>
    </w:p>
    <w:p w14:paraId="54980162" w14:textId="77777777" w:rsidR="005F7150" w:rsidRPr="008C51C9" w:rsidRDefault="00A34012" w:rsidP="00E45B54">
      <w:pPr>
        <w:jc w:val="both"/>
        <w:rPr>
          <w:rFonts w:ascii="Times New Roman" w:hAnsi="Times New Roman" w:cs="Times New Roman"/>
          <w:bCs/>
          <w:sz w:val="24"/>
          <w:szCs w:val="24"/>
        </w:rPr>
      </w:pPr>
      <w:r w:rsidRPr="008C51C9">
        <w:rPr>
          <w:rFonts w:ascii="Times New Roman" w:hAnsi="Times New Roman" w:cs="Times New Roman"/>
          <w:sz w:val="24"/>
          <w:szCs w:val="24"/>
        </w:rPr>
        <w:t xml:space="preserve">Given the absence of any clinical study on the use of </w:t>
      </w:r>
      <w:r w:rsidR="00C9710D" w:rsidRPr="008C51C9">
        <w:rPr>
          <w:rFonts w:ascii="Times New Roman" w:hAnsi="Times New Roman" w:cs="Times New Roman"/>
          <w:sz w:val="24"/>
          <w:szCs w:val="24"/>
        </w:rPr>
        <w:t xml:space="preserve">volatile </w:t>
      </w:r>
      <w:r w:rsidRPr="008C51C9">
        <w:rPr>
          <w:rFonts w:ascii="Times New Roman" w:hAnsi="Times New Roman" w:cs="Times New Roman"/>
          <w:sz w:val="24"/>
          <w:szCs w:val="24"/>
        </w:rPr>
        <w:t xml:space="preserve">essential oils in </w:t>
      </w:r>
      <w:r w:rsidR="00C9710D" w:rsidRPr="008C51C9">
        <w:rPr>
          <w:rFonts w:ascii="Times New Roman" w:hAnsi="Times New Roman" w:cs="Times New Roman"/>
          <w:sz w:val="24"/>
          <w:szCs w:val="24"/>
        </w:rPr>
        <w:t>the management</w:t>
      </w:r>
      <w:r w:rsidRPr="008C51C9">
        <w:rPr>
          <w:rFonts w:ascii="Times New Roman" w:hAnsi="Times New Roman" w:cs="Times New Roman"/>
          <w:sz w:val="24"/>
          <w:szCs w:val="24"/>
        </w:rPr>
        <w:t xml:space="preserve"> of PCOS, </w:t>
      </w:r>
      <w:r w:rsidR="00DA2FAD" w:rsidRPr="008C51C9">
        <w:rPr>
          <w:rFonts w:ascii="Times New Roman" w:hAnsi="Times New Roman" w:cs="Times New Roman"/>
          <w:sz w:val="24"/>
          <w:szCs w:val="24"/>
        </w:rPr>
        <w:t>the objective of this study is to</w:t>
      </w:r>
      <w:r w:rsidRPr="008C51C9">
        <w:rPr>
          <w:rFonts w:ascii="Times New Roman" w:hAnsi="Times New Roman" w:cs="Times New Roman"/>
          <w:sz w:val="24"/>
          <w:szCs w:val="24"/>
        </w:rPr>
        <w:t xml:space="preserve"> scientifically establish</w:t>
      </w:r>
      <w:r w:rsidR="00DA2FAD" w:rsidRPr="008C51C9">
        <w:rPr>
          <w:rFonts w:ascii="Times New Roman" w:hAnsi="Times New Roman" w:cs="Times New Roman"/>
          <w:sz w:val="24"/>
          <w:szCs w:val="24"/>
        </w:rPr>
        <w:t xml:space="preserve"> and validate the clinical </w:t>
      </w:r>
      <w:r w:rsidRPr="008C51C9">
        <w:rPr>
          <w:rFonts w:ascii="Times New Roman" w:hAnsi="Times New Roman" w:cs="Times New Roman"/>
          <w:sz w:val="24"/>
          <w:szCs w:val="24"/>
        </w:rPr>
        <w:t xml:space="preserve">efficacy </w:t>
      </w:r>
      <w:r w:rsidR="005F7150" w:rsidRPr="008C51C9">
        <w:rPr>
          <w:rFonts w:ascii="Times New Roman" w:hAnsi="Times New Roman" w:cs="Times New Roman"/>
          <w:bCs/>
          <w:sz w:val="24"/>
          <w:szCs w:val="24"/>
        </w:rPr>
        <w:t>of plant extract based natural oil</w:t>
      </w:r>
      <w:r w:rsidR="000D28DD">
        <w:rPr>
          <w:rFonts w:ascii="Times New Roman" w:hAnsi="Times New Roman" w:cs="Times New Roman"/>
          <w:bCs/>
          <w:sz w:val="24"/>
          <w:szCs w:val="24"/>
        </w:rPr>
        <w:t>-</w:t>
      </w:r>
      <w:r w:rsidR="00A8228D" w:rsidRPr="008C51C9">
        <w:rPr>
          <w:rFonts w:ascii="Times New Roman" w:hAnsi="Times New Roman" w:cs="Times New Roman"/>
          <w:bCs/>
          <w:sz w:val="24"/>
          <w:szCs w:val="24"/>
        </w:rPr>
        <w:t>blend</w:t>
      </w:r>
      <w:r w:rsidR="009B622D" w:rsidRPr="008C51C9">
        <w:rPr>
          <w:rFonts w:ascii="Times New Roman" w:hAnsi="Times New Roman" w:cs="Times New Roman"/>
          <w:bCs/>
          <w:sz w:val="24"/>
          <w:szCs w:val="24"/>
        </w:rPr>
        <w:t xml:space="preserve"> (referred as test product</w:t>
      </w:r>
      <w:r w:rsidR="00DF1BC9" w:rsidRPr="008C51C9">
        <w:rPr>
          <w:rFonts w:ascii="Times New Roman" w:hAnsi="Times New Roman" w:cs="Times New Roman"/>
          <w:bCs/>
          <w:sz w:val="24"/>
          <w:szCs w:val="24"/>
        </w:rPr>
        <w:t>/test oil</w:t>
      </w:r>
      <w:r w:rsidR="009B622D" w:rsidRPr="008C51C9">
        <w:rPr>
          <w:rFonts w:ascii="Times New Roman" w:hAnsi="Times New Roman" w:cs="Times New Roman"/>
          <w:bCs/>
          <w:sz w:val="24"/>
          <w:szCs w:val="24"/>
        </w:rPr>
        <w:t>)</w:t>
      </w:r>
      <w:r w:rsidR="005F7150" w:rsidRPr="008C51C9">
        <w:rPr>
          <w:rFonts w:ascii="Times New Roman" w:hAnsi="Times New Roman" w:cs="Times New Roman"/>
          <w:bCs/>
          <w:sz w:val="24"/>
          <w:szCs w:val="24"/>
        </w:rPr>
        <w:t xml:space="preserve"> on management of PCOS</w:t>
      </w:r>
      <w:r w:rsidR="002A76B9">
        <w:rPr>
          <w:rFonts w:ascii="Times New Roman" w:hAnsi="Times New Roman" w:cs="Times New Roman"/>
          <w:bCs/>
          <w:sz w:val="24"/>
          <w:szCs w:val="24"/>
        </w:rPr>
        <w:t xml:space="preserve"> by addressing the subjective (viz., irregular menstruation, menstrual cycle duration, bleeding quantity, pain during menses) and objective (viz., hirsutism, ovarian </w:t>
      </w:r>
      <w:r w:rsidR="002A76B9">
        <w:rPr>
          <w:rFonts w:ascii="Times New Roman" w:hAnsi="Times New Roman" w:cs="Times New Roman"/>
          <w:bCs/>
          <w:sz w:val="24"/>
          <w:szCs w:val="24"/>
        </w:rPr>
        <w:lastRenderedPageBreak/>
        <w:t>volume, number of follicular cysts, number of mature follicles) PCOS symptoms</w:t>
      </w:r>
      <w:r w:rsidR="005F7150" w:rsidRPr="008C51C9">
        <w:rPr>
          <w:rFonts w:ascii="Times New Roman" w:hAnsi="Times New Roman" w:cs="Times New Roman"/>
          <w:bCs/>
          <w:sz w:val="24"/>
          <w:szCs w:val="24"/>
        </w:rPr>
        <w:t xml:space="preserve">. </w:t>
      </w:r>
      <w:r w:rsidR="004549E7" w:rsidRPr="008C51C9">
        <w:rPr>
          <w:rFonts w:ascii="Times New Roman" w:hAnsi="Times New Roman" w:cs="Times New Roman"/>
          <w:bCs/>
          <w:sz w:val="24"/>
          <w:szCs w:val="24"/>
        </w:rPr>
        <w:t>I</w:t>
      </w:r>
      <w:r w:rsidR="00DA2FAD" w:rsidRPr="008C51C9">
        <w:rPr>
          <w:rFonts w:ascii="Times New Roman" w:hAnsi="Times New Roman" w:cs="Times New Roman"/>
          <w:bCs/>
          <w:sz w:val="24"/>
          <w:szCs w:val="24"/>
        </w:rPr>
        <w:t xml:space="preserve">t is aimed </w:t>
      </w:r>
      <w:r w:rsidR="005F7150" w:rsidRPr="008C51C9">
        <w:rPr>
          <w:rFonts w:ascii="Times New Roman" w:hAnsi="Times New Roman" w:cs="Times New Roman"/>
          <w:bCs/>
          <w:sz w:val="24"/>
          <w:szCs w:val="24"/>
        </w:rPr>
        <w:t xml:space="preserve">to provide a safe, cost-effective, non-surgical treatment </w:t>
      </w:r>
      <w:r w:rsidR="00DA2FAD" w:rsidRPr="008C51C9">
        <w:rPr>
          <w:rFonts w:ascii="Times New Roman" w:hAnsi="Times New Roman" w:cs="Times New Roman"/>
          <w:bCs/>
          <w:sz w:val="24"/>
          <w:szCs w:val="24"/>
        </w:rPr>
        <w:t>for PCOS management.</w:t>
      </w:r>
    </w:p>
    <w:p w14:paraId="7D35A1DE" w14:textId="77777777" w:rsidR="008F71E9" w:rsidRDefault="008F71E9" w:rsidP="005C3BF2">
      <w:pPr>
        <w:spacing w:after="0" w:line="240" w:lineRule="auto"/>
        <w:rPr>
          <w:rFonts w:ascii="Times New Roman" w:hAnsi="Times New Roman" w:cs="Times New Roman"/>
          <w:b/>
          <w:bCs/>
          <w:sz w:val="28"/>
          <w:szCs w:val="28"/>
        </w:rPr>
      </w:pPr>
    </w:p>
    <w:p w14:paraId="6679E3E4" w14:textId="573A9366" w:rsidR="005C3BF2" w:rsidRPr="008C51C9" w:rsidRDefault="005C3BF2" w:rsidP="005C3BF2">
      <w:pPr>
        <w:spacing w:after="0" w:line="240" w:lineRule="auto"/>
        <w:rPr>
          <w:rFonts w:ascii="Times New Roman" w:hAnsi="Times New Roman" w:cs="Times New Roman"/>
          <w:b/>
          <w:bCs/>
          <w:sz w:val="28"/>
          <w:szCs w:val="28"/>
        </w:rPr>
      </w:pPr>
      <w:r w:rsidRPr="008C51C9">
        <w:rPr>
          <w:rFonts w:ascii="Times New Roman" w:hAnsi="Times New Roman" w:cs="Times New Roman"/>
          <w:b/>
          <w:bCs/>
          <w:sz w:val="28"/>
          <w:szCs w:val="28"/>
        </w:rPr>
        <w:t>Methods</w:t>
      </w:r>
    </w:p>
    <w:p w14:paraId="6D28931E" w14:textId="77777777" w:rsidR="00FD2913" w:rsidRDefault="00FD2913" w:rsidP="005C3BF2">
      <w:pPr>
        <w:spacing w:after="0" w:line="240" w:lineRule="auto"/>
        <w:rPr>
          <w:rFonts w:ascii="Times New Roman" w:hAnsi="Times New Roman" w:cs="Times New Roman"/>
          <w:b/>
          <w:bCs/>
          <w:sz w:val="24"/>
          <w:szCs w:val="24"/>
        </w:rPr>
      </w:pPr>
    </w:p>
    <w:p w14:paraId="48A0D850"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Study Design and participants</w:t>
      </w:r>
    </w:p>
    <w:p w14:paraId="5D975CFD" w14:textId="77777777" w:rsidR="00D54A2E" w:rsidRPr="008C51C9" w:rsidRDefault="00D54A2E" w:rsidP="00D54A2E">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 xml:space="preserve">This is a two-arm parallel group, </w:t>
      </w:r>
      <w:r w:rsidR="00A477D4" w:rsidRPr="008C51C9">
        <w:rPr>
          <w:rFonts w:ascii="Times New Roman" w:hAnsi="Times New Roman" w:cs="Times New Roman"/>
          <w:sz w:val="24"/>
          <w:szCs w:val="24"/>
        </w:rPr>
        <w:t xml:space="preserve">prospective, </w:t>
      </w:r>
      <w:r w:rsidRPr="008C51C9">
        <w:rPr>
          <w:rFonts w:ascii="Times New Roman" w:hAnsi="Times New Roman" w:cs="Times New Roman"/>
          <w:sz w:val="24"/>
          <w:szCs w:val="24"/>
        </w:rPr>
        <w:t xml:space="preserve">randomized, </w:t>
      </w:r>
      <w:r w:rsidR="005F7150" w:rsidRPr="008C51C9">
        <w:rPr>
          <w:rFonts w:ascii="Times New Roman" w:hAnsi="Times New Roman" w:cs="Times New Roman"/>
          <w:sz w:val="24"/>
          <w:szCs w:val="24"/>
        </w:rPr>
        <w:t>double</w:t>
      </w:r>
      <w:r w:rsidRPr="008C51C9">
        <w:rPr>
          <w:rFonts w:ascii="Times New Roman" w:hAnsi="Times New Roman" w:cs="Times New Roman"/>
          <w:sz w:val="24"/>
          <w:szCs w:val="24"/>
        </w:rPr>
        <w:t>-</w:t>
      </w:r>
      <w:r w:rsidR="005F7150" w:rsidRPr="008C51C9">
        <w:rPr>
          <w:rFonts w:ascii="Times New Roman" w:hAnsi="Times New Roman" w:cs="Times New Roman"/>
          <w:sz w:val="24"/>
          <w:szCs w:val="24"/>
        </w:rPr>
        <w:t>blind, placebo-controlled study</w:t>
      </w:r>
      <w:r w:rsidRPr="008C51C9">
        <w:rPr>
          <w:rFonts w:ascii="Times New Roman" w:hAnsi="Times New Roman" w:cs="Times New Roman"/>
          <w:sz w:val="24"/>
          <w:szCs w:val="24"/>
        </w:rPr>
        <w:t xml:space="preserve"> at a single centre </w:t>
      </w:r>
      <w:r w:rsidR="006E6943" w:rsidRPr="008C51C9">
        <w:rPr>
          <w:rFonts w:ascii="Times New Roman" w:hAnsi="Times New Roman" w:cs="Times New Roman"/>
          <w:sz w:val="24"/>
          <w:szCs w:val="24"/>
        </w:rPr>
        <w:t>with</w:t>
      </w:r>
      <w:r w:rsidRPr="008C51C9">
        <w:rPr>
          <w:rFonts w:ascii="Times New Roman" w:hAnsi="Times New Roman" w:cs="Times New Roman"/>
          <w:sz w:val="24"/>
          <w:szCs w:val="24"/>
        </w:rPr>
        <w:t xml:space="preserv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 diagnosed with PCOS.</w:t>
      </w:r>
      <w:r w:rsidR="005F7150" w:rsidRPr="008C51C9">
        <w:rPr>
          <w:rFonts w:ascii="Times New Roman" w:hAnsi="Times New Roman" w:cs="Times New Roman"/>
          <w:sz w:val="24"/>
          <w:szCs w:val="24"/>
        </w:rPr>
        <w:t xml:space="preserve"> </w:t>
      </w:r>
      <w:r w:rsidR="00C97169" w:rsidRPr="008C51C9">
        <w:rPr>
          <w:rFonts w:ascii="Times New Roman" w:hAnsi="Times New Roman" w:cs="Times New Roman"/>
          <w:sz w:val="24"/>
          <w:szCs w:val="24"/>
        </w:rPr>
        <w:t xml:space="preserve">This study was conducted at </w:t>
      </w:r>
      <w:r w:rsidR="00DE1E59" w:rsidRPr="008C51C9">
        <w:rPr>
          <w:rFonts w:ascii="Times New Roman" w:hAnsi="Times New Roman" w:cs="Times New Roman"/>
          <w:sz w:val="24"/>
          <w:szCs w:val="24"/>
        </w:rPr>
        <w:t xml:space="preserve">a medical centre which </w:t>
      </w:r>
      <w:r w:rsidR="00C97169" w:rsidRPr="008C51C9">
        <w:rPr>
          <w:rFonts w:ascii="Times New Roman" w:hAnsi="Times New Roman" w:cs="Times New Roman"/>
          <w:sz w:val="24"/>
          <w:szCs w:val="24"/>
        </w:rPr>
        <w:t>is a multi-specialty ISO certified hospital and included in the list of National Health Portal</w:t>
      </w:r>
      <w:r w:rsidR="00DE1E59" w:rsidRPr="008C51C9">
        <w:rPr>
          <w:rFonts w:ascii="Times New Roman" w:hAnsi="Times New Roman" w:cs="Times New Roman"/>
          <w:sz w:val="24"/>
          <w:szCs w:val="24"/>
        </w:rPr>
        <w:t>,</w:t>
      </w:r>
      <w:r w:rsidR="00C97169" w:rsidRPr="008C51C9">
        <w:rPr>
          <w:rFonts w:ascii="Times New Roman" w:hAnsi="Times New Roman" w:cs="Times New Roman"/>
          <w:sz w:val="24"/>
          <w:szCs w:val="24"/>
        </w:rPr>
        <w:t xml:space="preserve"> Government of India. </w:t>
      </w:r>
      <w:r w:rsidR="00FF2AAA" w:rsidRPr="008C51C9">
        <w:rPr>
          <w:rFonts w:ascii="Times New Roman" w:hAnsi="Times New Roman" w:cs="Times New Roman"/>
          <w:sz w:val="24"/>
          <w:szCs w:val="24"/>
        </w:rPr>
        <w:t xml:space="preserve">The required pre-approvals were reviewed and approved by the investigational centres’ Independent Ethics Committee and Institutional Review Board. </w:t>
      </w:r>
      <w:r w:rsidRPr="008C51C9">
        <w:rPr>
          <w:rFonts w:ascii="Times New Roman" w:hAnsi="Times New Roman" w:cs="Times New Roman"/>
          <w:sz w:val="24"/>
          <w:szCs w:val="24"/>
        </w:rPr>
        <w:t>This study was conducted in accordance with ethical principles in the Declaration of Helsinki (2013)</w:t>
      </w:r>
      <w:r w:rsidR="00DA2FAD" w:rsidRPr="008C51C9">
        <w:rPr>
          <w:rFonts w:ascii="Times New Roman" w:hAnsi="Times New Roman" w:cs="Times New Roman"/>
          <w:sz w:val="24"/>
          <w:szCs w:val="24"/>
        </w:rPr>
        <w:t>.</w:t>
      </w:r>
      <w:r w:rsidRPr="008C51C9">
        <w:rPr>
          <w:rFonts w:ascii="Times New Roman" w:hAnsi="Times New Roman" w:cs="Times New Roman"/>
          <w:sz w:val="24"/>
          <w:szCs w:val="24"/>
        </w:rPr>
        <w:t xml:space="preserve"> EC notifications were made as per Good Clinical Practice Guidelines issued by Central Drug Standard Control Organization and Ethical Guidelines for Biomedical Research on Human Subjects issued by Indian Council of Medical Research</w:t>
      </w:r>
      <w:r w:rsidR="000127AD" w:rsidRPr="008C51C9">
        <w:rPr>
          <w:rFonts w:ascii="Times New Roman" w:hAnsi="Times New Roman" w:cs="Times New Roman"/>
          <w:sz w:val="24"/>
          <w:szCs w:val="24"/>
        </w:rPr>
        <w:t>.</w:t>
      </w:r>
      <w:r w:rsidRPr="008C51C9">
        <w:rPr>
          <w:rFonts w:ascii="Times New Roman" w:hAnsi="Times New Roman" w:cs="Times New Roman"/>
          <w:sz w:val="24"/>
          <w:szCs w:val="24"/>
        </w:rPr>
        <w:t xml:space="preserve"> This trial was performed in accordance with ‘Guidelines for Clinical Trials on Pharmaceutical Products in India – GCP guidelines’ issued by the Central Drugs Standard Control Organization, Ministry of Health, Government of India. The clinical trial was registered with the Clinical Trial Registry of India (CTRI) number CTRI/2018/04/013334. </w:t>
      </w:r>
    </w:p>
    <w:p w14:paraId="12D72D48" w14:textId="77777777" w:rsidR="005F7150" w:rsidRPr="008C51C9" w:rsidRDefault="005F7150" w:rsidP="00BB4FAC">
      <w:pPr>
        <w:spacing w:after="0" w:line="240" w:lineRule="auto"/>
        <w:rPr>
          <w:rFonts w:cstheme="minorHAnsi"/>
        </w:rPr>
      </w:pPr>
    </w:p>
    <w:p w14:paraId="63F0CEB0" w14:textId="34D26D63" w:rsidR="00214C8D" w:rsidRPr="008C51C9" w:rsidRDefault="00D54A2E" w:rsidP="00A9352D">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 xml:space="preserve">The </w:t>
      </w:r>
      <w:r w:rsidR="005F7150" w:rsidRPr="008C51C9">
        <w:rPr>
          <w:rFonts w:ascii="Times New Roman" w:hAnsi="Times New Roman" w:cs="Times New Roman"/>
          <w:bCs/>
          <w:sz w:val="24"/>
          <w:szCs w:val="24"/>
        </w:rPr>
        <w:t>study population included adult female</w:t>
      </w:r>
      <w:r w:rsidR="008952F3" w:rsidRPr="008C51C9">
        <w:rPr>
          <w:rFonts w:ascii="Times New Roman" w:hAnsi="Times New Roman" w:cs="Times New Roman"/>
          <w:bCs/>
          <w:sz w:val="24"/>
          <w:szCs w:val="24"/>
        </w:rPr>
        <w:t>s</w:t>
      </w:r>
      <w:r w:rsidR="005F7150" w:rsidRPr="008C51C9">
        <w:rPr>
          <w:rFonts w:ascii="Times New Roman" w:hAnsi="Times New Roman" w:cs="Times New Roman"/>
          <w:bCs/>
          <w:sz w:val="24"/>
          <w:szCs w:val="24"/>
        </w:rPr>
        <w:t xml:space="preserve"> diagnosed with </w:t>
      </w:r>
      <w:r w:rsidR="004549E7" w:rsidRPr="008C51C9">
        <w:rPr>
          <w:rFonts w:ascii="Times New Roman" w:hAnsi="Times New Roman" w:cs="Times New Roman"/>
          <w:bCs/>
          <w:sz w:val="24"/>
          <w:szCs w:val="24"/>
        </w:rPr>
        <w:t>PCO</w:t>
      </w:r>
      <w:r w:rsidR="005F7150" w:rsidRPr="008C51C9">
        <w:rPr>
          <w:rFonts w:ascii="Times New Roman" w:hAnsi="Times New Roman" w:cs="Times New Roman"/>
          <w:bCs/>
          <w:sz w:val="24"/>
          <w:szCs w:val="24"/>
        </w:rPr>
        <w:t xml:space="preserve">S. 100 </w:t>
      </w:r>
      <w:r w:rsidR="008952F3" w:rsidRPr="008C51C9">
        <w:rPr>
          <w:rFonts w:ascii="Times New Roman" w:hAnsi="Times New Roman" w:cs="Times New Roman"/>
          <w:bCs/>
          <w:sz w:val="24"/>
          <w:szCs w:val="24"/>
        </w:rPr>
        <w:t xml:space="preserve">volunteer </w:t>
      </w:r>
      <w:r w:rsidR="007D7481" w:rsidRPr="008C51C9">
        <w:rPr>
          <w:rFonts w:ascii="Times New Roman" w:hAnsi="Times New Roman" w:cs="Times New Roman"/>
          <w:bCs/>
          <w:sz w:val="24"/>
          <w:szCs w:val="24"/>
        </w:rPr>
        <w:t>participants</w:t>
      </w:r>
      <w:r w:rsidR="005F7150" w:rsidRPr="008C51C9">
        <w:rPr>
          <w:rFonts w:ascii="Times New Roman" w:hAnsi="Times New Roman" w:cs="Times New Roman"/>
          <w:bCs/>
          <w:sz w:val="24"/>
          <w:szCs w:val="24"/>
        </w:rPr>
        <w:t xml:space="preserve"> (including anticipated dropout of about 10%) were recruited at the specified investigation centre, without bias</w:t>
      </w:r>
      <w:r w:rsidRPr="008C51C9">
        <w:rPr>
          <w:rFonts w:ascii="Times New Roman" w:hAnsi="Times New Roman" w:cs="Times New Roman"/>
          <w:bCs/>
          <w:sz w:val="24"/>
          <w:szCs w:val="24"/>
        </w:rPr>
        <w:t xml:space="preserve">. </w:t>
      </w:r>
      <w:r w:rsidR="001F0E37" w:rsidRPr="00057BBB">
        <w:rPr>
          <w:rFonts w:ascii="Times New Roman" w:hAnsi="Times New Roman" w:cs="Times New Roman"/>
          <w:sz w:val="24"/>
          <w:szCs w:val="24"/>
        </w:rPr>
        <w:t>The sample size was assessed at the confidence level 95% and test power 80%</w:t>
      </w:r>
      <w:r w:rsidR="001F0E37">
        <w:rPr>
          <w:rFonts w:ascii="Times New Roman" w:hAnsi="Times New Roman" w:cs="Times New Roman"/>
          <w:sz w:val="24"/>
          <w:szCs w:val="24"/>
        </w:rPr>
        <w:t>.</w:t>
      </w:r>
      <w:r w:rsidR="001F0E37" w:rsidRPr="00057BBB">
        <w:rPr>
          <w:rFonts w:ascii="Times New Roman" w:hAnsi="Times New Roman" w:cs="Times New Roman"/>
          <w:sz w:val="24"/>
          <w:szCs w:val="24"/>
        </w:rPr>
        <w:t xml:space="preserve"> </w:t>
      </w:r>
      <w:r w:rsidRPr="008C51C9">
        <w:rPr>
          <w:rFonts w:ascii="Times New Roman" w:hAnsi="Times New Roman" w:cs="Times New Roman"/>
          <w:bCs/>
          <w:sz w:val="24"/>
          <w:szCs w:val="24"/>
        </w:rPr>
        <w:t xml:space="preserve">The PCOS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s were informed about the study. Married female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s </w:t>
      </w:r>
      <w:r w:rsidR="00F21C2F" w:rsidRPr="008C51C9">
        <w:rPr>
          <w:rFonts w:ascii="Times New Roman" w:hAnsi="Times New Roman" w:cs="Times New Roman"/>
          <w:bCs/>
          <w:sz w:val="24"/>
          <w:szCs w:val="24"/>
        </w:rPr>
        <w:t xml:space="preserve">diagnosed with PCOS </w:t>
      </w:r>
      <w:r w:rsidRPr="008C51C9">
        <w:rPr>
          <w:rFonts w:ascii="Times New Roman" w:hAnsi="Times New Roman" w:cs="Times New Roman"/>
          <w:bCs/>
          <w:sz w:val="24"/>
          <w:szCs w:val="24"/>
        </w:rPr>
        <w:t xml:space="preserve">were eligible for inclusion if aged between </w:t>
      </w:r>
      <w:r w:rsidR="005F7150" w:rsidRPr="008C51C9">
        <w:rPr>
          <w:rFonts w:ascii="Times New Roman" w:hAnsi="Times New Roman" w:cs="Times New Roman"/>
          <w:bCs/>
          <w:sz w:val="24"/>
          <w:szCs w:val="24"/>
        </w:rPr>
        <w:t xml:space="preserve">18-40 years and suffering from primary infertility, irregular/scanty menses due to anovulatory cycles and increased </w:t>
      </w:r>
      <w:r w:rsidRPr="008C51C9">
        <w:rPr>
          <w:rFonts w:ascii="Times New Roman" w:hAnsi="Times New Roman" w:cs="Times New Roman"/>
          <w:bCs/>
          <w:sz w:val="24"/>
          <w:szCs w:val="24"/>
        </w:rPr>
        <w:t>luteinizing hormone (</w:t>
      </w:r>
      <w:r w:rsidR="005F7150" w:rsidRPr="008C51C9">
        <w:rPr>
          <w:rFonts w:ascii="Times New Roman" w:hAnsi="Times New Roman" w:cs="Times New Roman"/>
          <w:bCs/>
          <w:sz w:val="24"/>
          <w:szCs w:val="24"/>
        </w:rPr>
        <w:t>LH</w:t>
      </w:r>
      <w:r w:rsidRPr="008C51C9">
        <w:rPr>
          <w:rFonts w:ascii="Times New Roman" w:hAnsi="Times New Roman" w:cs="Times New Roman"/>
          <w:bCs/>
          <w:sz w:val="24"/>
          <w:szCs w:val="24"/>
        </w:rPr>
        <w:t>)</w:t>
      </w:r>
      <w:r w:rsidR="005F7150" w:rsidRPr="008C51C9">
        <w:rPr>
          <w:rFonts w:ascii="Times New Roman" w:hAnsi="Times New Roman" w:cs="Times New Roman"/>
          <w:bCs/>
          <w:sz w:val="24"/>
          <w:szCs w:val="24"/>
        </w:rPr>
        <w:t xml:space="preserve"> levels in blood</w:t>
      </w:r>
      <w:r w:rsidRPr="008C51C9">
        <w:rPr>
          <w:rFonts w:ascii="Times New Roman" w:hAnsi="Times New Roman" w:cs="Times New Roman"/>
          <w:bCs/>
          <w:sz w:val="24"/>
          <w:szCs w:val="24"/>
        </w:rPr>
        <w:t xml:space="preserve">. </w:t>
      </w:r>
      <w:r w:rsidR="00E067D7" w:rsidRPr="008C51C9">
        <w:rPr>
          <w:rFonts w:ascii="Times New Roman" w:hAnsi="Times New Roman" w:cs="Times New Roman"/>
          <w:bCs/>
          <w:sz w:val="24"/>
          <w:szCs w:val="24"/>
        </w:rPr>
        <w:t>P</w:t>
      </w:r>
      <w:r w:rsidR="007D7481" w:rsidRPr="008C51C9">
        <w:rPr>
          <w:rFonts w:ascii="Times New Roman" w:hAnsi="Times New Roman" w:cs="Times New Roman"/>
          <w:bCs/>
          <w:sz w:val="24"/>
          <w:szCs w:val="24"/>
        </w:rPr>
        <w:t>articipant</w:t>
      </w:r>
      <w:r w:rsidRPr="008C51C9">
        <w:rPr>
          <w:rFonts w:ascii="Times New Roman" w:hAnsi="Times New Roman" w:cs="Times New Roman"/>
          <w:bCs/>
          <w:sz w:val="24"/>
          <w:szCs w:val="24"/>
        </w:rPr>
        <w:t>s had L</w:t>
      </w:r>
      <w:r w:rsidR="005F7150" w:rsidRPr="008C51C9">
        <w:rPr>
          <w:rFonts w:ascii="Times New Roman" w:hAnsi="Times New Roman" w:cs="Times New Roman"/>
          <w:bCs/>
          <w:sz w:val="24"/>
          <w:szCs w:val="24"/>
        </w:rPr>
        <w:t xml:space="preserve">H:FSH ratio&gt;3 </w:t>
      </w:r>
      <w:r w:rsidR="00C9710D" w:rsidRPr="008C51C9">
        <w:rPr>
          <w:rFonts w:ascii="Times New Roman" w:hAnsi="Times New Roman" w:cs="Times New Roman"/>
          <w:bCs/>
          <w:sz w:val="24"/>
          <w:szCs w:val="24"/>
        </w:rPr>
        <w:t xml:space="preserve">(FSH= follicular stimulating hormone) </w:t>
      </w:r>
      <w:r w:rsidR="005F7150" w:rsidRPr="008C51C9">
        <w:rPr>
          <w:rFonts w:ascii="Times New Roman" w:hAnsi="Times New Roman" w:cs="Times New Roman"/>
          <w:bCs/>
          <w:sz w:val="24"/>
          <w:szCs w:val="24"/>
        </w:rPr>
        <w:t xml:space="preserve">confirmed </w:t>
      </w:r>
      <w:r w:rsidRPr="008C51C9">
        <w:rPr>
          <w:rFonts w:ascii="Times New Roman" w:hAnsi="Times New Roman" w:cs="Times New Roman"/>
          <w:bCs/>
          <w:sz w:val="24"/>
          <w:szCs w:val="24"/>
        </w:rPr>
        <w:t xml:space="preserve">by haematological examinations; had </w:t>
      </w:r>
      <w:r w:rsidR="005F7150" w:rsidRPr="008C51C9">
        <w:rPr>
          <w:rFonts w:ascii="Times New Roman" w:hAnsi="Times New Roman" w:cs="Times New Roman"/>
          <w:bCs/>
          <w:sz w:val="24"/>
          <w:szCs w:val="24"/>
        </w:rPr>
        <w:t xml:space="preserve">clinical or biochemical evidence of </w:t>
      </w:r>
      <w:r w:rsidR="009B622D" w:rsidRPr="008C51C9">
        <w:rPr>
          <w:rFonts w:ascii="Times New Roman" w:hAnsi="Times New Roman" w:cs="Times New Roman"/>
          <w:bCs/>
          <w:sz w:val="24"/>
          <w:szCs w:val="24"/>
        </w:rPr>
        <w:t>h</w:t>
      </w:r>
      <w:r w:rsidR="005F7150" w:rsidRPr="008C51C9">
        <w:rPr>
          <w:rFonts w:ascii="Times New Roman" w:hAnsi="Times New Roman" w:cs="Times New Roman"/>
          <w:bCs/>
          <w:sz w:val="24"/>
          <w:szCs w:val="24"/>
        </w:rPr>
        <w:t>yperandrogenism</w:t>
      </w:r>
      <w:r w:rsidRPr="008C51C9">
        <w:rPr>
          <w:rFonts w:ascii="Times New Roman" w:hAnsi="Times New Roman" w:cs="Times New Roman"/>
          <w:bCs/>
          <w:sz w:val="24"/>
          <w:szCs w:val="24"/>
        </w:rPr>
        <w:t xml:space="preserve">; </w:t>
      </w:r>
      <w:r w:rsidR="005F7150" w:rsidRPr="008C51C9">
        <w:rPr>
          <w:rFonts w:ascii="Times New Roman" w:hAnsi="Times New Roman" w:cs="Times New Roman"/>
          <w:bCs/>
          <w:sz w:val="24"/>
          <w:szCs w:val="24"/>
        </w:rPr>
        <w:t xml:space="preserve">had a negative pregnancy test. </w:t>
      </w:r>
      <w:r w:rsidR="007D7481" w:rsidRPr="008C51C9">
        <w:rPr>
          <w:rFonts w:ascii="Times New Roman" w:hAnsi="Times New Roman" w:cs="Times New Roman"/>
          <w:bCs/>
          <w:sz w:val="24"/>
          <w:szCs w:val="24"/>
        </w:rPr>
        <w:t>Participant</w:t>
      </w:r>
      <w:r w:rsidR="004A70F0" w:rsidRPr="008C51C9">
        <w:rPr>
          <w:rFonts w:ascii="Times New Roman" w:hAnsi="Times New Roman" w:cs="Times New Roman"/>
          <w:bCs/>
          <w:sz w:val="24"/>
          <w:szCs w:val="24"/>
        </w:rPr>
        <w:t xml:space="preserve">s who were unmarried; pregnant or lactating mothers; </w:t>
      </w:r>
      <w:r w:rsidR="004A70F0" w:rsidRPr="008C51C9">
        <w:rPr>
          <w:rFonts w:ascii="Times New Roman" w:hAnsi="Times New Roman" w:cs="Times New Roman"/>
          <w:sz w:val="24"/>
          <w:szCs w:val="24"/>
        </w:rPr>
        <w:t xml:space="preserve">currently on </w:t>
      </w:r>
      <w:r w:rsidR="00A008D7" w:rsidRPr="008C51C9">
        <w:rPr>
          <w:rFonts w:ascii="Times New Roman" w:hAnsi="Times New Roman" w:cs="Times New Roman"/>
          <w:sz w:val="24"/>
          <w:szCs w:val="24"/>
        </w:rPr>
        <w:t>hormone replacement therapy (</w:t>
      </w:r>
      <w:r w:rsidR="004A70F0" w:rsidRPr="008C51C9">
        <w:rPr>
          <w:rFonts w:ascii="Times New Roman" w:hAnsi="Times New Roman" w:cs="Times New Roman"/>
          <w:sz w:val="24"/>
          <w:szCs w:val="24"/>
        </w:rPr>
        <w:t>HRT</w:t>
      </w:r>
      <w:r w:rsidR="00A008D7" w:rsidRPr="008C51C9">
        <w:rPr>
          <w:rFonts w:ascii="Times New Roman" w:hAnsi="Times New Roman" w:cs="Times New Roman"/>
          <w:sz w:val="24"/>
          <w:szCs w:val="24"/>
        </w:rPr>
        <w:t>)</w:t>
      </w:r>
      <w:r w:rsidR="004A70F0" w:rsidRPr="008C51C9">
        <w:rPr>
          <w:rFonts w:ascii="Times New Roman" w:hAnsi="Times New Roman" w:cs="Times New Roman"/>
          <w:sz w:val="24"/>
          <w:szCs w:val="24"/>
        </w:rPr>
        <w:t xml:space="preserve"> or having taken any herbal medications in the last 30 days were excluded from the study. </w:t>
      </w:r>
      <w:r w:rsidR="007D7481" w:rsidRPr="008C51C9">
        <w:rPr>
          <w:rFonts w:ascii="Times New Roman" w:hAnsi="Times New Roman" w:cs="Times New Roman"/>
          <w:sz w:val="24"/>
          <w:szCs w:val="24"/>
        </w:rPr>
        <w:t>Participant</w:t>
      </w:r>
      <w:r w:rsidR="004A70F0" w:rsidRPr="008C51C9">
        <w:rPr>
          <w:rFonts w:ascii="Times New Roman" w:hAnsi="Times New Roman" w:cs="Times New Roman"/>
          <w:sz w:val="24"/>
          <w:szCs w:val="24"/>
        </w:rPr>
        <w:t>s were excluded if diagnosed with cervical tumour, polyp or cervical cancer; diagnosed with uterine fibroid, congenital anomalies in genital tract, tubercular endometritis, congenital adrenal hyperplasia; who were HIV/VDRL/</w:t>
      </w:r>
      <w:proofErr w:type="spellStart"/>
      <w:r w:rsidR="004A70F0" w:rsidRPr="008C51C9">
        <w:rPr>
          <w:rFonts w:ascii="Times New Roman" w:hAnsi="Times New Roman" w:cs="Times New Roman"/>
          <w:sz w:val="24"/>
          <w:szCs w:val="24"/>
        </w:rPr>
        <w:t>HbsAg</w:t>
      </w:r>
      <w:proofErr w:type="spellEnd"/>
      <w:r w:rsidR="004A70F0" w:rsidRPr="008C51C9">
        <w:rPr>
          <w:rFonts w:ascii="Times New Roman" w:hAnsi="Times New Roman" w:cs="Times New Roman"/>
          <w:sz w:val="24"/>
          <w:szCs w:val="24"/>
        </w:rPr>
        <w:t xml:space="preserve"> positive; and were with evidence or history of significant systemic, immunological, gynaecological disorder. </w:t>
      </w:r>
      <w:r w:rsidR="007D7481" w:rsidRPr="008C51C9">
        <w:rPr>
          <w:rFonts w:ascii="Times New Roman" w:hAnsi="Times New Roman" w:cs="Times New Roman"/>
          <w:sz w:val="24"/>
          <w:szCs w:val="24"/>
        </w:rPr>
        <w:t>Participant</w:t>
      </w:r>
      <w:r w:rsidR="004A70F0" w:rsidRPr="008C51C9">
        <w:rPr>
          <w:rFonts w:ascii="Times New Roman" w:hAnsi="Times New Roman" w:cs="Times New Roman"/>
          <w:sz w:val="24"/>
          <w:szCs w:val="24"/>
        </w:rPr>
        <w:t xml:space="preserve">s with hypothyroidism who </w:t>
      </w:r>
      <w:r w:rsidR="00992B35" w:rsidRPr="008C51C9">
        <w:rPr>
          <w:rFonts w:ascii="Times New Roman" w:hAnsi="Times New Roman" w:cs="Times New Roman"/>
          <w:sz w:val="24"/>
          <w:szCs w:val="24"/>
        </w:rPr>
        <w:t>we</w:t>
      </w:r>
      <w:r w:rsidR="004A70F0" w:rsidRPr="008C51C9">
        <w:rPr>
          <w:rFonts w:ascii="Times New Roman" w:hAnsi="Times New Roman" w:cs="Times New Roman"/>
          <w:sz w:val="24"/>
          <w:szCs w:val="24"/>
        </w:rPr>
        <w:t xml:space="preserve">re on adequate and stable thyroid replacement were not excluded. </w:t>
      </w:r>
    </w:p>
    <w:p w14:paraId="2836243C" w14:textId="77777777" w:rsidR="00214C8D" w:rsidRPr="008C51C9" w:rsidRDefault="00214C8D" w:rsidP="00A9352D">
      <w:pPr>
        <w:spacing w:after="0" w:line="240" w:lineRule="auto"/>
        <w:jc w:val="both"/>
        <w:rPr>
          <w:rFonts w:ascii="Times New Roman" w:hAnsi="Times New Roman" w:cs="Times New Roman"/>
          <w:sz w:val="24"/>
          <w:szCs w:val="24"/>
        </w:rPr>
      </w:pPr>
    </w:p>
    <w:p w14:paraId="34F589D8" w14:textId="09EC71B5" w:rsidR="00C135B0" w:rsidRPr="00057BBB" w:rsidRDefault="004A70F0" w:rsidP="001F0E37">
      <w:pPr>
        <w:spacing w:after="0" w:line="240" w:lineRule="auto"/>
        <w:jc w:val="both"/>
        <w:rPr>
          <w:rFonts w:ascii="Times New Roman" w:hAnsi="Times New Roman" w:cs="Times New Roman"/>
          <w:b/>
          <w:bCs/>
          <w:iCs/>
          <w:sz w:val="24"/>
          <w:szCs w:val="24"/>
        </w:rPr>
      </w:pPr>
      <w:r w:rsidRPr="008C51C9">
        <w:rPr>
          <w:rFonts w:ascii="Times New Roman" w:hAnsi="Times New Roman" w:cs="Times New Roman"/>
          <w:sz w:val="24"/>
          <w:szCs w:val="24"/>
        </w:rPr>
        <w:t xml:space="preserve">The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 were to be excluded if absent for the follow-up visit. They were to be excluded on the follow-up visit if initiate</w:t>
      </w:r>
      <w:r w:rsidR="00DF1BC9" w:rsidRPr="008C51C9">
        <w:rPr>
          <w:rFonts w:ascii="Times New Roman" w:hAnsi="Times New Roman" w:cs="Times New Roman"/>
          <w:sz w:val="24"/>
          <w:szCs w:val="24"/>
        </w:rPr>
        <w:t>d</w:t>
      </w:r>
      <w:r w:rsidRPr="008C51C9">
        <w:rPr>
          <w:rFonts w:ascii="Times New Roman" w:hAnsi="Times New Roman" w:cs="Times New Roman"/>
          <w:sz w:val="24"/>
          <w:szCs w:val="24"/>
        </w:rPr>
        <w:t xml:space="preserve"> HRT or any allopathic, herbal or any other medical treatment for the disorder without prior information to </w:t>
      </w:r>
      <w:r w:rsidR="00C97169" w:rsidRPr="008C51C9">
        <w:rPr>
          <w:rFonts w:ascii="Times New Roman" w:hAnsi="Times New Roman" w:cs="Times New Roman"/>
          <w:sz w:val="24"/>
          <w:szCs w:val="24"/>
        </w:rPr>
        <w:t>the investigator</w:t>
      </w:r>
      <w:r w:rsidRPr="008C51C9">
        <w:rPr>
          <w:rFonts w:ascii="Times New Roman" w:hAnsi="Times New Roman" w:cs="Times New Roman"/>
          <w:sz w:val="24"/>
          <w:szCs w:val="24"/>
        </w:rPr>
        <w:t xml:space="preserv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were informed that they were free to withdraw from the study at any time without stating the reason. The investigator could withdraw a </w:t>
      </w:r>
      <w:r w:rsidR="006E6943" w:rsidRPr="008C51C9">
        <w:rPr>
          <w:rFonts w:ascii="Times New Roman" w:hAnsi="Times New Roman" w:cs="Times New Roman"/>
          <w:sz w:val="24"/>
          <w:szCs w:val="24"/>
        </w:rPr>
        <w:t>participant fro</w:t>
      </w:r>
      <w:r w:rsidRPr="008C51C9">
        <w:rPr>
          <w:rFonts w:ascii="Times New Roman" w:hAnsi="Times New Roman" w:cs="Times New Roman"/>
          <w:sz w:val="24"/>
          <w:szCs w:val="24"/>
        </w:rPr>
        <w:t xml:space="preserve">m the study </w:t>
      </w:r>
      <w:r w:rsidR="00A9352D" w:rsidRPr="008C51C9">
        <w:rPr>
          <w:rFonts w:ascii="Times New Roman" w:hAnsi="Times New Roman" w:cs="Times New Roman"/>
          <w:sz w:val="24"/>
          <w:szCs w:val="24"/>
        </w:rPr>
        <w:t>due to any s</w:t>
      </w:r>
      <w:r w:rsidRPr="008C51C9">
        <w:rPr>
          <w:rFonts w:ascii="Times New Roman" w:hAnsi="Times New Roman" w:cs="Times New Roman"/>
          <w:sz w:val="24"/>
          <w:szCs w:val="24"/>
        </w:rPr>
        <w:t>erious adverse event</w:t>
      </w:r>
      <w:r w:rsidR="00DF1BC9" w:rsidRPr="008C51C9">
        <w:rPr>
          <w:rFonts w:ascii="Times New Roman" w:hAnsi="Times New Roman" w:cs="Times New Roman"/>
          <w:sz w:val="24"/>
          <w:szCs w:val="24"/>
        </w:rPr>
        <w:t xml:space="preserve"> (AE)</w:t>
      </w:r>
      <w:r w:rsidR="00A9352D" w:rsidRPr="008C51C9">
        <w:rPr>
          <w:rFonts w:ascii="Times New Roman" w:hAnsi="Times New Roman" w:cs="Times New Roman"/>
          <w:sz w:val="24"/>
          <w:szCs w:val="24"/>
        </w:rPr>
        <w:t>; p</w:t>
      </w:r>
      <w:r w:rsidRPr="008C51C9">
        <w:rPr>
          <w:rFonts w:ascii="Times New Roman" w:hAnsi="Times New Roman" w:cs="Times New Roman"/>
          <w:sz w:val="24"/>
          <w:szCs w:val="24"/>
        </w:rPr>
        <w:t>rotocol violation</w:t>
      </w:r>
      <w:r w:rsidR="00A9352D" w:rsidRPr="008C51C9">
        <w:rPr>
          <w:rFonts w:ascii="Times New Roman" w:hAnsi="Times New Roman" w:cs="Times New Roman"/>
          <w:sz w:val="24"/>
          <w:szCs w:val="24"/>
        </w:rPr>
        <w:t>; c</w:t>
      </w:r>
      <w:r w:rsidRPr="008C51C9">
        <w:rPr>
          <w:rFonts w:ascii="Times New Roman" w:hAnsi="Times New Roman" w:cs="Times New Roman"/>
          <w:sz w:val="24"/>
          <w:szCs w:val="24"/>
        </w:rPr>
        <w:t xml:space="preserve">onsent withdrawal not due to an </w:t>
      </w:r>
      <w:r w:rsidR="00E067D7" w:rsidRPr="008C51C9">
        <w:rPr>
          <w:rFonts w:ascii="Times New Roman" w:hAnsi="Times New Roman" w:cs="Times New Roman"/>
          <w:sz w:val="24"/>
          <w:szCs w:val="24"/>
        </w:rPr>
        <w:t>AE</w:t>
      </w:r>
      <w:r w:rsidR="00A9352D" w:rsidRPr="008C51C9">
        <w:rPr>
          <w:rFonts w:ascii="Times New Roman" w:hAnsi="Times New Roman" w:cs="Times New Roman"/>
          <w:sz w:val="24"/>
          <w:szCs w:val="24"/>
        </w:rPr>
        <w:t>; m</w:t>
      </w:r>
      <w:r w:rsidRPr="008C51C9">
        <w:rPr>
          <w:rFonts w:ascii="Times New Roman" w:hAnsi="Times New Roman" w:cs="Times New Roman"/>
          <w:sz w:val="24"/>
          <w:szCs w:val="24"/>
        </w:rPr>
        <w:t>igration from the study site</w:t>
      </w:r>
      <w:r w:rsidR="00A9352D" w:rsidRPr="008C51C9">
        <w:rPr>
          <w:rFonts w:ascii="Times New Roman" w:hAnsi="Times New Roman" w:cs="Times New Roman"/>
          <w:sz w:val="24"/>
          <w:szCs w:val="24"/>
        </w:rPr>
        <w:t>; l</w:t>
      </w:r>
      <w:r w:rsidRPr="008C51C9">
        <w:rPr>
          <w:rFonts w:ascii="Times New Roman" w:hAnsi="Times New Roman" w:cs="Times New Roman"/>
          <w:sz w:val="24"/>
          <w:szCs w:val="24"/>
        </w:rPr>
        <w:t>ost to follow-up</w:t>
      </w:r>
      <w:r w:rsidR="00A9352D" w:rsidRPr="008C51C9">
        <w:rPr>
          <w:rFonts w:ascii="Times New Roman" w:hAnsi="Times New Roman" w:cs="Times New Roman"/>
          <w:sz w:val="24"/>
          <w:szCs w:val="24"/>
        </w:rPr>
        <w:t xml:space="preserve">; and for any other appropriate reason. </w:t>
      </w:r>
      <w:r w:rsidR="005F7150" w:rsidRPr="008C51C9">
        <w:rPr>
          <w:rFonts w:ascii="Times New Roman" w:hAnsi="Times New Roman" w:cs="Times New Roman"/>
          <w:sz w:val="24"/>
          <w:szCs w:val="24"/>
        </w:rPr>
        <w:t xml:space="preserve">The </w:t>
      </w:r>
      <w:r w:rsidR="007D7481" w:rsidRPr="008C51C9">
        <w:rPr>
          <w:rFonts w:ascii="Times New Roman" w:hAnsi="Times New Roman" w:cs="Times New Roman"/>
          <w:sz w:val="24"/>
          <w:szCs w:val="24"/>
        </w:rPr>
        <w:t>participant</w:t>
      </w:r>
      <w:r w:rsidR="005F7150" w:rsidRPr="008C51C9">
        <w:rPr>
          <w:rFonts w:ascii="Times New Roman" w:hAnsi="Times New Roman" w:cs="Times New Roman"/>
          <w:sz w:val="24"/>
          <w:szCs w:val="24"/>
        </w:rPr>
        <w:t xml:space="preserve"> was followed up by the investigator after withdrawal; the cause of which was recorded in the </w:t>
      </w:r>
      <w:r w:rsidR="00A9352D" w:rsidRPr="008C51C9">
        <w:rPr>
          <w:rFonts w:ascii="Times New Roman" w:hAnsi="Times New Roman" w:cs="Times New Roman"/>
          <w:sz w:val="24"/>
          <w:szCs w:val="24"/>
        </w:rPr>
        <w:t>‘</w:t>
      </w:r>
      <w:r w:rsidR="005F7150" w:rsidRPr="008C51C9">
        <w:rPr>
          <w:rFonts w:ascii="Times New Roman" w:hAnsi="Times New Roman" w:cs="Times New Roman"/>
          <w:sz w:val="24"/>
          <w:szCs w:val="24"/>
        </w:rPr>
        <w:t xml:space="preserve">Study Completion page’ and </w:t>
      </w:r>
      <w:r w:rsidR="00A9352D" w:rsidRPr="008C51C9">
        <w:rPr>
          <w:rFonts w:ascii="Times New Roman" w:hAnsi="Times New Roman" w:cs="Times New Roman"/>
          <w:sz w:val="24"/>
          <w:szCs w:val="24"/>
        </w:rPr>
        <w:t xml:space="preserve">AE </w:t>
      </w:r>
      <w:r w:rsidR="005F7150" w:rsidRPr="008C51C9">
        <w:rPr>
          <w:rFonts w:ascii="Times New Roman" w:hAnsi="Times New Roman" w:cs="Times New Roman"/>
          <w:sz w:val="24"/>
          <w:szCs w:val="24"/>
        </w:rPr>
        <w:t xml:space="preserve">if any was recorded in the AE section of case report form. </w:t>
      </w:r>
      <w:r w:rsidR="007D7481" w:rsidRPr="008C51C9">
        <w:rPr>
          <w:rFonts w:ascii="Times New Roman" w:hAnsi="Times New Roman" w:cs="Times New Roman"/>
          <w:bCs/>
          <w:iCs/>
          <w:sz w:val="24"/>
          <w:szCs w:val="24"/>
        </w:rPr>
        <w:t>Participant</w:t>
      </w:r>
      <w:r w:rsidR="00A9352D" w:rsidRPr="008C51C9">
        <w:rPr>
          <w:rFonts w:ascii="Times New Roman" w:hAnsi="Times New Roman" w:cs="Times New Roman"/>
          <w:bCs/>
          <w:iCs/>
          <w:sz w:val="24"/>
          <w:szCs w:val="24"/>
        </w:rPr>
        <w:t xml:space="preserve">s </w:t>
      </w:r>
      <w:r w:rsidR="005F7150" w:rsidRPr="008C51C9">
        <w:rPr>
          <w:rFonts w:ascii="Times New Roman" w:hAnsi="Times New Roman" w:cs="Times New Roman"/>
          <w:bCs/>
          <w:iCs/>
          <w:sz w:val="24"/>
          <w:szCs w:val="24"/>
        </w:rPr>
        <w:t>withdrawn from the study were not replaced</w:t>
      </w:r>
      <w:r w:rsidR="005F7150" w:rsidRPr="008C51C9">
        <w:rPr>
          <w:rFonts w:ascii="Times New Roman" w:hAnsi="Times New Roman" w:cs="Times New Roman"/>
          <w:b/>
          <w:bCs/>
          <w:iCs/>
          <w:sz w:val="24"/>
          <w:szCs w:val="24"/>
        </w:rPr>
        <w:t>.</w:t>
      </w:r>
      <w:r w:rsidR="001F0E37">
        <w:rPr>
          <w:rFonts w:ascii="Times New Roman" w:hAnsi="Times New Roman" w:cs="Times New Roman"/>
          <w:b/>
          <w:bCs/>
          <w:iCs/>
          <w:sz w:val="24"/>
          <w:szCs w:val="24"/>
        </w:rPr>
        <w:t xml:space="preserve"> </w:t>
      </w:r>
    </w:p>
    <w:p w14:paraId="4AB5ECE6" w14:textId="77777777" w:rsidR="005C3BF2" w:rsidRDefault="005C3BF2" w:rsidP="005C3BF2">
      <w:pPr>
        <w:spacing w:after="0" w:line="240" w:lineRule="auto"/>
        <w:rPr>
          <w:rFonts w:ascii="Times New Roman" w:hAnsi="Times New Roman" w:cs="Times New Roman"/>
          <w:sz w:val="24"/>
          <w:szCs w:val="24"/>
        </w:rPr>
      </w:pPr>
    </w:p>
    <w:p w14:paraId="404E0DB2" w14:textId="77777777" w:rsidR="00FD2913" w:rsidRDefault="00FD2913" w:rsidP="005C3BF2">
      <w:pPr>
        <w:spacing w:after="0" w:line="240" w:lineRule="auto"/>
        <w:rPr>
          <w:rFonts w:ascii="Times New Roman" w:hAnsi="Times New Roman" w:cs="Times New Roman"/>
          <w:sz w:val="24"/>
          <w:szCs w:val="24"/>
        </w:rPr>
      </w:pPr>
    </w:p>
    <w:p w14:paraId="0D702CD9" w14:textId="77777777" w:rsidR="004716D0" w:rsidRPr="00057BBB" w:rsidRDefault="004716D0" w:rsidP="005C3BF2">
      <w:pPr>
        <w:spacing w:after="0" w:line="240" w:lineRule="auto"/>
        <w:rPr>
          <w:rFonts w:ascii="Times New Roman" w:hAnsi="Times New Roman" w:cs="Times New Roman"/>
          <w:sz w:val="24"/>
          <w:szCs w:val="24"/>
        </w:rPr>
      </w:pPr>
    </w:p>
    <w:p w14:paraId="237549BD"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Randomisation and masking</w:t>
      </w:r>
    </w:p>
    <w:p w14:paraId="659AA762" w14:textId="000291C4" w:rsidR="009471F1" w:rsidRPr="008C51C9" w:rsidRDefault="009471F1" w:rsidP="009471F1">
      <w:pPr>
        <w:jc w:val="both"/>
        <w:rPr>
          <w:rFonts w:ascii="Times New Roman" w:hAnsi="Times New Roman" w:cs="Times New Roman"/>
          <w:sz w:val="24"/>
          <w:szCs w:val="24"/>
        </w:rPr>
      </w:pPr>
      <w:r w:rsidRPr="008C51C9">
        <w:rPr>
          <w:rFonts w:ascii="Times New Roman" w:hAnsi="Times New Roman" w:cs="Times New Roman"/>
          <w:bCs/>
          <w:iCs/>
          <w:sz w:val="24"/>
          <w:szCs w:val="24"/>
        </w:rPr>
        <w:t>The study was double</w:t>
      </w:r>
      <w:r w:rsidR="009B622D" w:rsidRPr="008C51C9">
        <w:rPr>
          <w:rFonts w:ascii="Times New Roman" w:hAnsi="Times New Roman" w:cs="Times New Roman"/>
          <w:bCs/>
          <w:iCs/>
          <w:sz w:val="24"/>
          <w:szCs w:val="24"/>
        </w:rPr>
        <w:t>-</w:t>
      </w:r>
      <w:r w:rsidRPr="008C51C9">
        <w:rPr>
          <w:rFonts w:ascii="Times New Roman" w:hAnsi="Times New Roman" w:cs="Times New Roman"/>
          <w:bCs/>
          <w:iCs/>
          <w:sz w:val="24"/>
          <w:szCs w:val="24"/>
        </w:rPr>
        <w:t xml:space="preserve">blind with both the </w:t>
      </w:r>
      <w:r w:rsidR="007D7481" w:rsidRPr="008C51C9">
        <w:rPr>
          <w:rFonts w:ascii="Times New Roman" w:hAnsi="Times New Roman" w:cs="Times New Roman"/>
          <w:bCs/>
          <w:iCs/>
          <w:sz w:val="24"/>
          <w:szCs w:val="24"/>
        </w:rPr>
        <w:t>participant</w:t>
      </w:r>
      <w:r w:rsidRPr="008C51C9">
        <w:rPr>
          <w:rFonts w:ascii="Times New Roman" w:hAnsi="Times New Roman" w:cs="Times New Roman"/>
          <w:bCs/>
          <w:iCs/>
          <w:sz w:val="24"/>
          <w:szCs w:val="24"/>
        </w:rPr>
        <w:t xml:space="preserve">s and the </w:t>
      </w:r>
      <w:r w:rsidR="002A76B9">
        <w:rPr>
          <w:rFonts w:ascii="Times New Roman" w:hAnsi="Times New Roman" w:cs="Times New Roman"/>
          <w:bCs/>
          <w:iCs/>
          <w:sz w:val="24"/>
          <w:szCs w:val="24"/>
        </w:rPr>
        <w:t>physician</w:t>
      </w:r>
      <w:r w:rsidR="005B79CD">
        <w:rPr>
          <w:rFonts w:ascii="Times New Roman" w:hAnsi="Times New Roman" w:cs="Times New Roman"/>
          <w:bCs/>
          <w:iCs/>
          <w:sz w:val="24"/>
          <w:szCs w:val="24"/>
        </w:rPr>
        <w:t xml:space="preserve"> with supporting </w:t>
      </w:r>
      <w:r w:rsidRPr="008C51C9">
        <w:rPr>
          <w:rFonts w:ascii="Times New Roman" w:hAnsi="Times New Roman" w:cs="Times New Roman"/>
          <w:bCs/>
          <w:iCs/>
          <w:sz w:val="24"/>
          <w:szCs w:val="24"/>
        </w:rPr>
        <w:t xml:space="preserve">investigator not knowing the </w:t>
      </w:r>
      <w:r w:rsidR="00DF1BC9" w:rsidRPr="008C51C9">
        <w:rPr>
          <w:rFonts w:ascii="Times New Roman" w:hAnsi="Times New Roman" w:cs="Times New Roman"/>
          <w:bCs/>
          <w:iCs/>
          <w:sz w:val="24"/>
          <w:szCs w:val="24"/>
        </w:rPr>
        <w:t xml:space="preserve">study </w:t>
      </w:r>
      <w:r w:rsidRPr="008C51C9">
        <w:rPr>
          <w:rFonts w:ascii="Times New Roman" w:hAnsi="Times New Roman" w:cs="Times New Roman"/>
          <w:bCs/>
          <w:iCs/>
          <w:sz w:val="24"/>
          <w:szCs w:val="24"/>
        </w:rPr>
        <w:t xml:space="preserve">arm to which a </w:t>
      </w:r>
      <w:r w:rsidR="007D7481" w:rsidRPr="008C51C9">
        <w:rPr>
          <w:rFonts w:ascii="Times New Roman" w:hAnsi="Times New Roman" w:cs="Times New Roman"/>
          <w:bCs/>
          <w:iCs/>
          <w:sz w:val="24"/>
          <w:szCs w:val="24"/>
        </w:rPr>
        <w:t>participant</w:t>
      </w:r>
      <w:r w:rsidRPr="008C51C9">
        <w:rPr>
          <w:rFonts w:ascii="Times New Roman" w:hAnsi="Times New Roman" w:cs="Times New Roman"/>
          <w:bCs/>
          <w:iCs/>
          <w:sz w:val="24"/>
          <w:szCs w:val="24"/>
        </w:rPr>
        <w:t xml:space="preserve"> has been allocated. </w:t>
      </w:r>
      <w:r w:rsidR="00E067D7" w:rsidRPr="008C51C9">
        <w:rPr>
          <w:rFonts w:ascii="Times New Roman" w:hAnsi="Times New Roman" w:cs="Times New Roman"/>
          <w:bCs/>
          <w:sz w:val="24"/>
          <w:szCs w:val="24"/>
        </w:rPr>
        <w:t>1</w:t>
      </w:r>
      <w:r w:rsidR="005F7150" w:rsidRPr="008C51C9">
        <w:rPr>
          <w:rFonts w:ascii="Times New Roman" w:hAnsi="Times New Roman" w:cs="Times New Roman"/>
          <w:bCs/>
          <w:sz w:val="24"/>
          <w:szCs w:val="24"/>
        </w:rPr>
        <w:t xml:space="preserve">00 </w:t>
      </w:r>
      <w:r w:rsidRPr="008C51C9">
        <w:rPr>
          <w:rFonts w:ascii="Times New Roman" w:hAnsi="Times New Roman" w:cs="Times New Roman"/>
          <w:bCs/>
          <w:sz w:val="24"/>
          <w:szCs w:val="24"/>
        </w:rPr>
        <w:t>e</w:t>
      </w:r>
      <w:r w:rsidRPr="008C51C9">
        <w:rPr>
          <w:rFonts w:ascii="Times New Roman" w:hAnsi="Times New Roman" w:cs="Times New Roman"/>
          <w:sz w:val="24"/>
          <w:szCs w:val="24"/>
        </w:rPr>
        <w:t xml:space="preserve">ligible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 were allocated to one of the two study arms (test or placebo) in the ratio of 1:1</w:t>
      </w:r>
      <w:r w:rsidR="00E067D7" w:rsidRPr="008C51C9">
        <w:rPr>
          <w:rFonts w:ascii="Times New Roman" w:hAnsi="Times New Roman" w:cs="Times New Roman"/>
          <w:sz w:val="24"/>
          <w:szCs w:val="24"/>
        </w:rPr>
        <w:t xml:space="preserve"> using a randomi</w:t>
      </w:r>
      <w:r w:rsidR="00DF1BC9" w:rsidRPr="008C51C9">
        <w:rPr>
          <w:rFonts w:ascii="Times New Roman" w:hAnsi="Times New Roman" w:cs="Times New Roman"/>
          <w:sz w:val="24"/>
          <w:szCs w:val="24"/>
        </w:rPr>
        <w:t>s</w:t>
      </w:r>
      <w:r w:rsidR="00E067D7" w:rsidRPr="008C51C9">
        <w:rPr>
          <w:rFonts w:ascii="Times New Roman" w:hAnsi="Times New Roman" w:cs="Times New Roman"/>
          <w:sz w:val="24"/>
          <w:szCs w:val="24"/>
        </w:rPr>
        <w:t>ation list</w:t>
      </w:r>
      <w:r w:rsidRPr="008C51C9">
        <w:rPr>
          <w:rFonts w:ascii="Times New Roman" w:hAnsi="Times New Roman" w:cs="Times New Roman"/>
          <w:sz w:val="24"/>
          <w:szCs w:val="24"/>
        </w:rPr>
        <w:t>. The randomi</w:t>
      </w:r>
      <w:r w:rsidR="00DF1BC9" w:rsidRPr="008C51C9">
        <w:rPr>
          <w:rFonts w:ascii="Times New Roman" w:hAnsi="Times New Roman" w:cs="Times New Roman"/>
          <w:sz w:val="24"/>
          <w:szCs w:val="24"/>
        </w:rPr>
        <w:t>s</w:t>
      </w:r>
      <w:r w:rsidRPr="008C51C9">
        <w:rPr>
          <w:rFonts w:ascii="Times New Roman" w:hAnsi="Times New Roman" w:cs="Times New Roman"/>
          <w:sz w:val="24"/>
          <w:szCs w:val="24"/>
        </w:rPr>
        <w:t xml:space="preserve">ation list was prepared by </w:t>
      </w:r>
      <w:r w:rsidR="001E2727" w:rsidRPr="008C51C9">
        <w:rPr>
          <w:rFonts w:ascii="Times New Roman" w:hAnsi="Times New Roman" w:cs="Times New Roman"/>
          <w:sz w:val="24"/>
          <w:szCs w:val="24"/>
        </w:rPr>
        <w:t xml:space="preserve">a </w:t>
      </w:r>
      <w:r w:rsidRPr="008C51C9">
        <w:rPr>
          <w:rFonts w:ascii="Times New Roman" w:hAnsi="Times New Roman" w:cs="Times New Roman"/>
          <w:sz w:val="24"/>
          <w:szCs w:val="24"/>
        </w:rPr>
        <w:t>biostatistician, and</w:t>
      </w:r>
      <w:r w:rsidR="00C97169" w:rsidRPr="008C51C9">
        <w:rPr>
          <w:rFonts w:ascii="Times New Roman" w:hAnsi="Times New Roman" w:cs="Times New Roman"/>
          <w:sz w:val="24"/>
          <w:szCs w:val="24"/>
        </w:rPr>
        <w:t xml:space="preserve"> the group list was</w:t>
      </w:r>
      <w:r w:rsidRPr="008C51C9">
        <w:rPr>
          <w:rFonts w:ascii="Times New Roman" w:hAnsi="Times New Roman" w:cs="Times New Roman"/>
          <w:sz w:val="24"/>
          <w:szCs w:val="24"/>
        </w:rPr>
        <w:t xml:space="preserve"> passed on to the </w:t>
      </w:r>
      <w:r w:rsidR="00C97169" w:rsidRPr="008C51C9">
        <w:rPr>
          <w:rFonts w:ascii="Times New Roman" w:hAnsi="Times New Roman" w:cs="Times New Roman"/>
          <w:sz w:val="24"/>
          <w:szCs w:val="24"/>
        </w:rPr>
        <w:t>study liaison.</w:t>
      </w:r>
      <w:r w:rsidRPr="008C51C9">
        <w:rPr>
          <w:rFonts w:ascii="Times New Roman" w:hAnsi="Times New Roman" w:cs="Times New Roman"/>
          <w:sz w:val="24"/>
          <w:szCs w:val="24"/>
        </w:rPr>
        <w:t xml:space="preserve"> The details of randomi</w:t>
      </w:r>
      <w:r w:rsidR="00DF1BC9" w:rsidRPr="008C51C9">
        <w:rPr>
          <w:rFonts w:ascii="Times New Roman" w:hAnsi="Times New Roman" w:cs="Times New Roman"/>
          <w:sz w:val="24"/>
          <w:szCs w:val="24"/>
        </w:rPr>
        <w:t>s</w:t>
      </w:r>
      <w:r w:rsidRPr="008C51C9">
        <w:rPr>
          <w:rFonts w:ascii="Times New Roman" w:hAnsi="Times New Roman" w:cs="Times New Roman"/>
          <w:sz w:val="24"/>
          <w:szCs w:val="24"/>
        </w:rPr>
        <w:t xml:space="preserve">ation list were not revealed to the </w:t>
      </w:r>
      <w:r w:rsidR="00C97169" w:rsidRPr="008C51C9">
        <w:rPr>
          <w:rFonts w:ascii="Times New Roman" w:hAnsi="Times New Roman" w:cs="Times New Roman"/>
          <w:sz w:val="24"/>
          <w:szCs w:val="24"/>
        </w:rPr>
        <w:t>study liaison</w:t>
      </w:r>
      <w:r w:rsidRPr="008C51C9">
        <w:rPr>
          <w:rFonts w:ascii="Times New Roman" w:hAnsi="Times New Roman" w:cs="Times New Roman"/>
          <w:sz w:val="24"/>
          <w:szCs w:val="24"/>
        </w:rPr>
        <w:t>.</w:t>
      </w:r>
      <w:r w:rsidR="00DF1BC9" w:rsidRPr="008C51C9">
        <w:rPr>
          <w:rFonts w:ascii="Times New Roman" w:hAnsi="Times New Roman" w:cs="Times New Roman"/>
          <w:sz w:val="24"/>
          <w:szCs w:val="24"/>
        </w:rPr>
        <w:t xml:space="preserve"> </w:t>
      </w:r>
      <w:r w:rsidR="00241C08">
        <w:rPr>
          <w:rFonts w:ascii="Times New Roman" w:hAnsi="Times New Roman" w:cs="Times New Roman"/>
          <w:sz w:val="24"/>
          <w:szCs w:val="24"/>
        </w:rPr>
        <w:t>Study Liaison has provided the bottles with sequential numbers</w:t>
      </w:r>
      <w:r w:rsidR="005C5352">
        <w:rPr>
          <w:rFonts w:ascii="Times New Roman" w:hAnsi="Times New Roman" w:cs="Times New Roman"/>
          <w:sz w:val="24"/>
          <w:szCs w:val="24"/>
        </w:rPr>
        <w:t xml:space="preserve"> and did not share any allocation information with </w:t>
      </w:r>
      <w:r w:rsidR="00870191">
        <w:rPr>
          <w:rFonts w:ascii="Times New Roman" w:hAnsi="Times New Roman" w:cs="Times New Roman"/>
          <w:sz w:val="24"/>
          <w:szCs w:val="24"/>
        </w:rPr>
        <w:t xml:space="preserve">the participants, </w:t>
      </w:r>
      <w:r w:rsidR="005C5352">
        <w:rPr>
          <w:rFonts w:ascii="Times New Roman" w:hAnsi="Times New Roman" w:cs="Times New Roman"/>
          <w:sz w:val="24"/>
          <w:szCs w:val="24"/>
        </w:rPr>
        <w:t xml:space="preserve">physician </w:t>
      </w:r>
      <w:r w:rsidR="00870191">
        <w:rPr>
          <w:rFonts w:ascii="Times New Roman" w:hAnsi="Times New Roman" w:cs="Times New Roman"/>
          <w:sz w:val="24"/>
          <w:szCs w:val="24"/>
        </w:rPr>
        <w:t xml:space="preserve">and </w:t>
      </w:r>
      <w:r w:rsidR="005C5352">
        <w:rPr>
          <w:rFonts w:ascii="Times New Roman" w:hAnsi="Times New Roman" w:cs="Times New Roman"/>
          <w:sz w:val="24"/>
          <w:szCs w:val="24"/>
        </w:rPr>
        <w:t xml:space="preserve">investigator. </w:t>
      </w:r>
      <w:r w:rsidR="00BA76B0">
        <w:rPr>
          <w:rFonts w:ascii="Times New Roman" w:hAnsi="Times New Roman" w:cs="Times New Roman"/>
          <w:sz w:val="24"/>
          <w:szCs w:val="24"/>
        </w:rPr>
        <w:t>It was re</w:t>
      </w:r>
      <w:r w:rsidR="004E3497">
        <w:rPr>
          <w:rFonts w:ascii="Times New Roman" w:hAnsi="Times New Roman" w:cs="Times New Roman"/>
          <w:sz w:val="24"/>
          <w:szCs w:val="24"/>
        </w:rPr>
        <w:t>ported</w:t>
      </w:r>
      <w:r w:rsidR="00BA76B0">
        <w:rPr>
          <w:rFonts w:ascii="Times New Roman" w:hAnsi="Times New Roman" w:cs="Times New Roman"/>
          <w:sz w:val="24"/>
          <w:szCs w:val="24"/>
        </w:rPr>
        <w:t xml:space="preserve"> by investigator </w:t>
      </w:r>
      <w:r w:rsidR="00F67D66">
        <w:rPr>
          <w:rFonts w:ascii="Times New Roman" w:hAnsi="Times New Roman" w:cs="Times New Roman"/>
          <w:sz w:val="24"/>
          <w:szCs w:val="24"/>
        </w:rPr>
        <w:t xml:space="preserve">at the end of the study </w:t>
      </w:r>
      <w:r w:rsidR="00BA76B0">
        <w:rPr>
          <w:rFonts w:ascii="Times New Roman" w:hAnsi="Times New Roman" w:cs="Times New Roman"/>
          <w:sz w:val="24"/>
          <w:szCs w:val="24"/>
        </w:rPr>
        <w:t xml:space="preserve">that blinding process was successful as no participant was able to assess </w:t>
      </w:r>
      <w:r w:rsidR="005C5352">
        <w:rPr>
          <w:rFonts w:ascii="Times New Roman" w:hAnsi="Times New Roman" w:cs="Times New Roman"/>
          <w:sz w:val="24"/>
          <w:szCs w:val="24"/>
        </w:rPr>
        <w:t xml:space="preserve">who </w:t>
      </w:r>
      <w:r w:rsidR="00BA76B0">
        <w:rPr>
          <w:rFonts w:ascii="Times New Roman" w:hAnsi="Times New Roman" w:cs="Times New Roman"/>
          <w:sz w:val="24"/>
          <w:szCs w:val="24"/>
        </w:rPr>
        <w:t xml:space="preserve">received test oil or placebo as well as there was no </w:t>
      </w:r>
      <w:r w:rsidR="005C5352">
        <w:rPr>
          <w:rFonts w:ascii="Times New Roman" w:hAnsi="Times New Roman" w:cs="Times New Roman"/>
          <w:sz w:val="24"/>
          <w:szCs w:val="24"/>
        </w:rPr>
        <w:t>disclosure</w:t>
      </w:r>
      <w:r w:rsidR="00BA76B0">
        <w:rPr>
          <w:rFonts w:ascii="Times New Roman" w:hAnsi="Times New Roman" w:cs="Times New Roman"/>
          <w:sz w:val="24"/>
          <w:szCs w:val="24"/>
        </w:rPr>
        <w:t xml:space="preserve"> to the physician and the investigator.</w:t>
      </w:r>
    </w:p>
    <w:p w14:paraId="79143EA1"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Procedures</w:t>
      </w:r>
    </w:p>
    <w:p w14:paraId="18B39323" w14:textId="77777777" w:rsidR="001E2727" w:rsidRPr="008C51C9" w:rsidRDefault="001E2727" w:rsidP="00535E54">
      <w:pPr>
        <w:spacing w:after="0" w:line="240" w:lineRule="auto"/>
        <w:jc w:val="both"/>
        <w:rPr>
          <w:rFonts w:ascii="Times New Roman" w:hAnsi="Times New Roman" w:cs="Times New Roman"/>
          <w:bCs/>
          <w:sz w:val="24"/>
          <w:szCs w:val="24"/>
        </w:rPr>
      </w:pPr>
      <w:r w:rsidRPr="008C51C9">
        <w:rPr>
          <w:rFonts w:ascii="Times New Roman" w:hAnsi="Times New Roman" w:cs="Times New Roman"/>
          <w:bCs/>
          <w:sz w:val="24"/>
          <w:szCs w:val="24"/>
        </w:rPr>
        <w:t xml:space="preserve">The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s were informed about the study. If agreed, they signed </w:t>
      </w:r>
      <w:r w:rsidRPr="008C51C9">
        <w:rPr>
          <w:rFonts w:ascii="Times New Roman" w:hAnsi="Times New Roman" w:cs="Times New Roman"/>
          <w:sz w:val="24"/>
          <w:szCs w:val="24"/>
        </w:rPr>
        <w:t xml:space="preserve">the informed consent form, and were screened for applicable enrolment </w:t>
      </w:r>
      <w:r w:rsidR="006E6943" w:rsidRPr="008C51C9">
        <w:rPr>
          <w:rFonts w:ascii="Times New Roman" w:hAnsi="Times New Roman" w:cs="Times New Roman"/>
          <w:sz w:val="24"/>
          <w:szCs w:val="24"/>
        </w:rPr>
        <w:t>criteria</w:t>
      </w:r>
      <w:r w:rsidRPr="008C51C9">
        <w:rPr>
          <w:rFonts w:ascii="Times New Roman" w:hAnsi="Times New Roman" w:cs="Times New Roman"/>
          <w:sz w:val="24"/>
          <w:szCs w:val="24"/>
        </w:rPr>
        <w:t xml:space="preserve">. The informed consent process of individual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including the procedure of providing information to the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and her understanding on such consent, were maintained by the investigator for record. </w:t>
      </w:r>
      <w:r w:rsidRPr="008C51C9">
        <w:rPr>
          <w:rFonts w:ascii="Times New Roman" w:hAnsi="Times New Roman" w:cs="Times New Roman"/>
          <w:bCs/>
          <w:sz w:val="24"/>
          <w:szCs w:val="24"/>
        </w:rPr>
        <w:t xml:space="preserve">The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s were refrained from taking any other medications for treatment of PCOS, irregular menses and infertility including HRT from the outset of the study until final evaluation (if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 insisted to take above said medicine,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 was dropped from the study). </w:t>
      </w:r>
    </w:p>
    <w:p w14:paraId="3C2067E1" w14:textId="77777777" w:rsidR="001E2727" w:rsidRPr="008C51C9" w:rsidRDefault="001E2727" w:rsidP="00535E54">
      <w:pPr>
        <w:spacing w:after="0" w:line="240" w:lineRule="auto"/>
        <w:jc w:val="both"/>
        <w:rPr>
          <w:rFonts w:ascii="Times New Roman" w:hAnsi="Times New Roman" w:cs="Times New Roman"/>
          <w:sz w:val="24"/>
          <w:szCs w:val="24"/>
        </w:rPr>
      </w:pPr>
    </w:p>
    <w:p w14:paraId="423DE520" w14:textId="77777777" w:rsidR="00AD2028" w:rsidRPr="008C51C9" w:rsidRDefault="001E2727" w:rsidP="00535E54">
      <w:pPr>
        <w:spacing w:after="0" w:line="240" w:lineRule="auto"/>
        <w:jc w:val="both"/>
        <w:rPr>
          <w:rFonts w:ascii="Times New Roman" w:hAnsi="Times New Roman" w:cs="Times New Roman"/>
          <w:bCs/>
          <w:sz w:val="24"/>
          <w:szCs w:val="24"/>
        </w:rPr>
      </w:pPr>
      <w:r w:rsidRPr="008C51C9">
        <w:rPr>
          <w:rFonts w:ascii="Times New Roman" w:hAnsi="Times New Roman" w:cs="Times New Roman"/>
          <w:sz w:val="24"/>
          <w:szCs w:val="24"/>
        </w:rPr>
        <w:t>Participants</w:t>
      </w:r>
      <w:r w:rsidR="005F7150" w:rsidRPr="008C51C9">
        <w:rPr>
          <w:rFonts w:ascii="Times New Roman" w:hAnsi="Times New Roman" w:cs="Times New Roman"/>
          <w:sz w:val="24"/>
          <w:szCs w:val="24"/>
        </w:rPr>
        <w:t xml:space="preserve"> were screened in baseline interview (day 0) and were randomi</w:t>
      </w:r>
      <w:r w:rsidR="00341750" w:rsidRPr="008C51C9">
        <w:rPr>
          <w:rFonts w:ascii="Times New Roman" w:hAnsi="Times New Roman" w:cs="Times New Roman"/>
          <w:sz w:val="24"/>
          <w:szCs w:val="24"/>
        </w:rPr>
        <w:t>s</w:t>
      </w:r>
      <w:r w:rsidR="005F7150" w:rsidRPr="008C51C9">
        <w:rPr>
          <w:rFonts w:ascii="Times New Roman" w:hAnsi="Times New Roman" w:cs="Times New Roman"/>
          <w:sz w:val="24"/>
          <w:szCs w:val="24"/>
        </w:rPr>
        <w:t>ed into two groups to be treated either</w:t>
      </w:r>
      <w:r w:rsidR="00AD2028" w:rsidRPr="008C51C9">
        <w:rPr>
          <w:rFonts w:ascii="Times New Roman" w:hAnsi="Times New Roman" w:cs="Times New Roman"/>
          <w:sz w:val="24"/>
          <w:szCs w:val="24"/>
        </w:rPr>
        <w:t xml:space="preserve"> with</w:t>
      </w:r>
      <w:r w:rsidR="005F7150" w:rsidRPr="008C51C9">
        <w:rPr>
          <w:rFonts w:ascii="Times New Roman" w:hAnsi="Times New Roman" w:cs="Times New Roman"/>
          <w:sz w:val="24"/>
          <w:szCs w:val="24"/>
        </w:rPr>
        <w:t xml:space="preserve"> the test </w:t>
      </w:r>
      <w:r w:rsidR="00341750" w:rsidRPr="008C51C9">
        <w:rPr>
          <w:rFonts w:ascii="Times New Roman" w:hAnsi="Times New Roman" w:cs="Times New Roman"/>
          <w:sz w:val="24"/>
          <w:szCs w:val="24"/>
        </w:rPr>
        <w:t>oil</w:t>
      </w:r>
      <w:r w:rsidR="005F7150" w:rsidRPr="008C51C9">
        <w:rPr>
          <w:rFonts w:ascii="Times New Roman" w:hAnsi="Times New Roman" w:cs="Times New Roman"/>
          <w:sz w:val="24"/>
          <w:szCs w:val="24"/>
        </w:rPr>
        <w:t xml:space="preserve"> or </w:t>
      </w:r>
      <w:r w:rsidR="00AD2028" w:rsidRPr="008C51C9">
        <w:rPr>
          <w:rFonts w:ascii="Times New Roman" w:hAnsi="Times New Roman" w:cs="Times New Roman"/>
          <w:sz w:val="24"/>
          <w:szCs w:val="24"/>
        </w:rPr>
        <w:t xml:space="preserve">the </w:t>
      </w:r>
      <w:r w:rsidR="005F7150" w:rsidRPr="008C51C9">
        <w:rPr>
          <w:rFonts w:ascii="Times New Roman" w:hAnsi="Times New Roman" w:cs="Times New Roman"/>
          <w:sz w:val="24"/>
          <w:szCs w:val="24"/>
        </w:rPr>
        <w:t>placebo. The baseline interview collected demographics</w:t>
      </w:r>
      <w:r w:rsidR="000D75DB" w:rsidRPr="008C51C9">
        <w:rPr>
          <w:rFonts w:ascii="Times New Roman" w:hAnsi="Times New Roman" w:cs="Times New Roman"/>
          <w:sz w:val="24"/>
          <w:szCs w:val="24"/>
        </w:rPr>
        <w:t>; viz.</w:t>
      </w:r>
      <w:r w:rsidR="005F7150" w:rsidRPr="008C51C9">
        <w:rPr>
          <w:rFonts w:ascii="Times New Roman" w:hAnsi="Times New Roman" w:cs="Times New Roman"/>
          <w:sz w:val="24"/>
          <w:szCs w:val="24"/>
        </w:rPr>
        <w:t xml:space="preserve"> </w:t>
      </w:r>
      <w:r w:rsidR="000D75DB" w:rsidRPr="008C51C9">
        <w:rPr>
          <w:rFonts w:ascii="Times New Roman" w:hAnsi="Times New Roman" w:cs="Times New Roman"/>
          <w:sz w:val="24"/>
          <w:szCs w:val="24"/>
        </w:rPr>
        <w:t>age, height, weight, body mass index, time since diagnosis, number of cycles in past 12 years,</w:t>
      </w:r>
      <w:r w:rsidR="005F7150" w:rsidRPr="008C51C9">
        <w:rPr>
          <w:rFonts w:ascii="Times New Roman" w:hAnsi="Times New Roman" w:cs="Times New Roman"/>
          <w:sz w:val="24"/>
          <w:szCs w:val="24"/>
        </w:rPr>
        <w:t xml:space="preserve"> smoking/non-smoking as well as menstrual cycle characteristics</w:t>
      </w:r>
      <w:r w:rsidR="000D75DB" w:rsidRPr="008C51C9">
        <w:rPr>
          <w:rFonts w:ascii="Times New Roman" w:hAnsi="Times New Roman" w:cs="Times New Roman"/>
          <w:sz w:val="24"/>
          <w:szCs w:val="24"/>
        </w:rPr>
        <w:t>.</w:t>
      </w:r>
      <w:r w:rsidR="005F7150" w:rsidRPr="008C51C9">
        <w:rPr>
          <w:rFonts w:ascii="Times New Roman" w:hAnsi="Times New Roman" w:cs="Times New Roman"/>
          <w:sz w:val="24"/>
          <w:szCs w:val="24"/>
        </w:rPr>
        <w:t xml:space="preserve"> </w:t>
      </w:r>
      <w:r w:rsidR="007D7481" w:rsidRPr="008C51C9">
        <w:rPr>
          <w:rFonts w:ascii="Times New Roman" w:hAnsi="Times New Roman" w:cs="Times New Roman"/>
          <w:sz w:val="24"/>
          <w:szCs w:val="24"/>
        </w:rPr>
        <w:t>Participant</w:t>
      </w:r>
      <w:r w:rsidR="00CB3065" w:rsidRPr="008C51C9">
        <w:rPr>
          <w:rFonts w:ascii="Times New Roman" w:hAnsi="Times New Roman" w:cs="Times New Roman"/>
          <w:sz w:val="24"/>
          <w:szCs w:val="24"/>
        </w:rPr>
        <w:t>s</w:t>
      </w:r>
      <w:r w:rsidR="00CB3065" w:rsidRPr="008C51C9">
        <w:rPr>
          <w:rFonts w:ascii="Times New Roman" w:hAnsi="Times New Roman" w:cs="Times New Roman"/>
          <w:bCs/>
          <w:sz w:val="24"/>
          <w:szCs w:val="24"/>
        </w:rPr>
        <w:t xml:space="preserve"> were </w:t>
      </w:r>
      <w:r w:rsidR="00D354A4" w:rsidRPr="008C51C9">
        <w:rPr>
          <w:rFonts w:ascii="Times New Roman" w:hAnsi="Times New Roman" w:cs="Times New Roman"/>
          <w:bCs/>
          <w:sz w:val="24"/>
          <w:szCs w:val="24"/>
        </w:rPr>
        <w:t xml:space="preserve">individually </w:t>
      </w:r>
      <w:r w:rsidR="00AD2028" w:rsidRPr="008C51C9">
        <w:rPr>
          <w:rFonts w:ascii="Times New Roman" w:hAnsi="Times New Roman" w:cs="Times New Roman"/>
          <w:bCs/>
          <w:sz w:val="24"/>
          <w:szCs w:val="24"/>
        </w:rPr>
        <w:t xml:space="preserve">evaluated for </w:t>
      </w:r>
      <w:r w:rsidR="00CB3065" w:rsidRPr="008C51C9">
        <w:rPr>
          <w:rFonts w:ascii="Times New Roman" w:hAnsi="Times New Roman" w:cs="Times New Roman"/>
          <w:bCs/>
          <w:sz w:val="24"/>
          <w:szCs w:val="24"/>
        </w:rPr>
        <w:t>grad</w:t>
      </w:r>
      <w:r w:rsidR="00AD2028" w:rsidRPr="008C51C9">
        <w:rPr>
          <w:rFonts w:ascii="Times New Roman" w:hAnsi="Times New Roman" w:cs="Times New Roman"/>
          <w:bCs/>
          <w:sz w:val="24"/>
          <w:szCs w:val="24"/>
        </w:rPr>
        <w:t xml:space="preserve">ing (mild to severe) </w:t>
      </w:r>
      <w:r w:rsidR="00CB3065" w:rsidRPr="008C51C9">
        <w:rPr>
          <w:rFonts w:ascii="Times New Roman" w:hAnsi="Times New Roman" w:cs="Times New Roman"/>
          <w:bCs/>
          <w:sz w:val="24"/>
          <w:szCs w:val="24"/>
        </w:rPr>
        <w:t>and scor</w:t>
      </w:r>
      <w:r w:rsidR="00AD2028" w:rsidRPr="008C51C9">
        <w:rPr>
          <w:rFonts w:ascii="Times New Roman" w:hAnsi="Times New Roman" w:cs="Times New Roman"/>
          <w:bCs/>
          <w:sz w:val="24"/>
          <w:szCs w:val="24"/>
        </w:rPr>
        <w:t xml:space="preserve">ing (0 to 3) </w:t>
      </w:r>
      <w:r w:rsidR="00CB3065" w:rsidRPr="008C51C9">
        <w:rPr>
          <w:rFonts w:ascii="Times New Roman" w:hAnsi="Times New Roman" w:cs="Times New Roman"/>
          <w:bCs/>
          <w:sz w:val="24"/>
          <w:szCs w:val="24"/>
        </w:rPr>
        <w:t xml:space="preserve">by a physician </w:t>
      </w:r>
      <w:r w:rsidR="00AD2028" w:rsidRPr="008C51C9">
        <w:rPr>
          <w:rFonts w:ascii="Times New Roman" w:hAnsi="Times New Roman" w:cs="Times New Roman"/>
          <w:bCs/>
          <w:sz w:val="24"/>
          <w:szCs w:val="24"/>
        </w:rPr>
        <w:t xml:space="preserve">at day0 and day60 </w:t>
      </w:r>
      <w:r w:rsidR="00CB3065" w:rsidRPr="008C51C9">
        <w:rPr>
          <w:rFonts w:ascii="Times New Roman" w:hAnsi="Times New Roman" w:cs="Times New Roman"/>
          <w:bCs/>
          <w:sz w:val="24"/>
          <w:szCs w:val="24"/>
        </w:rPr>
        <w:t>for the subjective parameters</w:t>
      </w:r>
      <w:r w:rsidR="00B60CCF" w:rsidRPr="008C51C9">
        <w:rPr>
          <w:rFonts w:ascii="Times New Roman" w:hAnsi="Times New Roman" w:cs="Times New Roman"/>
          <w:bCs/>
          <w:sz w:val="24"/>
          <w:szCs w:val="24"/>
        </w:rPr>
        <w:t xml:space="preserve">; viz. </w:t>
      </w:r>
      <w:r w:rsidR="00830EB0" w:rsidRPr="008C51C9">
        <w:rPr>
          <w:rFonts w:ascii="Times New Roman" w:hAnsi="Times New Roman" w:cs="Times New Roman"/>
          <w:bCs/>
          <w:sz w:val="24"/>
          <w:szCs w:val="24"/>
        </w:rPr>
        <w:t>irregular menstruation, duration of menstruation bleeding, quantity of bleeding and pain during menstrual period/menses</w:t>
      </w:r>
      <w:r w:rsidR="00CB3065" w:rsidRPr="008C51C9">
        <w:rPr>
          <w:rFonts w:ascii="Times New Roman" w:hAnsi="Times New Roman" w:cs="Times New Roman"/>
          <w:bCs/>
          <w:sz w:val="24"/>
          <w:szCs w:val="24"/>
        </w:rPr>
        <w:t xml:space="preserve">. </w:t>
      </w:r>
      <w:r w:rsidR="00AD2028" w:rsidRPr="008C51C9">
        <w:rPr>
          <w:rFonts w:ascii="Times New Roman" w:hAnsi="Times New Roman" w:cs="Times New Roman"/>
          <w:sz w:val="24"/>
          <w:szCs w:val="24"/>
        </w:rPr>
        <w:t xml:space="preserve">Table2 </w:t>
      </w:r>
      <w:r w:rsidR="00341750" w:rsidRPr="008C51C9">
        <w:rPr>
          <w:rFonts w:ascii="Times New Roman" w:hAnsi="Times New Roman" w:cs="Times New Roman"/>
          <w:sz w:val="24"/>
          <w:szCs w:val="24"/>
        </w:rPr>
        <w:t>presents</w:t>
      </w:r>
      <w:r w:rsidR="00AD2028" w:rsidRPr="008C51C9">
        <w:rPr>
          <w:rFonts w:ascii="Times New Roman" w:hAnsi="Times New Roman" w:cs="Times New Roman"/>
          <w:sz w:val="24"/>
          <w:szCs w:val="24"/>
        </w:rPr>
        <w:t xml:space="preserve"> the grades and scores for the four subjective parameters. Irregular menstruation is calculated by intermediate days between menses, duration of menstrual bleeding was measured in number of days of bleeding, amount of bleeding is measured by pads used per cycle, and the level of menstrual pain was evaluated by Visual Analog Score (VAS). </w:t>
      </w:r>
      <w:r w:rsidR="00CB3065" w:rsidRPr="008C51C9">
        <w:rPr>
          <w:rFonts w:ascii="Times New Roman" w:hAnsi="Times New Roman" w:cs="Times New Roman"/>
          <w:bCs/>
          <w:sz w:val="24"/>
          <w:szCs w:val="24"/>
        </w:rPr>
        <w:t xml:space="preserve">A composite score was calculated by adding </w:t>
      </w:r>
      <w:r w:rsidR="00D354A4" w:rsidRPr="008C51C9">
        <w:rPr>
          <w:rFonts w:ascii="Times New Roman" w:hAnsi="Times New Roman" w:cs="Times New Roman"/>
          <w:bCs/>
          <w:sz w:val="24"/>
          <w:szCs w:val="24"/>
        </w:rPr>
        <w:t xml:space="preserve">all </w:t>
      </w:r>
      <w:r w:rsidR="00CB3065" w:rsidRPr="008C51C9">
        <w:rPr>
          <w:rFonts w:ascii="Times New Roman" w:hAnsi="Times New Roman" w:cs="Times New Roman"/>
          <w:bCs/>
          <w:sz w:val="24"/>
          <w:szCs w:val="24"/>
        </w:rPr>
        <w:t xml:space="preserve">scores for </w:t>
      </w:r>
      <w:r w:rsidR="00D354A4" w:rsidRPr="008C51C9">
        <w:rPr>
          <w:rFonts w:ascii="Times New Roman" w:hAnsi="Times New Roman" w:cs="Times New Roman"/>
          <w:bCs/>
          <w:sz w:val="24"/>
          <w:szCs w:val="24"/>
        </w:rPr>
        <w:t xml:space="preserve">each of </w:t>
      </w:r>
      <w:r w:rsidR="00CB3065" w:rsidRPr="008C51C9">
        <w:rPr>
          <w:rFonts w:ascii="Times New Roman" w:hAnsi="Times New Roman" w:cs="Times New Roman"/>
          <w:bCs/>
          <w:sz w:val="24"/>
          <w:szCs w:val="24"/>
        </w:rPr>
        <w:t>the subjective parameters investigated (higher score indicat</w:t>
      </w:r>
      <w:r w:rsidR="00D354A4" w:rsidRPr="008C51C9">
        <w:rPr>
          <w:rFonts w:ascii="Times New Roman" w:hAnsi="Times New Roman" w:cs="Times New Roman"/>
          <w:bCs/>
          <w:sz w:val="24"/>
          <w:szCs w:val="24"/>
        </w:rPr>
        <w:t>ed</w:t>
      </w:r>
      <w:r w:rsidR="00CB3065" w:rsidRPr="008C51C9">
        <w:rPr>
          <w:rFonts w:ascii="Times New Roman" w:hAnsi="Times New Roman" w:cs="Times New Roman"/>
          <w:bCs/>
          <w:sz w:val="24"/>
          <w:szCs w:val="24"/>
        </w:rPr>
        <w:t xml:space="preserve"> severity of the disease)</w:t>
      </w:r>
      <w:r w:rsidR="00AD2028" w:rsidRPr="008C51C9">
        <w:rPr>
          <w:rFonts w:ascii="Times New Roman" w:hAnsi="Times New Roman" w:cs="Times New Roman"/>
          <w:bCs/>
          <w:sz w:val="24"/>
          <w:szCs w:val="24"/>
        </w:rPr>
        <w:t xml:space="preserve"> </w:t>
      </w:r>
      <w:r w:rsidR="00AD2028" w:rsidRPr="008C51C9">
        <w:rPr>
          <w:rFonts w:ascii="Times New Roman" w:hAnsi="Times New Roman" w:cs="Times New Roman"/>
          <w:sz w:val="24"/>
          <w:szCs w:val="24"/>
        </w:rPr>
        <w:t>before and after the given treatment in both groups</w:t>
      </w:r>
      <w:r w:rsidR="00CB3065" w:rsidRPr="008C51C9">
        <w:rPr>
          <w:rFonts w:ascii="Times New Roman" w:hAnsi="Times New Roman" w:cs="Times New Roman"/>
          <w:bCs/>
          <w:sz w:val="24"/>
          <w:szCs w:val="24"/>
        </w:rPr>
        <w:t>.</w:t>
      </w:r>
      <w:r w:rsidR="00AD2028" w:rsidRPr="008C51C9">
        <w:rPr>
          <w:rFonts w:ascii="Times New Roman" w:hAnsi="Times New Roman" w:cs="Times New Roman"/>
          <w:bCs/>
          <w:sz w:val="24"/>
          <w:szCs w:val="24"/>
        </w:rPr>
        <w:t xml:space="preserve"> C</w:t>
      </w:r>
      <w:r w:rsidR="00AD2028" w:rsidRPr="008C51C9">
        <w:rPr>
          <w:rFonts w:ascii="Times New Roman" w:hAnsi="Times New Roman" w:cs="Times New Roman"/>
          <w:sz w:val="24"/>
          <w:szCs w:val="24"/>
        </w:rPr>
        <w:t>hange in grade or decrease in composite or individual parameter score as compared to the placebo were used to assess efficacy of the treatment.</w:t>
      </w:r>
      <w:r w:rsidR="00AD2028" w:rsidRPr="008C51C9">
        <w:rPr>
          <w:rFonts w:ascii="Times New Roman" w:hAnsi="Times New Roman" w:cs="Times New Roman"/>
          <w:bCs/>
          <w:sz w:val="24"/>
          <w:szCs w:val="24"/>
        </w:rPr>
        <w:t xml:space="preserve"> </w:t>
      </w:r>
      <w:r w:rsidR="00CB3065" w:rsidRPr="008C51C9">
        <w:rPr>
          <w:rFonts w:ascii="Times New Roman" w:hAnsi="Times New Roman" w:cs="Times New Roman"/>
          <w:bCs/>
          <w:sz w:val="24"/>
          <w:szCs w:val="24"/>
        </w:rPr>
        <w:t xml:space="preserve"> </w:t>
      </w:r>
    </w:p>
    <w:p w14:paraId="5B8BD3EA" w14:textId="77777777" w:rsidR="00AD2028" w:rsidRPr="008C51C9" w:rsidRDefault="00AD2028" w:rsidP="00535E54">
      <w:pPr>
        <w:spacing w:after="0" w:line="240" w:lineRule="auto"/>
        <w:jc w:val="both"/>
        <w:rPr>
          <w:rFonts w:ascii="Times New Roman" w:hAnsi="Times New Roman" w:cs="Times New Roman"/>
          <w:bCs/>
          <w:sz w:val="24"/>
          <w:szCs w:val="24"/>
        </w:rPr>
      </w:pPr>
    </w:p>
    <w:p w14:paraId="1E4DA94D" w14:textId="7D9EC632" w:rsidR="003B7385" w:rsidRPr="008C51C9" w:rsidRDefault="003B7385" w:rsidP="003B7385">
      <w:pPr>
        <w:jc w:val="both"/>
        <w:rPr>
          <w:rFonts w:ascii="Times New Roman" w:hAnsi="Times New Roman" w:cs="Times New Roman"/>
          <w:sz w:val="24"/>
          <w:szCs w:val="24"/>
        </w:rPr>
      </w:pPr>
      <w:r w:rsidRPr="008C51C9">
        <w:rPr>
          <w:rFonts w:ascii="Times New Roman" w:hAnsi="Times New Roman" w:cs="Times New Roman"/>
          <w:sz w:val="24"/>
          <w:szCs w:val="24"/>
        </w:rPr>
        <w:t>Objective parameters indicating the symptoms of PCOS</w:t>
      </w:r>
      <w:r w:rsidR="00AD2028" w:rsidRPr="008C51C9">
        <w:rPr>
          <w:rFonts w:ascii="Times New Roman" w:hAnsi="Times New Roman" w:cs="Times New Roman"/>
          <w:sz w:val="24"/>
          <w:szCs w:val="24"/>
        </w:rPr>
        <w:t>, viz. ovarian volume, number of mature follicles and number of follicular cysts</w:t>
      </w:r>
      <w:r w:rsidRPr="008C51C9">
        <w:rPr>
          <w:rFonts w:ascii="Times New Roman" w:hAnsi="Times New Roman" w:cs="Times New Roman"/>
          <w:sz w:val="24"/>
          <w:szCs w:val="24"/>
        </w:rPr>
        <w:t xml:space="preserve"> were measured by USG of pelvic and abdomen for each treatment group. </w:t>
      </w:r>
      <w:r w:rsidR="00AD2028" w:rsidRPr="008C51C9">
        <w:rPr>
          <w:rFonts w:ascii="Times New Roman" w:hAnsi="Times New Roman" w:cs="Times New Roman"/>
          <w:sz w:val="24"/>
          <w:szCs w:val="24"/>
        </w:rPr>
        <w:t xml:space="preserve">Hirsutism is </w:t>
      </w:r>
      <w:r w:rsidR="000822CD">
        <w:rPr>
          <w:rFonts w:ascii="Times New Roman" w:hAnsi="Times New Roman" w:cs="Times New Roman"/>
          <w:sz w:val="24"/>
          <w:szCs w:val="24"/>
        </w:rPr>
        <w:t>another</w:t>
      </w:r>
      <w:r w:rsidR="00AD2028" w:rsidRPr="008C51C9">
        <w:rPr>
          <w:rFonts w:ascii="Times New Roman" w:hAnsi="Times New Roman" w:cs="Times New Roman"/>
          <w:sz w:val="24"/>
          <w:szCs w:val="24"/>
        </w:rPr>
        <w:t xml:space="preserve"> assessed objective parameter. </w:t>
      </w:r>
    </w:p>
    <w:p w14:paraId="2464BB07" w14:textId="4F265CA2" w:rsidR="003C7798" w:rsidRPr="008C51C9" w:rsidRDefault="003C7798" w:rsidP="003C7798">
      <w:pPr>
        <w:spacing w:after="0" w:line="240" w:lineRule="auto"/>
        <w:jc w:val="both"/>
        <w:rPr>
          <w:rFonts w:ascii="Times New Roman" w:hAnsi="Times New Roman" w:cs="Times New Roman"/>
          <w:bCs/>
          <w:sz w:val="24"/>
          <w:szCs w:val="24"/>
        </w:rPr>
      </w:pPr>
      <w:r w:rsidRPr="008C51C9">
        <w:rPr>
          <w:rFonts w:ascii="Times New Roman" w:hAnsi="Times New Roman" w:cs="Times New Roman"/>
          <w:bCs/>
          <w:sz w:val="24"/>
          <w:szCs w:val="24"/>
        </w:rPr>
        <w:t>Enrolled participants received the test oil or the placebo with instructions on how and when to apply. There was only a topical application of test oil and placebo oil. Oils had to be applied locally over the lower back area, lower abdominal and pelvic area and massaged lightly into the skin till oil is absorbed.</w:t>
      </w:r>
      <w:r w:rsidRPr="008C51C9">
        <w:rPr>
          <w:rFonts w:ascii="Times New Roman" w:hAnsi="Times New Roman" w:cs="Times New Roman"/>
          <w:sz w:val="24"/>
          <w:szCs w:val="24"/>
        </w:rPr>
        <w:t xml:space="preserve"> It was required to apply 8-10 drops each time for </w:t>
      </w:r>
      <w:r w:rsidRPr="0053411B">
        <w:rPr>
          <w:rFonts w:ascii="Times New Roman" w:hAnsi="Times New Roman" w:cs="Times New Roman"/>
          <w:sz w:val="24"/>
          <w:szCs w:val="24"/>
        </w:rPr>
        <w:t>three times a day.</w:t>
      </w:r>
      <w:r w:rsidRPr="008C51C9">
        <w:rPr>
          <w:rFonts w:ascii="Times New Roman" w:hAnsi="Times New Roman" w:cs="Times New Roman"/>
          <w:sz w:val="24"/>
          <w:szCs w:val="24"/>
        </w:rPr>
        <w:t xml:space="preserve"> Participants were evaluated for change, if any, in menstrual cycle characteristics as well as objective parameters during follow-up visit at Day60. AE analyses was done at each </w:t>
      </w:r>
      <w:r w:rsidR="000822CD">
        <w:rPr>
          <w:rFonts w:ascii="Times New Roman" w:hAnsi="Times New Roman" w:cs="Times New Roman"/>
          <w:sz w:val="24"/>
          <w:szCs w:val="24"/>
        </w:rPr>
        <w:t xml:space="preserve">follow-up </w:t>
      </w:r>
      <w:r w:rsidRPr="008C51C9">
        <w:rPr>
          <w:rFonts w:ascii="Times New Roman" w:hAnsi="Times New Roman" w:cs="Times New Roman"/>
          <w:sz w:val="24"/>
          <w:szCs w:val="24"/>
        </w:rPr>
        <w:t>visit, if any. The use of any incidental medication (e.g. thyroid medication, antipyretic medication etc.) was recorded.</w:t>
      </w:r>
      <w:r w:rsidR="000B42F5">
        <w:rPr>
          <w:rFonts w:ascii="Times New Roman" w:hAnsi="Times New Roman" w:cs="Times New Roman"/>
          <w:sz w:val="24"/>
          <w:szCs w:val="24"/>
        </w:rPr>
        <w:t xml:space="preserve"> </w:t>
      </w:r>
      <w:r w:rsidR="000B42F5" w:rsidRPr="008C51C9">
        <w:rPr>
          <w:rFonts w:ascii="Times New Roman" w:hAnsi="Times New Roman" w:cs="Times New Roman"/>
          <w:sz w:val="24"/>
          <w:szCs w:val="24"/>
        </w:rPr>
        <w:t>The study was conducted between 28-04-2018 to 29-09-2018</w:t>
      </w:r>
      <w:r w:rsidR="000B42F5">
        <w:rPr>
          <w:rFonts w:ascii="Times New Roman" w:hAnsi="Times New Roman" w:cs="Times New Roman"/>
          <w:sz w:val="24"/>
          <w:szCs w:val="24"/>
        </w:rPr>
        <w:t xml:space="preserve"> </w:t>
      </w:r>
      <w:r w:rsidR="000B42F5">
        <w:rPr>
          <w:rFonts w:ascii="Times New Roman" w:hAnsi="Times New Roman" w:cs="Times New Roman"/>
          <w:sz w:val="24"/>
          <w:szCs w:val="24"/>
        </w:rPr>
        <w:lastRenderedPageBreak/>
        <w:t>and then a six-month follow-up was done with test oil participants to know incidence of pregnancy</w:t>
      </w:r>
      <w:r w:rsidR="000B42F5" w:rsidRPr="008C51C9">
        <w:rPr>
          <w:rFonts w:ascii="Times New Roman" w:hAnsi="Times New Roman" w:cs="Times New Roman"/>
          <w:sz w:val="24"/>
          <w:szCs w:val="24"/>
        </w:rPr>
        <w:t>.</w:t>
      </w:r>
    </w:p>
    <w:p w14:paraId="4767BD08" w14:textId="77777777" w:rsidR="003C7798" w:rsidRPr="008C51C9" w:rsidRDefault="003C7798" w:rsidP="003C7798">
      <w:pPr>
        <w:spacing w:after="0" w:line="240" w:lineRule="auto"/>
        <w:jc w:val="both"/>
        <w:rPr>
          <w:rFonts w:ascii="Times New Roman" w:hAnsi="Times New Roman" w:cs="Times New Roman"/>
          <w:sz w:val="24"/>
          <w:szCs w:val="24"/>
        </w:rPr>
      </w:pPr>
    </w:p>
    <w:p w14:paraId="71CBAC4D" w14:textId="723936A2" w:rsidR="003C7798" w:rsidRPr="008C51C9" w:rsidRDefault="003C7798" w:rsidP="003C7798">
      <w:pPr>
        <w:jc w:val="both"/>
        <w:rPr>
          <w:rFonts w:ascii="Times New Roman" w:hAnsi="Times New Roman" w:cs="Times New Roman"/>
          <w:sz w:val="24"/>
          <w:szCs w:val="24"/>
        </w:rPr>
      </w:pPr>
      <w:r w:rsidRPr="008C51C9">
        <w:rPr>
          <w:rFonts w:ascii="Times New Roman" w:hAnsi="Times New Roman" w:cs="Times New Roman"/>
          <w:sz w:val="24"/>
          <w:szCs w:val="24"/>
        </w:rPr>
        <w:t xml:space="preserve">The test oil as well as the placebo oil were packed in similar bottles with the same appearance like colour, shape, and size by the study liaison, who </w:t>
      </w:r>
      <w:r w:rsidR="000822CD">
        <w:rPr>
          <w:rFonts w:ascii="Times New Roman" w:hAnsi="Times New Roman" w:cs="Times New Roman"/>
          <w:sz w:val="24"/>
          <w:szCs w:val="24"/>
        </w:rPr>
        <w:t>was</w:t>
      </w:r>
      <w:r w:rsidRPr="008C51C9">
        <w:rPr>
          <w:rFonts w:ascii="Times New Roman" w:hAnsi="Times New Roman" w:cs="Times New Roman"/>
          <w:sz w:val="24"/>
          <w:szCs w:val="24"/>
        </w:rPr>
        <w:t xml:space="preserve"> the only one to identify the intervention according to the number given on each bottle. </w:t>
      </w:r>
    </w:p>
    <w:p w14:paraId="2D9E025B" w14:textId="77777777" w:rsidR="003C7798" w:rsidRPr="008C51C9" w:rsidRDefault="003C7798" w:rsidP="003C7798">
      <w:pPr>
        <w:jc w:val="both"/>
        <w:rPr>
          <w:rFonts w:ascii="Times New Roman" w:hAnsi="Times New Roman" w:cs="Times New Roman"/>
          <w:bCs/>
          <w:sz w:val="24"/>
          <w:szCs w:val="24"/>
        </w:rPr>
      </w:pPr>
      <w:r w:rsidRPr="008C51C9">
        <w:rPr>
          <w:rFonts w:ascii="Times New Roman" w:hAnsi="Times New Roman" w:cs="Times New Roman"/>
          <w:sz w:val="24"/>
          <w:szCs w:val="24"/>
        </w:rPr>
        <w:t xml:space="preserve">An AE is defined as any unfavourable and unintended sign, symptom or disease, whatever their nature, severity, seriousness, and the supposed role (causality) of the product administered or the experimental procedure. Vital examination (axillary temperature, heart rate and respiratory rate) and clinical examination (including general physical and systemic examination) were done on each visit day and on any unsolicited follow up visit or at any time during the conduct of study, if deemed necessary. </w:t>
      </w:r>
      <w:r w:rsidRPr="008C51C9">
        <w:rPr>
          <w:rFonts w:ascii="Times New Roman" w:hAnsi="Times New Roman" w:cs="Times New Roman"/>
          <w:bCs/>
          <w:sz w:val="24"/>
          <w:szCs w:val="24"/>
        </w:rPr>
        <w:t xml:space="preserve">Incidences of local and systemic solicited and unsolicited AEs occurring were noted, if any. </w:t>
      </w:r>
    </w:p>
    <w:p w14:paraId="21CD249E" w14:textId="77777777" w:rsidR="005B0486" w:rsidRDefault="005B0486" w:rsidP="003B7385">
      <w:pPr>
        <w:jc w:val="both"/>
        <w:rPr>
          <w:rFonts w:ascii="Times New Roman" w:hAnsi="Times New Roman" w:cs="Times New Roman"/>
          <w:sz w:val="24"/>
          <w:szCs w:val="24"/>
        </w:rPr>
      </w:pPr>
    </w:p>
    <w:tbl>
      <w:tblPr>
        <w:tblStyle w:val="TableGrid"/>
        <w:tblW w:w="0" w:type="auto"/>
        <w:tblInd w:w="895" w:type="dxa"/>
        <w:tblLook w:val="04A0" w:firstRow="1" w:lastRow="0" w:firstColumn="1" w:lastColumn="0" w:noHBand="0" w:noVBand="1"/>
      </w:tblPr>
      <w:tblGrid>
        <w:gridCol w:w="1470"/>
        <w:gridCol w:w="1615"/>
        <w:gridCol w:w="1659"/>
        <w:gridCol w:w="1700"/>
        <w:gridCol w:w="1677"/>
      </w:tblGrid>
      <w:tr w:rsidR="003B7385" w:rsidRPr="008C51C9" w14:paraId="332F1F05" w14:textId="77777777" w:rsidTr="005B0486">
        <w:tc>
          <w:tcPr>
            <w:tcW w:w="1470" w:type="dxa"/>
          </w:tcPr>
          <w:p w14:paraId="560286C8" w14:textId="77777777" w:rsidR="003B7385" w:rsidRPr="008C51C9" w:rsidRDefault="003B7385" w:rsidP="000D47C5">
            <w:pPr>
              <w:jc w:val="center"/>
              <w:rPr>
                <w:rFonts w:ascii="Times New Roman" w:hAnsi="Times New Roman" w:cs="Times New Roman"/>
                <w:b/>
                <w:bCs/>
                <w:sz w:val="24"/>
                <w:szCs w:val="24"/>
              </w:rPr>
            </w:pPr>
            <w:r w:rsidRPr="008C51C9">
              <w:rPr>
                <w:rFonts w:ascii="Times New Roman" w:hAnsi="Times New Roman" w:cs="Times New Roman"/>
                <w:b/>
                <w:bCs/>
                <w:sz w:val="24"/>
                <w:szCs w:val="24"/>
              </w:rPr>
              <w:t>Grade</w:t>
            </w:r>
          </w:p>
        </w:tc>
        <w:tc>
          <w:tcPr>
            <w:tcW w:w="1615" w:type="dxa"/>
          </w:tcPr>
          <w:p w14:paraId="39F98823"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Nil</w:t>
            </w:r>
          </w:p>
        </w:tc>
        <w:tc>
          <w:tcPr>
            <w:tcW w:w="1659" w:type="dxa"/>
          </w:tcPr>
          <w:p w14:paraId="34E88C9E"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Mild</w:t>
            </w:r>
          </w:p>
        </w:tc>
        <w:tc>
          <w:tcPr>
            <w:tcW w:w="1700" w:type="dxa"/>
          </w:tcPr>
          <w:p w14:paraId="5867646F"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Moderate</w:t>
            </w:r>
          </w:p>
        </w:tc>
        <w:tc>
          <w:tcPr>
            <w:tcW w:w="1677" w:type="dxa"/>
          </w:tcPr>
          <w:p w14:paraId="1184EAC4"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Severe</w:t>
            </w:r>
          </w:p>
        </w:tc>
      </w:tr>
      <w:tr w:rsidR="003B7385" w:rsidRPr="008C51C9" w14:paraId="2BCF028E" w14:textId="77777777" w:rsidTr="005B0486">
        <w:tc>
          <w:tcPr>
            <w:tcW w:w="1470" w:type="dxa"/>
          </w:tcPr>
          <w:p w14:paraId="31C5D709" w14:textId="77777777" w:rsidR="003B7385" w:rsidRPr="008C51C9" w:rsidRDefault="003B7385" w:rsidP="000D47C5">
            <w:pPr>
              <w:jc w:val="center"/>
              <w:rPr>
                <w:rFonts w:ascii="Times New Roman" w:hAnsi="Times New Roman" w:cs="Times New Roman"/>
                <w:b/>
                <w:bCs/>
                <w:sz w:val="24"/>
                <w:szCs w:val="24"/>
              </w:rPr>
            </w:pPr>
            <w:r w:rsidRPr="008C51C9">
              <w:rPr>
                <w:rFonts w:ascii="Times New Roman" w:hAnsi="Times New Roman" w:cs="Times New Roman"/>
                <w:b/>
                <w:bCs/>
                <w:sz w:val="24"/>
                <w:szCs w:val="24"/>
              </w:rPr>
              <w:t>Score</w:t>
            </w:r>
          </w:p>
        </w:tc>
        <w:tc>
          <w:tcPr>
            <w:tcW w:w="1615" w:type="dxa"/>
          </w:tcPr>
          <w:p w14:paraId="0DD75468"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0</w:t>
            </w:r>
          </w:p>
        </w:tc>
        <w:tc>
          <w:tcPr>
            <w:tcW w:w="1659" w:type="dxa"/>
          </w:tcPr>
          <w:p w14:paraId="18CDCEFC"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1</w:t>
            </w:r>
          </w:p>
        </w:tc>
        <w:tc>
          <w:tcPr>
            <w:tcW w:w="1700" w:type="dxa"/>
          </w:tcPr>
          <w:p w14:paraId="2A8A4BAD"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2</w:t>
            </w:r>
          </w:p>
        </w:tc>
        <w:tc>
          <w:tcPr>
            <w:tcW w:w="1677" w:type="dxa"/>
          </w:tcPr>
          <w:p w14:paraId="1685F32F"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3</w:t>
            </w:r>
          </w:p>
        </w:tc>
      </w:tr>
      <w:tr w:rsidR="003B7385" w:rsidRPr="008C51C9" w14:paraId="18D8F73F" w14:textId="77777777" w:rsidTr="005B0486">
        <w:trPr>
          <w:trHeight w:val="368"/>
        </w:trPr>
        <w:tc>
          <w:tcPr>
            <w:tcW w:w="1470" w:type="dxa"/>
          </w:tcPr>
          <w:p w14:paraId="3FA1C911" w14:textId="77777777" w:rsidR="003B7385" w:rsidRPr="008C51C9" w:rsidRDefault="003B7385" w:rsidP="000D47C5">
            <w:pPr>
              <w:rPr>
                <w:rFonts w:ascii="Times New Roman" w:hAnsi="Times New Roman" w:cs="Times New Roman"/>
                <w:b/>
                <w:bCs/>
                <w:sz w:val="24"/>
                <w:szCs w:val="24"/>
              </w:rPr>
            </w:pPr>
            <w:r w:rsidRPr="008C51C9">
              <w:rPr>
                <w:rFonts w:ascii="Times New Roman" w:hAnsi="Times New Roman" w:cs="Times New Roman"/>
                <w:b/>
                <w:bCs/>
                <w:sz w:val="24"/>
                <w:szCs w:val="24"/>
              </w:rPr>
              <w:t>Parameters</w:t>
            </w:r>
          </w:p>
        </w:tc>
        <w:tc>
          <w:tcPr>
            <w:tcW w:w="6651" w:type="dxa"/>
            <w:gridSpan w:val="4"/>
          </w:tcPr>
          <w:p w14:paraId="3CAB75F4" w14:textId="77777777" w:rsidR="003B7385" w:rsidRPr="008C51C9" w:rsidRDefault="003B7385" w:rsidP="000D47C5">
            <w:pPr>
              <w:jc w:val="center"/>
              <w:rPr>
                <w:rFonts w:ascii="Times New Roman" w:hAnsi="Times New Roman" w:cs="Times New Roman"/>
                <w:b/>
                <w:bCs/>
                <w:sz w:val="24"/>
                <w:szCs w:val="24"/>
              </w:rPr>
            </w:pPr>
            <w:r w:rsidRPr="008C51C9">
              <w:rPr>
                <w:rFonts w:ascii="Times New Roman" w:hAnsi="Times New Roman" w:cs="Times New Roman"/>
                <w:b/>
                <w:bCs/>
                <w:sz w:val="24"/>
                <w:szCs w:val="24"/>
              </w:rPr>
              <w:t>Assessment criteria to grade and score for the given parameter</w:t>
            </w:r>
          </w:p>
        </w:tc>
      </w:tr>
      <w:tr w:rsidR="003B7385" w:rsidRPr="008C51C9" w14:paraId="2EF6CF95" w14:textId="77777777" w:rsidTr="005B0486">
        <w:tc>
          <w:tcPr>
            <w:tcW w:w="1470" w:type="dxa"/>
          </w:tcPr>
          <w:p w14:paraId="5691EB0D"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 xml:space="preserve">Irregular menstruation </w:t>
            </w:r>
          </w:p>
        </w:tc>
        <w:tc>
          <w:tcPr>
            <w:tcW w:w="1615" w:type="dxa"/>
          </w:tcPr>
          <w:p w14:paraId="36F33048"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28 days</w:t>
            </w:r>
          </w:p>
        </w:tc>
        <w:tc>
          <w:tcPr>
            <w:tcW w:w="1659" w:type="dxa"/>
          </w:tcPr>
          <w:p w14:paraId="2A901CD7"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28-45 days</w:t>
            </w:r>
          </w:p>
        </w:tc>
        <w:tc>
          <w:tcPr>
            <w:tcW w:w="1700" w:type="dxa"/>
          </w:tcPr>
          <w:p w14:paraId="75AF200C"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45-60 days</w:t>
            </w:r>
          </w:p>
        </w:tc>
        <w:tc>
          <w:tcPr>
            <w:tcW w:w="1677" w:type="dxa"/>
          </w:tcPr>
          <w:p w14:paraId="5A6D5230"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Above 60 days</w:t>
            </w:r>
          </w:p>
        </w:tc>
      </w:tr>
      <w:tr w:rsidR="003B7385" w:rsidRPr="008C51C9" w14:paraId="26F18071" w14:textId="77777777" w:rsidTr="005B0486">
        <w:tc>
          <w:tcPr>
            <w:tcW w:w="1470" w:type="dxa"/>
          </w:tcPr>
          <w:p w14:paraId="4D86604B" w14:textId="77777777" w:rsidR="003B7385" w:rsidRPr="008C51C9" w:rsidRDefault="006048AA" w:rsidP="000D47C5">
            <w:pPr>
              <w:rPr>
                <w:rFonts w:ascii="Times New Roman" w:hAnsi="Times New Roman" w:cs="Times New Roman"/>
                <w:sz w:val="24"/>
                <w:szCs w:val="24"/>
              </w:rPr>
            </w:pPr>
            <w:r w:rsidRPr="008C51C9">
              <w:rPr>
                <w:rFonts w:ascii="Times New Roman" w:hAnsi="Times New Roman" w:cs="Times New Roman"/>
                <w:sz w:val="24"/>
                <w:szCs w:val="24"/>
              </w:rPr>
              <w:t>Menstrual Cycle</w:t>
            </w:r>
            <w:r w:rsidR="003B7385" w:rsidRPr="008C51C9">
              <w:rPr>
                <w:rFonts w:ascii="Times New Roman" w:hAnsi="Times New Roman" w:cs="Times New Roman"/>
                <w:sz w:val="24"/>
                <w:szCs w:val="24"/>
              </w:rPr>
              <w:t xml:space="preserve"> duration</w:t>
            </w:r>
          </w:p>
        </w:tc>
        <w:tc>
          <w:tcPr>
            <w:tcW w:w="1615" w:type="dxa"/>
          </w:tcPr>
          <w:p w14:paraId="3728FCEE"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3-5 days</w:t>
            </w:r>
          </w:p>
        </w:tc>
        <w:tc>
          <w:tcPr>
            <w:tcW w:w="1659" w:type="dxa"/>
          </w:tcPr>
          <w:p w14:paraId="3A7C0E94"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1-2/6-7 days</w:t>
            </w:r>
          </w:p>
        </w:tc>
        <w:tc>
          <w:tcPr>
            <w:tcW w:w="1700" w:type="dxa"/>
          </w:tcPr>
          <w:p w14:paraId="44480E9E"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1/8-9 days</w:t>
            </w:r>
          </w:p>
        </w:tc>
        <w:tc>
          <w:tcPr>
            <w:tcW w:w="1677" w:type="dxa"/>
          </w:tcPr>
          <w:p w14:paraId="1B65AED9"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Spotting &gt;9 days</w:t>
            </w:r>
          </w:p>
        </w:tc>
      </w:tr>
      <w:tr w:rsidR="003B7385" w:rsidRPr="008C51C9" w14:paraId="3FB28336" w14:textId="77777777" w:rsidTr="005B0486">
        <w:tc>
          <w:tcPr>
            <w:tcW w:w="1470" w:type="dxa"/>
          </w:tcPr>
          <w:p w14:paraId="19D93F14"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Bleeding quantity (no. of pads per cycle)</w:t>
            </w:r>
          </w:p>
        </w:tc>
        <w:tc>
          <w:tcPr>
            <w:tcW w:w="1615" w:type="dxa"/>
          </w:tcPr>
          <w:p w14:paraId="3E559571"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&lt;15</w:t>
            </w:r>
          </w:p>
        </w:tc>
        <w:tc>
          <w:tcPr>
            <w:tcW w:w="1659" w:type="dxa"/>
          </w:tcPr>
          <w:p w14:paraId="7452EC36"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15-19</w:t>
            </w:r>
          </w:p>
        </w:tc>
        <w:tc>
          <w:tcPr>
            <w:tcW w:w="1700" w:type="dxa"/>
          </w:tcPr>
          <w:p w14:paraId="2C3CBD7E"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20-25</w:t>
            </w:r>
          </w:p>
        </w:tc>
        <w:tc>
          <w:tcPr>
            <w:tcW w:w="1677" w:type="dxa"/>
          </w:tcPr>
          <w:p w14:paraId="313E5793"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&gt;25</w:t>
            </w:r>
          </w:p>
        </w:tc>
      </w:tr>
      <w:tr w:rsidR="003B7385" w:rsidRPr="008C51C9" w14:paraId="13F358AB" w14:textId="77777777" w:rsidTr="005B0486">
        <w:tc>
          <w:tcPr>
            <w:tcW w:w="1470" w:type="dxa"/>
          </w:tcPr>
          <w:p w14:paraId="3E607C2B"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Pain during menses</w:t>
            </w:r>
          </w:p>
        </w:tc>
        <w:tc>
          <w:tcPr>
            <w:tcW w:w="1615" w:type="dxa"/>
          </w:tcPr>
          <w:p w14:paraId="16885763"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No pain</w:t>
            </w:r>
          </w:p>
        </w:tc>
        <w:tc>
          <w:tcPr>
            <w:tcW w:w="1659" w:type="dxa"/>
          </w:tcPr>
          <w:p w14:paraId="078D3BAC"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Painful but daily activities are not affected, no need for analgesic</w:t>
            </w:r>
          </w:p>
        </w:tc>
        <w:tc>
          <w:tcPr>
            <w:tcW w:w="1700" w:type="dxa"/>
          </w:tcPr>
          <w:p w14:paraId="5036ECA2"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 xml:space="preserve">Daily activities are affected, need to take analgesic </w:t>
            </w:r>
          </w:p>
        </w:tc>
        <w:tc>
          <w:tcPr>
            <w:tcW w:w="1677" w:type="dxa"/>
          </w:tcPr>
          <w:p w14:paraId="6620D0B3"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 xml:space="preserve">Daily activities are inhibited, pain continue after taking analgesic </w:t>
            </w:r>
          </w:p>
        </w:tc>
      </w:tr>
    </w:tbl>
    <w:p w14:paraId="799D5256" w14:textId="77777777" w:rsidR="000822CD" w:rsidRDefault="000822CD" w:rsidP="000822CD">
      <w:pPr>
        <w:jc w:val="both"/>
        <w:rPr>
          <w:rFonts w:ascii="Times New Roman" w:hAnsi="Times New Roman" w:cs="Times New Roman"/>
          <w:sz w:val="24"/>
          <w:szCs w:val="24"/>
        </w:rPr>
      </w:pPr>
      <w:r w:rsidRPr="008C51C9">
        <w:rPr>
          <w:rFonts w:ascii="Times New Roman" w:hAnsi="Times New Roman" w:cs="Times New Roman"/>
          <w:sz w:val="24"/>
          <w:szCs w:val="24"/>
        </w:rPr>
        <w:t xml:space="preserve">Table2: Grades and Scores with assessment criteria for measuring the four subjective parameters </w:t>
      </w:r>
    </w:p>
    <w:p w14:paraId="236CB29E" w14:textId="77777777" w:rsidR="0049249B" w:rsidRDefault="0049249B" w:rsidP="00AF4EC2">
      <w:pPr>
        <w:jc w:val="both"/>
        <w:rPr>
          <w:rFonts w:ascii="Times New Roman" w:hAnsi="Times New Roman" w:cs="Times New Roman"/>
          <w:bCs/>
          <w:sz w:val="24"/>
          <w:szCs w:val="24"/>
        </w:rPr>
      </w:pPr>
    </w:p>
    <w:p w14:paraId="1C0D172A" w14:textId="77777777" w:rsidR="00CC113A" w:rsidRPr="008C51C9" w:rsidRDefault="00CC113A" w:rsidP="00AF4EC2">
      <w:pPr>
        <w:jc w:val="both"/>
        <w:rPr>
          <w:rFonts w:ascii="Times New Roman" w:hAnsi="Times New Roman" w:cs="Times New Roman"/>
          <w:bCs/>
          <w:sz w:val="24"/>
          <w:szCs w:val="24"/>
        </w:rPr>
      </w:pPr>
      <w:r w:rsidRPr="008C51C9">
        <w:rPr>
          <w:rFonts w:ascii="Times New Roman" w:hAnsi="Times New Roman" w:cs="Times New Roman"/>
          <w:bCs/>
          <w:sz w:val="24"/>
          <w:szCs w:val="24"/>
        </w:rPr>
        <w:t>Before proceeding on the study, a safety and skin toxicology study was conducted</w:t>
      </w:r>
      <w:r w:rsidRPr="008C51C9">
        <w:rPr>
          <w:rFonts w:ascii="Times New Roman" w:hAnsi="Times New Roman" w:cs="Times New Roman"/>
          <w:sz w:val="24"/>
          <w:szCs w:val="24"/>
        </w:rPr>
        <w:t xml:space="preserve"> at </w:t>
      </w:r>
      <w:r w:rsidR="00BA2237" w:rsidRPr="008C51C9">
        <w:rPr>
          <w:rFonts w:ascii="Times New Roman" w:hAnsi="Times New Roman" w:cs="Times New Roman"/>
          <w:sz w:val="24"/>
          <w:szCs w:val="24"/>
        </w:rPr>
        <w:t>an N</w:t>
      </w:r>
      <w:r w:rsidRPr="008C51C9">
        <w:rPr>
          <w:rFonts w:ascii="Times New Roman" w:hAnsi="Times New Roman" w:cs="Times New Roman"/>
          <w:sz w:val="24"/>
          <w:szCs w:val="24"/>
        </w:rPr>
        <w:t>ABL (National Accreditation Board of Testing and Calibration of Laboratories) certified</w:t>
      </w:r>
      <w:r w:rsidR="00BA2237" w:rsidRPr="008C51C9">
        <w:rPr>
          <w:rFonts w:ascii="Times New Roman" w:hAnsi="Times New Roman" w:cs="Times New Roman"/>
          <w:sz w:val="24"/>
          <w:szCs w:val="24"/>
        </w:rPr>
        <w:t xml:space="preserve"> laboratory</w:t>
      </w:r>
      <w:r w:rsidRPr="008C51C9">
        <w:rPr>
          <w:rFonts w:ascii="Times New Roman" w:hAnsi="Times New Roman" w:cs="Times New Roman"/>
          <w:sz w:val="24"/>
          <w:szCs w:val="24"/>
        </w:rPr>
        <w:t>. It was reported that the test oil is safe to use</w:t>
      </w:r>
      <w:r w:rsidR="00533B42" w:rsidRPr="008C51C9">
        <w:rPr>
          <w:rFonts w:ascii="Times New Roman" w:hAnsi="Times New Roman" w:cs="Times New Roman"/>
          <w:sz w:val="24"/>
          <w:szCs w:val="24"/>
        </w:rPr>
        <w:t xml:space="preserve"> for topical application </w:t>
      </w:r>
      <w:r w:rsidR="00BA2237" w:rsidRPr="008C51C9">
        <w:rPr>
          <w:rFonts w:ascii="Times New Roman" w:hAnsi="Times New Roman" w:cs="Times New Roman"/>
          <w:sz w:val="24"/>
          <w:szCs w:val="24"/>
        </w:rPr>
        <w:t>free from</w:t>
      </w:r>
      <w:r w:rsidR="00533B42" w:rsidRPr="008C51C9">
        <w:rPr>
          <w:rFonts w:ascii="Times New Roman" w:hAnsi="Times New Roman" w:cs="Times New Roman"/>
          <w:sz w:val="24"/>
          <w:szCs w:val="24"/>
        </w:rPr>
        <w:t xml:space="preserve"> </w:t>
      </w:r>
      <w:r w:rsidR="00BA2237" w:rsidRPr="008C51C9">
        <w:rPr>
          <w:rFonts w:ascii="Times New Roman" w:hAnsi="Times New Roman" w:cs="Times New Roman"/>
          <w:sz w:val="24"/>
          <w:szCs w:val="24"/>
        </w:rPr>
        <w:t xml:space="preserve">steroids, heavy metals and any other </w:t>
      </w:r>
      <w:r w:rsidR="00533B42" w:rsidRPr="008C51C9">
        <w:rPr>
          <w:rFonts w:ascii="Times New Roman" w:hAnsi="Times New Roman" w:cs="Times New Roman"/>
          <w:sz w:val="24"/>
          <w:szCs w:val="24"/>
        </w:rPr>
        <w:t>toxic elements</w:t>
      </w:r>
      <w:r w:rsidR="00BA2237" w:rsidRPr="008C51C9">
        <w:rPr>
          <w:rFonts w:ascii="Times New Roman" w:hAnsi="Times New Roman" w:cs="Times New Roman"/>
          <w:sz w:val="24"/>
          <w:szCs w:val="24"/>
        </w:rPr>
        <w:t>/ impurities</w:t>
      </w:r>
      <w:r w:rsidRPr="008C51C9">
        <w:rPr>
          <w:rFonts w:ascii="Times New Roman" w:hAnsi="Times New Roman" w:cs="Times New Roman"/>
          <w:sz w:val="24"/>
          <w:szCs w:val="24"/>
        </w:rPr>
        <w:t>. The test reports are identified with numbers DTRLAF-260617034 and DTRLAF-260617042.</w:t>
      </w:r>
    </w:p>
    <w:p w14:paraId="3D3E6FD7" w14:textId="77777777" w:rsidR="00216B54" w:rsidRDefault="00216B54" w:rsidP="005C3BF2">
      <w:pPr>
        <w:spacing w:after="0" w:line="240" w:lineRule="auto"/>
        <w:rPr>
          <w:rFonts w:ascii="Times New Roman" w:hAnsi="Times New Roman" w:cs="Times New Roman"/>
          <w:b/>
          <w:bCs/>
          <w:sz w:val="24"/>
          <w:szCs w:val="24"/>
        </w:rPr>
      </w:pPr>
    </w:p>
    <w:p w14:paraId="1F554CD2"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Outcomes</w:t>
      </w:r>
    </w:p>
    <w:p w14:paraId="2670D33B" w14:textId="77777777" w:rsidR="003B7385" w:rsidRPr="008C51C9" w:rsidRDefault="000A42B7" w:rsidP="00EB665D">
      <w:pPr>
        <w:jc w:val="both"/>
        <w:rPr>
          <w:rFonts w:ascii="Times New Roman" w:hAnsi="Times New Roman" w:cs="Times New Roman"/>
          <w:sz w:val="24"/>
          <w:szCs w:val="24"/>
        </w:rPr>
      </w:pPr>
      <w:r w:rsidRPr="008C51C9">
        <w:rPr>
          <w:rFonts w:ascii="Times New Roman" w:hAnsi="Times New Roman" w:cs="Times New Roman"/>
          <w:sz w:val="24"/>
          <w:szCs w:val="24"/>
        </w:rPr>
        <w:t xml:space="preserve">Test </w:t>
      </w:r>
      <w:r w:rsidR="00CB3065" w:rsidRPr="008C51C9">
        <w:rPr>
          <w:rFonts w:ascii="Times New Roman" w:hAnsi="Times New Roman" w:cs="Times New Roman"/>
          <w:sz w:val="24"/>
          <w:szCs w:val="24"/>
        </w:rPr>
        <w:t xml:space="preserve">oil was to be considered effective if the </w:t>
      </w:r>
      <w:r w:rsidR="000758AB" w:rsidRPr="008C51C9">
        <w:rPr>
          <w:rFonts w:ascii="Times New Roman" w:hAnsi="Times New Roman" w:cs="Times New Roman"/>
          <w:sz w:val="24"/>
          <w:szCs w:val="24"/>
        </w:rPr>
        <w:t xml:space="preserve">studied subjective and objective </w:t>
      </w:r>
      <w:r w:rsidR="00CB3065" w:rsidRPr="008C51C9">
        <w:rPr>
          <w:rFonts w:ascii="Times New Roman" w:hAnsi="Times New Roman" w:cs="Times New Roman"/>
          <w:sz w:val="24"/>
          <w:szCs w:val="24"/>
        </w:rPr>
        <w:t>symptoms of PCOS</w:t>
      </w:r>
      <w:r w:rsidR="001A0F09" w:rsidRPr="008C51C9">
        <w:rPr>
          <w:rFonts w:ascii="Times New Roman" w:hAnsi="Times New Roman" w:cs="Times New Roman"/>
          <w:sz w:val="24"/>
          <w:szCs w:val="24"/>
        </w:rPr>
        <w:t xml:space="preserve"> </w:t>
      </w:r>
      <w:r w:rsidR="00CB3065" w:rsidRPr="008C51C9">
        <w:rPr>
          <w:rFonts w:ascii="Times New Roman" w:hAnsi="Times New Roman" w:cs="Times New Roman"/>
          <w:sz w:val="24"/>
          <w:szCs w:val="24"/>
        </w:rPr>
        <w:t xml:space="preserve">were alleviated significantly on application of the test </w:t>
      </w:r>
      <w:r w:rsidR="00D226AF" w:rsidRPr="008C51C9">
        <w:rPr>
          <w:rFonts w:ascii="Times New Roman" w:hAnsi="Times New Roman" w:cs="Times New Roman"/>
          <w:sz w:val="24"/>
          <w:szCs w:val="24"/>
        </w:rPr>
        <w:t>oil</w:t>
      </w:r>
      <w:r w:rsidR="00CB3065" w:rsidRPr="008C51C9">
        <w:rPr>
          <w:rFonts w:ascii="Times New Roman" w:hAnsi="Times New Roman" w:cs="Times New Roman"/>
          <w:sz w:val="24"/>
          <w:szCs w:val="24"/>
        </w:rPr>
        <w:t xml:space="preserve"> as compared to the placebo. </w:t>
      </w:r>
      <w:r w:rsidR="003B7385" w:rsidRPr="008C51C9">
        <w:rPr>
          <w:rFonts w:ascii="Times New Roman" w:hAnsi="Times New Roman" w:cs="Times New Roman"/>
          <w:sz w:val="24"/>
          <w:szCs w:val="24"/>
        </w:rPr>
        <w:lastRenderedPageBreak/>
        <w:t xml:space="preserve">Efficacy of the test </w:t>
      </w:r>
      <w:r w:rsidR="00D226AF" w:rsidRPr="008C51C9">
        <w:rPr>
          <w:rFonts w:ascii="Times New Roman" w:hAnsi="Times New Roman" w:cs="Times New Roman"/>
          <w:sz w:val="24"/>
          <w:szCs w:val="24"/>
        </w:rPr>
        <w:t>oil</w:t>
      </w:r>
      <w:r w:rsidR="003B7385" w:rsidRPr="008C51C9">
        <w:rPr>
          <w:rFonts w:ascii="Times New Roman" w:hAnsi="Times New Roman" w:cs="Times New Roman"/>
          <w:sz w:val="24"/>
          <w:szCs w:val="24"/>
        </w:rPr>
        <w:t xml:space="preserve"> is measured with an increase in total number of </w:t>
      </w:r>
      <w:r w:rsidR="007D7481" w:rsidRPr="008C51C9">
        <w:rPr>
          <w:rFonts w:ascii="Times New Roman" w:hAnsi="Times New Roman" w:cs="Times New Roman"/>
          <w:sz w:val="24"/>
          <w:szCs w:val="24"/>
        </w:rPr>
        <w:t>participant</w:t>
      </w:r>
      <w:r w:rsidR="003B7385" w:rsidRPr="008C51C9">
        <w:rPr>
          <w:rFonts w:ascii="Times New Roman" w:hAnsi="Times New Roman" w:cs="Times New Roman"/>
          <w:sz w:val="24"/>
          <w:szCs w:val="24"/>
        </w:rPr>
        <w:t>s with a lower score, indicative of reduction in severity of the disease, for a given subjective parameter</w:t>
      </w:r>
      <w:r w:rsidR="00D7479B" w:rsidRPr="008C51C9">
        <w:rPr>
          <w:rFonts w:ascii="Times New Roman" w:hAnsi="Times New Roman" w:cs="Times New Roman"/>
          <w:sz w:val="24"/>
          <w:szCs w:val="24"/>
        </w:rPr>
        <w:t>;</w:t>
      </w:r>
      <w:r w:rsidR="003B7385" w:rsidRPr="008C51C9">
        <w:rPr>
          <w:rFonts w:ascii="Times New Roman" w:hAnsi="Times New Roman" w:cs="Times New Roman"/>
          <w:sz w:val="24"/>
          <w:szCs w:val="24"/>
        </w:rPr>
        <w:t xml:space="preserve"> and </w:t>
      </w:r>
      <w:r w:rsidR="00D7479B" w:rsidRPr="008C51C9">
        <w:rPr>
          <w:rFonts w:ascii="Times New Roman" w:hAnsi="Times New Roman" w:cs="Times New Roman"/>
          <w:sz w:val="24"/>
          <w:szCs w:val="24"/>
        </w:rPr>
        <w:t xml:space="preserve">change in results for heuristics, </w:t>
      </w:r>
      <w:r w:rsidR="003B7385" w:rsidRPr="008C51C9">
        <w:rPr>
          <w:rFonts w:ascii="Times New Roman" w:hAnsi="Times New Roman" w:cs="Times New Roman"/>
          <w:sz w:val="24"/>
          <w:szCs w:val="24"/>
        </w:rPr>
        <w:t>reduction in number of cysts</w:t>
      </w:r>
      <w:r w:rsidR="006048AA" w:rsidRPr="008C51C9">
        <w:rPr>
          <w:rFonts w:ascii="Times New Roman" w:hAnsi="Times New Roman" w:cs="Times New Roman"/>
          <w:sz w:val="24"/>
          <w:szCs w:val="24"/>
        </w:rPr>
        <w:t xml:space="preserve"> as well as ovarian volume</w:t>
      </w:r>
      <w:r w:rsidR="00D7479B" w:rsidRPr="008C51C9">
        <w:rPr>
          <w:rFonts w:ascii="Times New Roman" w:hAnsi="Times New Roman" w:cs="Times New Roman"/>
          <w:sz w:val="24"/>
          <w:szCs w:val="24"/>
        </w:rPr>
        <w:t xml:space="preserve"> and increased mature follicles</w:t>
      </w:r>
      <w:r w:rsidR="003B7385" w:rsidRPr="008C51C9">
        <w:rPr>
          <w:rFonts w:ascii="Times New Roman" w:hAnsi="Times New Roman" w:cs="Times New Roman"/>
          <w:sz w:val="24"/>
          <w:szCs w:val="24"/>
        </w:rPr>
        <w:t xml:space="preserve"> by pelvic USG examination at day60. </w:t>
      </w:r>
      <w:bookmarkStart w:id="0" w:name="R1"/>
      <w:bookmarkStart w:id="1" w:name="R5"/>
      <w:bookmarkStart w:id="2" w:name="R6"/>
      <w:bookmarkStart w:id="3" w:name="R7"/>
      <w:bookmarkStart w:id="4" w:name="R8"/>
      <w:bookmarkStart w:id="5" w:name="R9"/>
      <w:bookmarkStart w:id="6" w:name="R10"/>
      <w:bookmarkStart w:id="7" w:name="R11"/>
      <w:bookmarkEnd w:id="0"/>
      <w:bookmarkEnd w:id="1"/>
      <w:bookmarkEnd w:id="2"/>
      <w:bookmarkEnd w:id="3"/>
      <w:bookmarkEnd w:id="4"/>
      <w:bookmarkEnd w:id="5"/>
      <w:bookmarkEnd w:id="6"/>
      <w:bookmarkEnd w:id="7"/>
      <w:r w:rsidR="005C3CF6">
        <w:rPr>
          <w:rFonts w:ascii="Times New Roman" w:hAnsi="Times New Roman" w:cs="Times New Roman"/>
          <w:sz w:val="24"/>
          <w:szCs w:val="24"/>
        </w:rPr>
        <w:t>In a 6-month post-study follow-up, incidence of pregnancy was checked with test oil participants</w:t>
      </w:r>
      <w:r w:rsidR="005C3CF6" w:rsidRPr="008C51C9">
        <w:rPr>
          <w:rFonts w:ascii="Times New Roman" w:hAnsi="Times New Roman" w:cs="Times New Roman"/>
          <w:sz w:val="24"/>
          <w:szCs w:val="24"/>
        </w:rPr>
        <w:t>.</w:t>
      </w:r>
    </w:p>
    <w:p w14:paraId="51644816" w14:textId="77777777" w:rsidR="00216B54" w:rsidRDefault="00216B54" w:rsidP="005C3BF2">
      <w:pPr>
        <w:spacing w:after="0" w:line="240" w:lineRule="auto"/>
        <w:rPr>
          <w:rFonts w:ascii="Times New Roman" w:hAnsi="Times New Roman" w:cs="Times New Roman"/>
          <w:b/>
          <w:bCs/>
          <w:sz w:val="24"/>
          <w:szCs w:val="24"/>
        </w:rPr>
      </w:pPr>
    </w:p>
    <w:p w14:paraId="0F2E630A"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Statistical analysis</w:t>
      </w:r>
    </w:p>
    <w:p w14:paraId="019A3175" w14:textId="77777777" w:rsidR="00AF2443" w:rsidRDefault="00F10032" w:rsidP="00414343">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 xml:space="preserve">Demographic and baseline characteristics for both treatment groups were compared with mean and standard deviation (SD). Only smoking characteristic was compared in percentage. </w:t>
      </w:r>
      <w:r w:rsidR="009051B8" w:rsidRPr="008C51C9">
        <w:rPr>
          <w:rFonts w:ascii="Times New Roman" w:hAnsi="Times New Roman" w:cs="Times New Roman"/>
          <w:sz w:val="24"/>
          <w:szCs w:val="24"/>
        </w:rPr>
        <w:t>For subjective and objective parameters indicating symptoms of PCOS, t</w:t>
      </w:r>
      <w:r w:rsidR="0070436A" w:rsidRPr="008C51C9">
        <w:rPr>
          <w:rFonts w:ascii="Times New Roman" w:hAnsi="Times New Roman" w:cs="Times New Roman"/>
          <w:iCs/>
          <w:sz w:val="24"/>
          <w:szCs w:val="24"/>
        </w:rPr>
        <w:t xml:space="preserve">he data is represented as mean </w:t>
      </w:r>
      <w:r w:rsidR="0070436A" w:rsidRPr="008C51C9">
        <w:rPr>
          <w:rFonts w:ascii="Times New Roman" w:hAnsi="Times New Roman" w:cs="Times New Roman"/>
          <w:iCs/>
          <w:sz w:val="24"/>
          <w:szCs w:val="24"/>
        </w:rPr>
        <w:sym w:font="Symbol" w:char="F0B1"/>
      </w:r>
      <w:r w:rsidR="0070436A" w:rsidRPr="008C51C9">
        <w:rPr>
          <w:rFonts w:ascii="Times New Roman" w:hAnsi="Times New Roman" w:cs="Times New Roman"/>
          <w:iCs/>
          <w:sz w:val="24"/>
          <w:szCs w:val="24"/>
        </w:rPr>
        <w:t xml:space="preserve"> standard deviation (SD)</w:t>
      </w:r>
      <w:r w:rsidR="0042175B" w:rsidRPr="008C51C9">
        <w:rPr>
          <w:rFonts w:ascii="Times New Roman" w:hAnsi="Times New Roman" w:cs="Times New Roman"/>
          <w:iCs/>
          <w:sz w:val="24"/>
          <w:szCs w:val="24"/>
        </w:rPr>
        <w:t xml:space="preserve"> and/or in numbers</w:t>
      </w:r>
      <w:r w:rsidR="0070436A" w:rsidRPr="008C51C9">
        <w:rPr>
          <w:rFonts w:ascii="Times New Roman" w:hAnsi="Times New Roman" w:cs="Times New Roman"/>
          <w:iCs/>
          <w:sz w:val="24"/>
          <w:szCs w:val="24"/>
        </w:rPr>
        <w:t xml:space="preserve">. The statistical analysis for before versus after treatment in each group was done </w:t>
      </w:r>
      <w:r w:rsidR="009051B8" w:rsidRPr="008C51C9">
        <w:rPr>
          <w:rFonts w:ascii="Times New Roman" w:hAnsi="Times New Roman" w:cs="Times New Roman"/>
          <w:iCs/>
          <w:sz w:val="24"/>
          <w:szCs w:val="24"/>
        </w:rPr>
        <w:t>by Fisher’s exact t-test</w:t>
      </w:r>
      <w:r w:rsidR="00D23262">
        <w:rPr>
          <w:rFonts w:ascii="Times New Roman" w:hAnsi="Times New Roman" w:cs="Times New Roman"/>
          <w:iCs/>
          <w:sz w:val="24"/>
          <w:szCs w:val="24"/>
        </w:rPr>
        <w:t xml:space="preserve"> and for data analysis between test and placebo group, before and after treatment, 2-way ANOVA was applied. </w:t>
      </w:r>
      <w:r w:rsidR="0070436A" w:rsidRPr="008C51C9">
        <w:rPr>
          <w:rFonts w:ascii="Times New Roman" w:hAnsi="Times New Roman" w:cs="Times New Roman"/>
          <w:sz w:val="24"/>
          <w:szCs w:val="24"/>
        </w:rPr>
        <w:t xml:space="preserve">Hirsutism was established by </w:t>
      </w:r>
      <w:proofErr w:type="spellStart"/>
      <w:r w:rsidR="0070436A" w:rsidRPr="008C51C9">
        <w:rPr>
          <w:rFonts w:ascii="Times New Roman" w:hAnsi="Times New Roman" w:cs="Times New Roman"/>
          <w:sz w:val="24"/>
          <w:szCs w:val="24"/>
        </w:rPr>
        <w:t>Ferriman-Gallway</w:t>
      </w:r>
      <w:proofErr w:type="spellEnd"/>
      <w:r w:rsidR="0070436A" w:rsidRPr="008C51C9">
        <w:rPr>
          <w:rFonts w:ascii="Times New Roman" w:hAnsi="Times New Roman" w:cs="Times New Roman"/>
          <w:sz w:val="24"/>
          <w:szCs w:val="24"/>
        </w:rPr>
        <w:t xml:space="preserve"> scale be</w:t>
      </w:r>
      <w:r w:rsidR="00EB665D" w:rsidRPr="008C51C9">
        <w:rPr>
          <w:rFonts w:ascii="Times New Roman" w:hAnsi="Times New Roman" w:cs="Times New Roman"/>
          <w:sz w:val="24"/>
          <w:szCs w:val="24"/>
        </w:rPr>
        <w:t>tween</w:t>
      </w:r>
      <w:r w:rsidR="0070436A" w:rsidRPr="008C51C9">
        <w:rPr>
          <w:rFonts w:ascii="Times New Roman" w:hAnsi="Times New Roman" w:cs="Times New Roman"/>
          <w:sz w:val="24"/>
          <w:szCs w:val="24"/>
        </w:rPr>
        <w:t xml:space="preserve"> the two groups before and after treatment.</w:t>
      </w:r>
      <w:r w:rsidR="00AF2443">
        <w:rPr>
          <w:rFonts w:ascii="Times New Roman" w:hAnsi="Times New Roman" w:cs="Times New Roman"/>
          <w:sz w:val="24"/>
          <w:szCs w:val="24"/>
        </w:rPr>
        <w:t xml:space="preserve"> All p-values reported are based on 2-sided tests and p-values &lt;0.05 were considered to be significant.</w:t>
      </w:r>
    </w:p>
    <w:p w14:paraId="4E41A4C5" w14:textId="3EAF963D" w:rsidR="0053411B" w:rsidRDefault="0053411B" w:rsidP="005C3BF2">
      <w:pPr>
        <w:spacing w:after="0" w:line="240" w:lineRule="auto"/>
        <w:rPr>
          <w:rFonts w:ascii="Times New Roman" w:hAnsi="Times New Roman" w:cs="Times New Roman"/>
          <w:b/>
          <w:bCs/>
          <w:sz w:val="28"/>
          <w:szCs w:val="28"/>
        </w:rPr>
      </w:pPr>
    </w:p>
    <w:p w14:paraId="71237AA6" w14:textId="77777777" w:rsidR="008F71E9" w:rsidRDefault="008F71E9" w:rsidP="005C3BF2">
      <w:pPr>
        <w:spacing w:after="0" w:line="240" w:lineRule="auto"/>
        <w:rPr>
          <w:rFonts w:ascii="Times New Roman" w:hAnsi="Times New Roman" w:cs="Times New Roman"/>
          <w:b/>
          <w:bCs/>
          <w:sz w:val="28"/>
          <w:szCs w:val="28"/>
        </w:rPr>
      </w:pPr>
    </w:p>
    <w:p w14:paraId="1760AD86" w14:textId="3A118C56" w:rsidR="005C3BF2" w:rsidRPr="008C51C9" w:rsidRDefault="005C3BF2" w:rsidP="005C3BF2">
      <w:pPr>
        <w:spacing w:after="0" w:line="240" w:lineRule="auto"/>
        <w:rPr>
          <w:rFonts w:ascii="Times New Roman" w:hAnsi="Times New Roman" w:cs="Times New Roman"/>
          <w:b/>
          <w:bCs/>
          <w:sz w:val="28"/>
          <w:szCs w:val="28"/>
        </w:rPr>
      </w:pPr>
      <w:r w:rsidRPr="008C51C9">
        <w:rPr>
          <w:rFonts w:ascii="Times New Roman" w:hAnsi="Times New Roman" w:cs="Times New Roman"/>
          <w:b/>
          <w:bCs/>
          <w:sz w:val="28"/>
          <w:szCs w:val="28"/>
        </w:rPr>
        <w:t>Results</w:t>
      </w:r>
    </w:p>
    <w:p w14:paraId="72EDA1DD" w14:textId="77777777" w:rsidR="0034731D" w:rsidRPr="008C51C9" w:rsidRDefault="00B05A2A" w:rsidP="0034731D">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The two treatment groups had comparable demographic characteristics (Table</w:t>
      </w:r>
      <w:r w:rsidR="00A477D4" w:rsidRPr="008C51C9">
        <w:rPr>
          <w:rFonts w:ascii="Times New Roman" w:hAnsi="Times New Roman" w:cs="Times New Roman"/>
          <w:sz w:val="24"/>
          <w:szCs w:val="24"/>
        </w:rPr>
        <w:t>3</w:t>
      </w:r>
      <w:r w:rsidRPr="008C51C9">
        <w:rPr>
          <w:rFonts w:ascii="Times New Roman" w:hAnsi="Times New Roman" w:cs="Times New Roman"/>
          <w:sz w:val="24"/>
          <w:szCs w:val="24"/>
        </w:rPr>
        <w:t xml:space="preserve">) </w:t>
      </w:r>
      <w:r w:rsidR="0034731D" w:rsidRPr="008C51C9">
        <w:rPr>
          <w:rFonts w:ascii="Times New Roman" w:hAnsi="Times New Roman" w:cs="Times New Roman"/>
          <w:sz w:val="24"/>
          <w:szCs w:val="24"/>
        </w:rPr>
        <w:t xml:space="preserve">at the time of baseline investigations </w:t>
      </w:r>
      <w:r w:rsidRPr="008C51C9">
        <w:rPr>
          <w:rFonts w:ascii="Times New Roman" w:hAnsi="Times New Roman" w:cs="Times New Roman"/>
          <w:sz w:val="24"/>
          <w:szCs w:val="24"/>
        </w:rPr>
        <w:t>indicating similarity in test group and placebo group.</w:t>
      </w:r>
      <w:r w:rsidR="0034731D" w:rsidRPr="008C51C9">
        <w:rPr>
          <w:rFonts w:ascii="Times New Roman" w:hAnsi="Times New Roman" w:cs="Times New Roman"/>
          <w:sz w:val="24"/>
          <w:szCs w:val="24"/>
        </w:rPr>
        <w:t xml:space="preserve"> After baseline assessment, four participants in test group and three participants in placebo group did not continue the study on their own will. Thus 46 participants in test group and 47 in placebo group were examined further.</w:t>
      </w:r>
      <w:r w:rsidR="00E818A6" w:rsidRPr="008C51C9">
        <w:rPr>
          <w:rFonts w:ascii="Times New Roman" w:hAnsi="Times New Roman" w:cs="Times New Roman"/>
          <w:sz w:val="24"/>
          <w:szCs w:val="24"/>
        </w:rPr>
        <w:t xml:space="preserve"> For the</w:t>
      </w:r>
      <w:r w:rsidR="006048AA" w:rsidRPr="008C51C9">
        <w:rPr>
          <w:rFonts w:ascii="Times New Roman" w:hAnsi="Times New Roman" w:cs="Times New Roman"/>
          <w:sz w:val="24"/>
          <w:szCs w:val="24"/>
        </w:rPr>
        <w:t xml:space="preserve"> results of</w:t>
      </w:r>
      <w:r w:rsidR="00E818A6" w:rsidRPr="008C51C9">
        <w:rPr>
          <w:rFonts w:ascii="Times New Roman" w:hAnsi="Times New Roman" w:cs="Times New Roman"/>
          <w:sz w:val="24"/>
          <w:szCs w:val="24"/>
        </w:rPr>
        <w:t xml:space="preserve"> four subjective parameter refer Table4</w:t>
      </w:r>
      <w:r w:rsidR="000D47C5" w:rsidRPr="008C51C9">
        <w:rPr>
          <w:rFonts w:ascii="Times New Roman" w:hAnsi="Times New Roman" w:cs="Times New Roman"/>
          <w:sz w:val="24"/>
          <w:szCs w:val="24"/>
        </w:rPr>
        <w:t xml:space="preserve"> and Table5</w:t>
      </w:r>
      <w:r w:rsidR="00E818A6" w:rsidRPr="008C51C9">
        <w:rPr>
          <w:rFonts w:ascii="Times New Roman" w:hAnsi="Times New Roman" w:cs="Times New Roman"/>
          <w:sz w:val="24"/>
          <w:szCs w:val="24"/>
        </w:rPr>
        <w:t>.</w:t>
      </w:r>
    </w:p>
    <w:p w14:paraId="21679BFA" w14:textId="77777777" w:rsidR="00B05A2A" w:rsidRPr="008C51C9" w:rsidRDefault="0034731D" w:rsidP="005C3BF2">
      <w:pPr>
        <w:spacing w:after="0" w:line="240" w:lineRule="auto"/>
        <w:rPr>
          <w:rFonts w:ascii="Times New Roman" w:hAnsi="Times New Roman" w:cs="Times New Roman"/>
          <w:sz w:val="24"/>
          <w:szCs w:val="24"/>
        </w:rPr>
      </w:pPr>
      <w:r w:rsidRPr="008C51C9">
        <w:rPr>
          <w:rFonts w:ascii="Times New Roman" w:hAnsi="Times New Roman" w:cs="Times New Roman"/>
          <w:sz w:val="24"/>
          <w:szCs w:val="24"/>
        </w:rPr>
        <w:t xml:space="preserve"> </w:t>
      </w:r>
      <w:r w:rsidR="00B05A2A" w:rsidRPr="008C51C9">
        <w:rPr>
          <w:rFonts w:ascii="Times New Roman" w:hAnsi="Times New Roman" w:cs="Times New Roman"/>
          <w:sz w:val="24"/>
          <w:szCs w:val="24"/>
        </w:rPr>
        <w:t xml:space="preserve"> </w:t>
      </w:r>
    </w:p>
    <w:tbl>
      <w:tblPr>
        <w:tblW w:w="7555" w:type="dxa"/>
        <w:tblLayout w:type="fixed"/>
        <w:tblLook w:val="04A0" w:firstRow="1" w:lastRow="0" w:firstColumn="1" w:lastColumn="0" w:noHBand="0" w:noVBand="1"/>
      </w:tblPr>
      <w:tblGrid>
        <w:gridCol w:w="3325"/>
        <w:gridCol w:w="1890"/>
        <w:gridCol w:w="2340"/>
      </w:tblGrid>
      <w:tr w:rsidR="003B7385" w:rsidRPr="008C51C9" w14:paraId="68552ABF" w14:textId="77777777" w:rsidTr="00CE54D1">
        <w:trPr>
          <w:trHeight w:hRule="exact" w:val="397"/>
        </w:trPr>
        <w:tc>
          <w:tcPr>
            <w:tcW w:w="3325" w:type="dxa"/>
            <w:tcBorders>
              <w:top w:val="single" w:sz="4" w:space="0" w:color="auto"/>
              <w:left w:val="single" w:sz="4" w:space="0" w:color="auto"/>
              <w:bottom w:val="single" w:sz="4" w:space="0" w:color="auto"/>
              <w:right w:val="single" w:sz="4" w:space="0" w:color="auto"/>
            </w:tcBorders>
            <w:shd w:val="clear" w:color="auto" w:fill="auto"/>
            <w:hideMark/>
          </w:tcPr>
          <w:p w14:paraId="1ED78B48" w14:textId="77777777" w:rsidR="003B7385" w:rsidRPr="008C51C9" w:rsidRDefault="003B7385" w:rsidP="000D47C5">
            <w:pPr>
              <w:rPr>
                <w:rFonts w:ascii="Times New Roman" w:hAnsi="Times New Roman" w:cs="Times New Roman"/>
                <w:b/>
                <w:bCs/>
                <w:sz w:val="24"/>
                <w:szCs w:val="24"/>
              </w:rPr>
            </w:pPr>
            <w:r w:rsidRPr="008C51C9">
              <w:rPr>
                <w:rFonts w:ascii="Times New Roman" w:hAnsi="Times New Roman" w:cs="Times New Roman"/>
                <w:b/>
                <w:bCs/>
                <w:sz w:val="24"/>
                <w:szCs w:val="24"/>
              </w:rPr>
              <w:t>Parameter</w:t>
            </w:r>
          </w:p>
        </w:tc>
        <w:tc>
          <w:tcPr>
            <w:tcW w:w="1890" w:type="dxa"/>
            <w:tcBorders>
              <w:top w:val="single" w:sz="4" w:space="0" w:color="auto"/>
              <w:left w:val="nil"/>
              <w:bottom w:val="single" w:sz="4" w:space="0" w:color="auto"/>
              <w:right w:val="single" w:sz="4" w:space="0" w:color="auto"/>
            </w:tcBorders>
            <w:shd w:val="clear" w:color="auto" w:fill="auto"/>
            <w:noWrap/>
            <w:hideMark/>
          </w:tcPr>
          <w:p w14:paraId="4E070B3E" w14:textId="77777777" w:rsidR="003B7385" w:rsidRPr="008C51C9" w:rsidRDefault="003B7385" w:rsidP="000D47C5">
            <w:pPr>
              <w:rPr>
                <w:rFonts w:ascii="Times New Roman" w:hAnsi="Times New Roman" w:cs="Times New Roman"/>
                <w:b/>
                <w:bCs/>
                <w:sz w:val="24"/>
                <w:szCs w:val="24"/>
              </w:rPr>
            </w:pPr>
            <w:r w:rsidRPr="008C51C9">
              <w:rPr>
                <w:rFonts w:ascii="Times New Roman" w:hAnsi="Times New Roman" w:cs="Times New Roman"/>
                <w:b/>
                <w:bCs/>
                <w:sz w:val="24"/>
                <w:szCs w:val="24"/>
              </w:rPr>
              <w:t>Placebo (n=50)</w:t>
            </w:r>
          </w:p>
        </w:tc>
        <w:tc>
          <w:tcPr>
            <w:tcW w:w="2340" w:type="dxa"/>
            <w:tcBorders>
              <w:top w:val="single" w:sz="4" w:space="0" w:color="auto"/>
              <w:left w:val="nil"/>
              <w:bottom w:val="single" w:sz="4" w:space="0" w:color="auto"/>
              <w:right w:val="single" w:sz="4" w:space="0" w:color="auto"/>
            </w:tcBorders>
            <w:shd w:val="clear" w:color="auto" w:fill="auto"/>
            <w:noWrap/>
            <w:hideMark/>
          </w:tcPr>
          <w:p w14:paraId="7F472B4D" w14:textId="77777777" w:rsidR="003B7385" w:rsidRPr="008C51C9" w:rsidRDefault="003B7385" w:rsidP="000D47C5">
            <w:pPr>
              <w:rPr>
                <w:rFonts w:ascii="Times New Roman" w:hAnsi="Times New Roman" w:cs="Times New Roman"/>
                <w:b/>
                <w:bCs/>
                <w:sz w:val="24"/>
                <w:szCs w:val="24"/>
              </w:rPr>
            </w:pPr>
            <w:r w:rsidRPr="008C51C9">
              <w:rPr>
                <w:rFonts w:ascii="Times New Roman" w:hAnsi="Times New Roman" w:cs="Times New Roman"/>
                <w:b/>
                <w:bCs/>
                <w:sz w:val="24"/>
                <w:szCs w:val="24"/>
              </w:rPr>
              <w:t xml:space="preserve">Test </w:t>
            </w:r>
            <w:r w:rsidR="002A00DB">
              <w:rPr>
                <w:rFonts w:ascii="Times New Roman" w:hAnsi="Times New Roman" w:cs="Times New Roman"/>
                <w:b/>
                <w:bCs/>
                <w:sz w:val="24"/>
                <w:szCs w:val="24"/>
              </w:rPr>
              <w:t>Oil</w:t>
            </w:r>
            <w:r w:rsidRPr="008C51C9">
              <w:rPr>
                <w:rFonts w:ascii="Times New Roman" w:hAnsi="Times New Roman" w:cs="Times New Roman"/>
                <w:b/>
                <w:bCs/>
                <w:sz w:val="24"/>
                <w:szCs w:val="24"/>
              </w:rPr>
              <w:t xml:space="preserve"> (n=50)</w:t>
            </w:r>
          </w:p>
        </w:tc>
      </w:tr>
      <w:tr w:rsidR="003B7385" w:rsidRPr="008C51C9" w14:paraId="10BDB230"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2655D24E"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Age (year)</w:t>
            </w:r>
          </w:p>
        </w:tc>
        <w:tc>
          <w:tcPr>
            <w:tcW w:w="1890" w:type="dxa"/>
            <w:tcBorders>
              <w:top w:val="nil"/>
              <w:left w:val="nil"/>
              <w:bottom w:val="single" w:sz="4" w:space="0" w:color="auto"/>
              <w:right w:val="single" w:sz="4" w:space="0" w:color="auto"/>
            </w:tcBorders>
            <w:shd w:val="clear" w:color="auto" w:fill="auto"/>
            <w:noWrap/>
            <w:hideMark/>
          </w:tcPr>
          <w:p w14:paraId="4571C9E9"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29.65 ± 7.06</w:t>
            </w:r>
          </w:p>
        </w:tc>
        <w:tc>
          <w:tcPr>
            <w:tcW w:w="2340" w:type="dxa"/>
            <w:tcBorders>
              <w:top w:val="nil"/>
              <w:left w:val="nil"/>
              <w:bottom w:val="single" w:sz="4" w:space="0" w:color="auto"/>
              <w:right w:val="single" w:sz="4" w:space="0" w:color="auto"/>
            </w:tcBorders>
            <w:shd w:val="clear" w:color="auto" w:fill="auto"/>
            <w:noWrap/>
            <w:hideMark/>
          </w:tcPr>
          <w:p w14:paraId="395BC5BD"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28.20 ± 7.49</w:t>
            </w:r>
          </w:p>
        </w:tc>
      </w:tr>
      <w:tr w:rsidR="003B7385" w:rsidRPr="008C51C9" w14:paraId="299B7B7B"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58699CB3"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Height (m)</w:t>
            </w:r>
          </w:p>
        </w:tc>
        <w:tc>
          <w:tcPr>
            <w:tcW w:w="1890" w:type="dxa"/>
            <w:tcBorders>
              <w:top w:val="nil"/>
              <w:left w:val="nil"/>
              <w:bottom w:val="single" w:sz="4" w:space="0" w:color="auto"/>
              <w:right w:val="single" w:sz="4" w:space="0" w:color="auto"/>
            </w:tcBorders>
            <w:shd w:val="clear" w:color="auto" w:fill="auto"/>
            <w:noWrap/>
            <w:hideMark/>
          </w:tcPr>
          <w:p w14:paraId="66AD60E2"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1.63 ± 0.14</w:t>
            </w:r>
          </w:p>
        </w:tc>
        <w:tc>
          <w:tcPr>
            <w:tcW w:w="2340" w:type="dxa"/>
            <w:tcBorders>
              <w:top w:val="nil"/>
              <w:left w:val="nil"/>
              <w:bottom w:val="single" w:sz="4" w:space="0" w:color="auto"/>
              <w:right w:val="single" w:sz="4" w:space="0" w:color="auto"/>
            </w:tcBorders>
            <w:shd w:val="clear" w:color="auto" w:fill="auto"/>
            <w:noWrap/>
            <w:hideMark/>
          </w:tcPr>
          <w:p w14:paraId="246AA07C"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1.63 ± 0.12</w:t>
            </w:r>
          </w:p>
        </w:tc>
      </w:tr>
      <w:tr w:rsidR="003B7385" w:rsidRPr="008C51C9" w14:paraId="0FF76675"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4CDCEDA2"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Weight (Kg)</w:t>
            </w:r>
          </w:p>
        </w:tc>
        <w:tc>
          <w:tcPr>
            <w:tcW w:w="1890" w:type="dxa"/>
            <w:tcBorders>
              <w:top w:val="nil"/>
              <w:left w:val="nil"/>
              <w:bottom w:val="single" w:sz="4" w:space="0" w:color="auto"/>
              <w:right w:val="single" w:sz="4" w:space="0" w:color="auto"/>
            </w:tcBorders>
            <w:shd w:val="clear" w:color="auto" w:fill="auto"/>
            <w:noWrap/>
            <w:hideMark/>
          </w:tcPr>
          <w:p w14:paraId="5295326C"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78.92 ± 20.37</w:t>
            </w:r>
          </w:p>
        </w:tc>
        <w:tc>
          <w:tcPr>
            <w:tcW w:w="2340" w:type="dxa"/>
            <w:tcBorders>
              <w:top w:val="nil"/>
              <w:left w:val="nil"/>
              <w:bottom w:val="single" w:sz="4" w:space="0" w:color="auto"/>
              <w:right w:val="single" w:sz="4" w:space="0" w:color="auto"/>
            </w:tcBorders>
            <w:shd w:val="clear" w:color="auto" w:fill="auto"/>
            <w:noWrap/>
            <w:hideMark/>
          </w:tcPr>
          <w:p w14:paraId="40BC3984"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78.31 ± 17.16</w:t>
            </w:r>
          </w:p>
        </w:tc>
      </w:tr>
      <w:tr w:rsidR="003B7385" w:rsidRPr="008C51C9" w14:paraId="5D5DAB8C"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21224064"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Body mass index (kg/m2)</w:t>
            </w:r>
          </w:p>
        </w:tc>
        <w:tc>
          <w:tcPr>
            <w:tcW w:w="1890" w:type="dxa"/>
            <w:tcBorders>
              <w:top w:val="nil"/>
              <w:left w:val="nil"/>
              <w:bottom w:val="single" w:sz="4" w:space="0" w:color="auto"/>
              <w:right w:val="single" w:sz="4" w:space="0" w:color="auto"/>
            </w:tcBorders>
            <w:shd w:val="clear" w:color="auto" w:fill="auto"/>
            <w:noWrap/>
            <w:hideMark/>
          </w:tcPr>
          <w:p w14:paraId="3A0D0469"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29.72 ± 6.22</w:t>
            </w:r>
          </w:p>
        </w:tc>
        <w:tc>
          <w:tcPr>
            <w:tcW w:w="2340" w:type="dxa"/>
            <w:tcBorders>
              <w:top w:val="nil"/>
              <w:left w:val="nil"/>
              <w:bottom w:val="single" w:sz="4" w:space="0" w:color="auto"/>
              <w:right w:val="single" w:sz="4" w:space="0" w:color="auto"/>
            </w:tcBorders>
            <w:shd w:val="clear" w:color="auto" w:fill="auto"/>
            <w:noWrap/>
            <w:hideMark/>
          </w:tcPr>
          <w:p w14:paraId="206EFFF2"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29.52 ± 5.94</w:t>
            </w:r>
          </w:p>
        </w:tc>
      </w:tr>
      <w:tr w:rsidR="003B7385" w:rsidRPr="008C51C9" w14:paraId="4F43FD94"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6D8B0262"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Time from diagnosis (year)</w:t>
            </w:r>
          </w:p>
        </w:tc>
        <w:tc>
          <w:tcPr>
            <w:tcW w:w="1890" w:type="dxa"/>
            <w:tcBorders>
              <w:top w:val="nil"/>
              <w:left w:val="nil"/>
              <w:bottom w:val="single" w:sz="4" w:space="0" w:color="auto"/>
              <w:right w:val="single" w:sz="4" w:space="0" w:color="auto"/>
            </w:tcBorders>
            <w:shd w:val="clear" w:color="auto" w:fill="auto"/>
            <w:noWrap/>
            <w:hideMark/>
          </w:tcPr>
          <w:p w14:paraId="08E7525B"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5.47± 3.13</w:t>
            </w:r>
          </w:p>
        </w:tc>
        <w:tc>
          <w:tcPr>
            <w:tcW w:w="2340" w:type="dxa"/>
            <w:tcBorders>
              <w:top w:val="nil"/>
              <w:left w:val="nil"/>
              <w:bottom w:val="single" w:sz="4" w:space="0" w:color="auto"/>
              <w:right w:val="single" w:sz="4" w:space="0" w:color="auto"/>
            </w:tcBorders>
            <w:shd w:val="clear" w:color="auto" w:fill="auto"/>
            <w:noWrap/>
            <w:hideMark/>
          </w:tcPr>
          <w:p w14:paraId="2D4F1E23"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5.43 ± 3.36</w:t>
            </w:r>
          </w:p>
        </w:tc>
      </w:tr>
      <w:tr w:rsidR="003B7385" w:rsidRPr="008C51C9" w14:paraId="44D752D5"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7E6400EF"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No. of cycles in past 12 months</w:t>
            </w:r>
          </w:p>
        </w:tc>
        <w:tc>
          <w:tcPr>
            <w:tcW w:w="1890" w:type="dxa"/>
            <w:tcBorders>
              <w:top w:val="nil"/>
              <w:left w:val="nil"/>
              <w:bottom w:val="single" w:sz="4" w:space="0" w:color="auto"/>
              <w:right w:val="single" w:sz="4" w:space="0" w:color="auto"/>
            </w:tcBorders>
            <w:shd w:val="clear" w:color="auto" w:fill="auto"/>
            <w:noWrap/>
            <w:hideMark/>
          </w:tcPr>
          <w:p w14:paraId="5D84DFC9"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8.33 ± 1.81</w:t>
            </w:r>
          </w:p>
        </w:tc>
        <w:tc>
          <w:tcPr>
            <w:tcW w:w="2340" w:type="dxa"/>
            <w:tcBorders>
              <w:top w:val="nil"/>
              <w:left w:val="nil"/>
              <w:bottom w:val="single" w:sz="4" w:space="0" w:color="auto"/>
              <w:right w:val="single" w:sz="4" w:space="0" w:color="auto"/>
            </w:tcBorders>
            <w:shd w:val="clear" w:color="auto" w:fill="auto"/>
            <w:noWrap/>
            <w:hideMark/>
          </w:tcPr>
          <w:p w14:paraId="4D8A11BD"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8.02 ± 1.57</w:t>
            </w:r>
          </w:p>
        </w:tc>
      </w:tr>
      <w:tr w:rsidR="003B7385" w:rsidRPr="008C51C9" w14:paraId="1B3C005C"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139180AF"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Smoking (%)</w:t>
            </w:r>
          </w:p>
        </w:tc>
        <w:tc>
          <w:tcPr>
            <w:tcW w:w="1890" w:type="dxa"/>
            <w:tcBorders>
              <w:top w:val="nil"/>
              <w:left w:val="nil"/>
              <w:bottom w:val="single" w:sz="4" w:space="0" w:color="auto"/>
              <w:right w:val="single" w:sz="4" w:space="0" w:color="auto"/>
            </w:tcBorders>
            <w:shd w:val="clear" w:color="auto" w:fill="auto"/>
            <w:noWrap/>
            <w:hideMark/>
          </w:tcPr>
          <w:p w14:paraId="5002821B"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13.73%</w:t>
            </w:r>
          </w:p>
        </w:tc>
        <w:tc>
          <w:tcPr>
            <w:tcW w:w="2340" w:type="dxa"/>
            <w:tcBorders>
              <w:top w:val="nil"/>
              <w:left w:val="nil"/>
              <w:bottom w:val="single" w:sz="4" w:space="0" w:color="auto"/>
              <w:right w:val="single" w:sz="4" w:space="0" w:color="auto"/>
            </w:tcBorders>
            <w:shd w:val="clear" w:color="auto" w:fill="auto"/>
            <w:noWrap/>
            <w:hideMark/>
          </w:tcPr>
          <w:p w14:paraId="0B46190F"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9.80%</w:t>
            </w:r>
          </w:p>
        </w:tc>
      </w:tr>
    </w:tbl>
    <w:p w14:paraId="67E68DD4" w14:textId="77777777" w:rsidR="003B7385" w:rsidRDefault="004E1BA1" w:rsidP="005C3BF2">
      <w:pPr>
        <w:spacing w:after="0" w:line="240" w:lineRule="auto"/>
        <w:rPr>
          <w:rFonts w:ascii="Times New Roman" w:hAnsi="Times New Roman" w:cs="Times New Roman"/>
          <w:bCs/>
          <w:sz w:val="24"/>
          <w:szCs w:val="24"/>
        </w:rPr>
      </w:pPr>
      <w:r w:rsidRPr="004E1BA1">
        <w:rPr>
          <w:rFonts w:ascii="Times New Roman" w:hAnsi="Times New Roman" w:cs="Times New Roman"/>
          <w:bCs/>
          <w:sz w:val="24"/>
          <w:szCs w:val="24"/>
        </w:rPr>
        <w:t>Table3:  Summary of Demographics of two treatment groups</w:t>
      </w:r>
    </w:p>
    <w:p w14:paraId="12DBF801" w14:textId="77777777" w:rsidR="004E1BA1" w:rsidRPr="008C51C9" w:rsidRDefault="004E1BA1" w:rsidP="005C3BF2">
      <w:pPr>
        <w:spacing w:after="0" w:line="240" w:lineRule="auto"/>
        <w:rPr>
          <w:rFonts w:ascii="Times New Roman" w:hAnsi="Times New Roman" w:cs="Times New Roman"/>
          <w:sz w:val="24"/>
          <w:szCs w:val="24"/>
          <w:u w:val="single"/>
        </w:rPr>
      </w:pPr>
    </w:p>
    <w:p w14:paraId="1BC5E6C1" w14:textId="77777777" w:rsidR="003C7798" w:rsidRPr="008C51C9" w:rsidRDefault="003C7798" w:rsidP="003C7798">
      <w:pPr>
        <w:jc w:val="both"/>
        <w:rPr>
          <w:rFonts w:ascii="Times New Roman" w:hAnsi="Times New Roman" w:cs="Times New Roman"/>
          <w:sz w:val="24"/>
          <w:szCs w:val="24"/>
        </w:rPr>
      </w:pPr>
      <w:r w:rsidRPr="0049249B">
        <w:rPr>
          <w:rFonts w:ascii="Times New Roman" w:hAnsi="Times New Roman" w:cs="Times New Roman"/>
          <w:b/>
          <w:bCs/>
          <w:sz w:val="24"/>
          <w:szCs w:val="24"/>
        </w:rPr>
        <w:t>Irregular menstruation:</w:t>
      </w:r>
      <w:r w:rsidRPr="008C51C9">
        <w:rPr>
          <w:rFonts w:ascii="Times New Roman" w:hAnsi="Times New Roman" w:cs="Times New Roman"/>
          <w:sz w:val="24"/>
          <w:szCs w:val="24"/>
        </w:rPr>
        <w:t xml:space="preserve"> </w:t>
      </w:r>
      <w:r w:rsidR="004E1BA1">
        <w:rPr>
          <w:rFonts w:ascii="Times New Roman" w:hAnsi="Times New Roman" w:cs="Times New Roman"/>
          <w:sz w:val="24"/>
          <w:szCs w:val="24"/>
        </w:rPr>
        <w:t>M</w:t>
      </w:r>
      <w:r w:rsidRPr="008C51C9">
        <w:rPr>
          <w:rFonts w:ascii="Times New Roman" w:hAnsi="Times New Roman" w:cs="Times New Roman"/>
          <w:sz w:val="24"/>
          <w:szCs w:val="24"/>
        </w:rPr>
        <w:t>enstruation</w:t>
      </w:r>
      <w:r w:rsidR="004E1BA1">
        <w:rPr>
          <w:rFonts w:ascii="Times New Roman" w:hAnsi="Times New Roman" w:cs="Times New Roman"/>
          <w:sz w:val="24"/>
          <w:szCs w:val="24"/>
        </w:rPr>
        <w:t xml:space="preserve"> irregularity </w:t>
      </w:r>
      <w:r w:rsidRPr="008C51C9">
        <w:rPr>
          <w:rFonts w:ascii="Times New Roman" w:hAnsi="Times New Roman" w:cs="Times New Roman"/>
          <w:sz w:val="24"/>
          <w:szCs w:val="24"/>
        </w:rPr>
        <w:t>was measured by recording the time between two menstrual cycles. Number of participants experiencing different level of irregularity were comparable between groups before treatment. In the test group, number of participants with regular menses increased (nil group) significantly (before:5/50; after:22/46, p&lt;0.05). It was observed that number of participants in test group whose menstrual cycle was 45-60 days (moderate irregularity; before:25/50 and after:5/46) and &gt;60 days (severe irregularity; before:10/50 and after:0/46) significantly declined. The effect of the treatment was most evident in the moderate group</w:t>
      </w:r>
      <w:r w:rsidR="00BC166F">
        <w:rPr>
          <w:rFonts w:ascii="Times New Roman" w:hAnsi="Times New Roman" w:cs="Times New Roman"/>
          <w:sz w:val="24"/>
          <w:szCs w:val="24"/>
        </w:rPr>
        <w:t>,</w:t>
      </w:r>
      <w:r w:rsidRPr="008C51C9">
        <w:rPr>
          <w:rFonts w:ascii="Times New Roman" w:hAnsi="Times New Roman" w:cs="Times New Roman"/>
          <w:sz w:val="24"/>
          <w:szCs w:val="24"/>
        </w:rPr>
        <w:t xml:space="preserve"> </w:t>
      </w:r>
      <w:r w:rsidR="00BC166F">
        <w:rPr>
          <w:rFonts w:ascii="Times New Roman" w:hAnsi="Times New Roman" w:cs="Times New Roman"/>
          <w:sz w:val="24"/>
          <w:szCs w:val="24"/>
        </w:rPr>
        <w:t xml:space="preserve">where </w:t>
      </w:r>
      <w:r w:rsidRPr="008C51C9">
        <w:rPr>
          <w:rFonts w:ascii="Times New Roman" w:hAnsi="Times New Roman" w:cs="Times New Roman"/>
          <w:sz w:val="24"/>
          <w:szCs w:val="24"/>
        </w:rPr>
        <w:t>the number of participants significantly decreased subsequent to test treatment (before:25/50 and after:5/46) as compared to placebo (before:27/50 and after:27/4</w:t>
      </w:r>
      <w:r w:rsidR="00BC166F">
        <w:rPr>
          <w:rFonts w:ascii="Times New Roman" w:hAnsi="Times New Roman" w:cs="Times New Roman"/>
          <w:sz w:val="24"/>
          <w:szCs w:val="24"/>
        </w:rPr>
        <w:t>7</w:t>
      </w:r>
      <w:r w:rsidRPr="008C51C9">
        <w:rPr>
          <w:rFonts w:ascii="Times New Roman" w:hAnsi="Times New Roman" w:cs="Times New Roman"/>
          <w:sz w:val="24"/>
          <w:szCs w:val="24"/>
        </w:rPr>
        <w:t>; p&lt;0.0026). The average score calculated between the test group (1.8</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0.88) and the placebo group (1.98</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0.769) was comparable before treatment. After treatment, the test group showed significant decrease in the average score (0.63</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0.67) as </w:t>
      </w:r>
      <w:r w:rsidRPr="008C51C9">
        <w:rPr>
          <w:rFonts w:ascii="Times New Roman" w:hAnsi="Times New Roman" w:cs="Times New Roman"/>
          <w:sz w:val="24"/>
          <w:szCs w:val="24"/>
        </w:rPr>
        <w:lastRenderedPageBreak/>
        <w:t>compared to the placebo group (1.76</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0.75) which indicates that the participants in the test group experienced a significant decline (p&lt;0.05) in the level of irregularity of their menstrual cycles.</w:t>
      </w:r>
    </w:p>
    <w:p w14:paraId="123229EC" w14:textId="77777777" w:rsidR="00A83361" w:rsidRPr="008C51C9" w:rsidRDefault="00A83361" w:rsidP="005C3BF2">
      <w:pPr>
        <w:spacing w:after="0" w:line="240" w:lineRule="auto"/>
        <w:rPr>
          <w:rFonts w:ascii="Times New Roman" w:hAnsi="Times New Roman" w:cs="Times New Roman"/>
          <w:sz w:val="24"/>
          <w:szCs w:val="24"/>
          <w:u w:val="single"/>
        </w:rPr>
      </w:pPr>
    </w:p>
    <w:p w14:paraId="297EF1DE" w14:textId="77777777" w:rsidR="00E818A6" w:rsidRPr="008C51C9" w:rsidRDefault="00A83361" w:rsidP="005C3BF2">
      <w:pPr>
        <w:spacing w:after="0" w:line="240" w:lineRule="auto"/>
        <w:rPr>
          <w:rFonts w:ascii="Times New Roman" w:hAnsi="Times New Roman" w:cs="Times New Roman"/>
          <w:sz w:val="24"/>
          <w:szCs w:val="24"/>
          <w:u w:val="single"/>
        </w:rPr>
      </w:pPr>
      <w:r w:rsidRPr="008C51C9">
        <w:rPr>
          <w:rFonts w:cstheme="minorHAnsi"/>
          <w:b/>
          <w:noProof/>
          <w:lang w:eastAsia="en-IN"/>
        </w:rPr>
        <w:drawing>
          <wp:inline distT="0" distB="0" distL="0" distR="0" wp14:anchorId="4A49AACD" wp14:editId="072A6241">
            <wp:extent cx="5731510" cy="3741902"/>
            <wp:effectExtent l="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3741902"/>
                    </a:xfrm>
                    <a:prstGeom prst="rect">
                      <a:avLst/>
                    </a:prstGeom>
                  </pic:spPr>
                </pic:pic>
              </a:graphicData>
            </a:graphic>
          </wp:inline>
        </w:drawing>
      </w:r>
    </w:p>
    <w:p w14:paraId="06118ECB" w14:textId="77777777" w:rsidR="004E1BA1" w:rsidRPr="004E1BA1" w:rsidRDefault="004E1BA1" w:rsidP="004E1BA1">
      <w:pPr>
        <w:spacing w:after="0" w:line="240" w:lineRule="auto"/>
        <w:rPr>
          <w:rFonts w:ascii="Times New Roman" w:hAnsi="Times New Roman" w:cs="Times New Roman"/>
          <w:bCs/>
          <w:sz w:val="24"/>
          <w:szCs w:val="24"/>
          <w:u w:val="single"/>
        </w:rPr>
      </w:pPr>
      <w:r w:rsidRPr="004E1BA1">
        <w:rPr>
          <w:rFonts w:ascii="Times New Roman" w:hAnsi="Times New Roman" w:cs="Times New Roman"/>
          <w:bCs/>
          <w:sz w:val="24"/>
          <w:szCs w:val="24"/>
        </w:rPr>
        <w:t>Table 4: Comparison of results for subjective parameters in participants between the test and placebo groups before and after treatment</w:t>
      </w:r>
    </w:p>
    <w:p w14:paraId="6A9FBD9D" w14:textId="77777777" w:rsidR="00A83361" w:rsidRPr="008C51C9" w:rsidRDefault="00A83361" w:rsidP="005C3BF2">
      <w:pPr>
        <w:spacing w:after="0" w:line="240" w:lineRule="auto"/>
        <w:rPr>
          <w:rFonts w:ascii="Times New Roman" w:hAnsi="Times New Roman" w:cs="Times New Roman"/>
          <w:sz w:val="24"/>
          <w:szCs w:val="24"/>
          <w:u w:val="single"/>
        </w:rPr>
      </w:pPr>
    </w:p>
    <w:p w14:paraId="0D3A0EE6" w14:textId="77777777" w:rsidR="00987E85" w:rsidRPr="008C51C9" w:rsidRDefault="00987E85" w:rsidP="005C3BF2">
      <w:pPr>
        <w:spacing w:after="0" w:line="240" w:lineRule="auto"/>
        <w:rPr>
          <w:rFonts w:ascii="Times New Roman" w:hAnsi="Times New Roman" w:cs="Times New Roman"/>
          <w:sz w:val="24"/>
          <w:szCs w:val="24"/>
          <w:u w:val="single"/>
        </w:rPr>
      </w:pPr>
    </w:p>
    <w:p w14:paraId="075A3F63" w14:textId="77777777" w:rsidR="000D47C5" w:rsidRPr="008C51C9" w:rsidRDefault="000D47C5" w:rsidP="005C3BF2">
      <w:pPr>
        <w:spacing w:after="0" w:line="240" w:lineRule="auto"/>
        <w:rPr>
          <w:rFonts w:ascii="Times New Roman" w:hAnsi="Times New Roman" w:cs="Times New Roman"/>
          <w:sz w:val="24"/>
          <w:szCs w:val="24"/>
        </w:rPr>
      </w:pPr>
    </w:p>
    <w:tbl>
      <w:tblPr>
        <w:tblW w:w="8892"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823"/>
        <w:gridCol w:w="1706"/>
        <w:gridCol w:w="1857"/>
        <w:gridCol w:w="1706"/>
      </w:tblGrid>
      <w:tr w:rsidR="000D47C5" w:rsidRPr="008C51C9" w14:paraId="445B1C43" w14:textId="77777777" w:rsidTr="00762AFB">
        <w:trPr>
          <w:trHeight w:val="320"/>
        </w:trPr>
        <w:tc>
          <w:tcPr>
            <w:tcW w:w="1800" w:type="dxa"/>
            <w:shd w:val="clear" w:color="000000" w:fill="F2F2F2"/>
            <w:noWrap/>
            <w:hideMark/>
          </w:tcPr>
          <w:p w14:paraId="2C3E646D" w14:textId="77777777" w:rsidR="000D47C5" w:rsidRPr="008C51C9" w:rsidRDefault="000D47C5" w:rsidP="000D47C5">
            <w:pPr>
              <w:rPr>
                <w:rFonts w:cstheme="minorHAnsi"/>
              </w:rPr>
            </w:pPr>
            <w:r w:rsidRPr="008C51C9">
              <w:rPr>
                <w:rFonts w:cstheme="minorHAnsi"/>
              </w:rPr>
              <w:t> </w:t>
            </w:r>
          </w:p>
        </w:tc>
        <w:tc>
          <w:tcPr>
            <w:tcW w:w="3529" w:type="dxa"/>
            <w:gridSpan w:val="2"/>
            <w:shd w:val="clear" w:color="000000" w:fill="F2F2F2"/>
            <w:hideMark/>
          </w:tcPr>
          <w:p w14:paraId="709F6A8F" w14:textId="77777777" w:rsidR="000D47C5" w:rsidRPr="008C51C9" w:rsidRDefault="000D47C5" w:rsidP="00CE54D1">
            <w:pPr>
              <w:jc w:val="center"/>
              <w:rPr>
                <w:rFonts w:cstheme="minorHAnsi"/>
                <w:b/>
                <w:bCs/>
              </w:rPr>
            </w:pPr>
            <w:r w:rsidRPr="008C51C9">
              <w:rPr>
                <w:rFonts w:cstheme="minorHAnsi"/>
                <w:b/>
                <w:bCs/>
              </w:rPr>
              <w:t>Test group</w:t>
            </w:r>
          </w:p>
        </w:tc>
        <w:tc>
          <w:tcPr>
            <w:tcW w:w="3563" w:type="dxa"/>
            <w:gridSpan w:val="2"/>
            <w:shd w:val="clear" w:color="000000" w:fill="F2F2F2"/>
            <w:hideMark/>
          </w:tcPr>
          <w:p w14:paraId="2EC7DC4C" w14:textId="77777777" w:rsidR="000D47C5" w:rsidRPr="008C51C9" w:rsidRDefault="000D47C5" w:rsidP="00CE54D1">
            <w:pPr>
              <w:jc w:val="center"/>
              <w:rPr>
                <w:rFonts w:cstheme="minorHAnsi"/>
                <w:b/>
                <w:bCs/>
              </w:rPr>
            </w:pPr>
            <w:r w:rsidRPr="008C51C9">
              <w:rPr>
                <w:rFonts w:cstheme="minorHAnsi"/>
                <w:b/>
                <w:bCs/>
              </w:rPr>
              <w:t>Placebo group</w:t>
            </w:r>
          </w:p>
        </w:tc>
      </w:tr>
      <w:tr w:rsidR="000D47C5" w:rsidRPr="008C51C9" w14:paraId="7C2EB97E" w14:textId="77777777" w:rsidTr="00762AFB">
        <w:trPr>
          <w:trHeight w:hRule="exact" w:val="576"/>
        </w:trPr>
        <w:tc>
          <w:tcPr>
            <w:tcW w:w="1800" w:type="dxa"/>
            <w:shd w:val="clear" w:color="000000" w:fill="F2F2F2"/>
            <w:noWrap/>
            <w:hideMark/>
          </w:tcPr>
          <w:p w14:paraId="76580935" w14:textId="77777777" w:rsidR="000D47C5" w:rsidRPr="008C51C9" w:rsidRDefault="000D47C5" w:rsidP="0029199D">
            <w:pPr>
              <w:rPr>
                <w:rFonts w:cstheme="minorHAnsi"/>
                <w:b/>
                <w:bCs/>
              </w:rPr>
            </w:pPr>
            <w:r w:rsidRPr="008C51C9">
              <w:rPr>
                <w:rFonts w:cstheme="minorHAnsi"/>
                <w:b/>
                <w:bCs/>
              </w:rPr>
              <w:t>S</w:t>
            </w:r>
            <w:r w:rsidR="00CE54D1" w:rsidRPr="008C51C9">
              <w:rPr>
                <w:rFonts w:cstheme="minorHAnsi"/>
                <w:b/>
                <w:bCs/>
              </w:rPr>
              <w:t>ubjective Parameter</w:t>
            </w:r>
          </w:p>
        </w:tc>
        <w:tc>
          <w:tcPr>
            <w:tcW w:w="1823" w:type="dxa"/>
            <w:shd w:val="clear" w:color="000000" w:fill="F2F2F2"/>
            <w:hideMark/>
          </w:tcPr>
          <w:p w14:paraId="2A663269" w14:textId="77777777" w:rsidR="000D47C5" w:rsidRPr="008C51C9" w:rsidRDefault="000D47C5" w:rsidP="0029199D">
            <w:pPr>
              <w:rPr>
                <w:rFonts w:cstheme="minorHAnsi"/>
                <w:b/>
                <w:bCs/>
              </w:rPr>
            </w:pPr>
            <w:r w:rsidRPr="008C51C9">
              <w:rPr>
                <w:rFonts w:cstheme="minorHAnsi"/>
                <w:b/>
                <w:bCs/>
              </w:rPr>
              <w:t>Before treatment (n = 50)</w:t>
            </w:r>
          </w:p>
        </w:tc>
        <w:tc>
          <w:tcPr>
            <w:tcW w:w="1706" w:type="dxa"/>
            <w:shd w:val="clear" w:color="000000" w:fill="F2F2F2"/>
            <w:hideMark/>
          </w:tcPr>
          <w:p w14:paraId="2DA8BF3C" w14:textId="77777777" w:rsidR="000D47C5" w:rsidRPr="008C51C9" w:rsidRDefault="000D47C5" w:rsidP="0029199D">
            <w:pPr>
              <w:rPr>
                <w:rFonts w:cstheme="minorHAnsi"/>
                <w:b/>
                <w:bCs/>
              </w:rPr>
            </w:pPr>
            <w:r w:rsidRPr="008C51C9">
              <w:rPr>
                <w:rFonts w:cstheme="minorHAnsi"/>
                <w:b/>
                <w:bCs/>
              </w:rPr>
              <w:t>After treatment (n = 46)</w:t>
            </w:r>
          </w:p>
        </w:tc>
        <w:tc>
          <w:tcPr>
            <w:tcW w:w="1857" w:type="dxa"/>
            <w:shd w:val="clear" w:color="000000" w:fill="F2F2F2"/>
            <w:hideMark/>
          </w:tcPr>
          <w:p w14:paraId="3DBD3983" w14:textId="77777777" w:rsidR="000D47C5" w:rsidRPr="008C51C9" w:rsidRDefault="000D47C5" w:rsidP="000D47C5">
            <w:pPr>
              <w:rPr>
                <w:rFonts w:cstheme="minorHAnsi"/>
                <w:b/>
                <w:bCs/>
              </w:rPr>
            </w:pPr>
            <w:r w:rsidRPr="008C51C9">
              <w:rPr>
                <w:rFonts w:cstheme="minorHAnsi"/>
                <w:b/>
                <w:bCs/>
              </w:rPr>
              <w:t>Before treatment (n= 50)</w:t>
            </w:r>
          </w:p>
        </w:tc>
        <w:tc>
          <w:tcPr>
            <w:tcW w:w="1706" w:type="dxa"/>
            <w:shd w:val="clear" w:color="000000" w:fill="F2F2F2"/>
            <w:hideMark/>
          </w:tcPr>
          <w:p w14:paraId="1F5432D4" w14:textId="77777777" w:rsidR="000D47C5" w:rsidRPr="008C51C9" w:rsidRDefault="000D47C5" w:rsidP="0029199D">
            <w:pPr>
              <w:rPr>
                <w:rFonts w:cstheme="minorHAnsi"/>
                <w:b/>
                <w:bCs/>
              </w:rPr>
            </w:pPr>
            <w:r w:rsidRPr="008C51C9">
              <w:rPr>
                <w:rFonts w:cstheme="minorHAnsi"/>
                <w:b/>
                <w:bCs/>
              </w:rPr>
              <w:t>After treatment (n =47)</w:t>
            </w:r>
          </w:p>
        </w:tc>
      </w:tr>
      <w:tr w:rsidR="000D47C5" w:rsidRPr="008C51C9" w14:paraId="24636D36" w14:textId="77777777" w:rsidTr="00216B54">
        <w:trPr>
          <w:trHeight w:hRule="exact" w:val="576"/>
        </w:trPr>
        <w:tc>
          <w:tcPr>
            <w:tcW w:w="1800" w:type="dxa"/>
            <w:shd w:val="clear" w:color="auto" w:fill="auto"/>
            <w:hideMark/>
          </w:tcPr>
          <w:p w14:paraId="278F05BE" w14:textId="77777777" w:rsidR="000D47C5" w:rsidRPr="00216B54" w:rsidRDefault="000D47C5" w:rsidP="0029199D">
            <w:pPr>
              <w:rPr>
                <w:rFonts w:cstheme="minorHAnsi"/>
              </w:rPr>
            </w:pPr>
            <w:r w:rsidRPr="00216B54">
              <w:rPr>
                <w:rFonts w:cstheme="minorHAnsi"/>
              </w:rPr>
              <w:t xml:space="preserve">Irregular menstruation </w:t>
            </w:r>
          </w:p>
        </w:tc>
        <w:tc>
          <w:tcPr>
            <w:tcW w:w="1823" w:type="dxa"/>
            <w:shd w:val="clear" w:color="000000" w:fill="F2F2F2"/>
            <w:noWrap/>
            <w:hideMark/>
          </w:tcPr>
          <w:p w14:paraId="34DC2450" w14:textId="77777777" w:rsidR="000D47C5" w:rsidRPr="008C51C9" w:rsidRDefault="000D47C5" w:rsidP="0029199D">
            <w:pPr>
              <w:rPr>
                <w:rFonts w:cstheme="minorHAnsi"/>
              </w:rPr>
            </w:pPr>
            <w:r w:rsidRPr="008C51C9">
              <w:rPr>
                <w:rFonts w:cstheme="minorHAnsi"/>
              </w:rPr>
              <w:t>1.8±0.88</w:t>
            </w:r>
          </w:p>
        </w:tc>
        <w:tc>
          <w:tcPr>
            <w:tcW w:w="1706" w:type="dxa"/>
            <w:shd w:val="clear" w:color="000000" w:fill="F2F2F2"/>
            <w:noWrap/>
            <w:hideMark/>
          </w:tcPr>
          <w:p w14:paraId="7C69E62D" w14:textId="77777777" w:rsidR="000D47C5" w:rsidRPr="008C51C9" w:rsidRDefault="000D47C5" w:rsidP="0029199D">
            <w:pPr>
              <w:rPr>
                <w:rFonts w:cstheme="minorHAnsi"/>
              </w:rPr>
            </w:pPr>
            <w:r w:rsidRPr="008C51C9">
              <w:rPr>
                <w:rFonts w:cstheme="minorHAnsi"/>
              </w:rPr>
              <w:t>0.63±0.67</w:t>
            </w:r>
          </w:p>
        </w:tc>
        <w:tc>
          <w:tcPr>
            <w:tcW w:w="1857" w:type="dxa"/>
            <w:shd w:val="clear" w:color="000000" w:fill="F2F2F2"/>
            <w:noWrap/>
            <w:hideMark/>
          </w:tcPr>
          <w:p w14:paraId="05B059BE" w14:textId="77777777" w:rsidR="000D47C5" w:rsidRPr="008C51C9" w:rsidRDefault="000D47C5" w:rsidP="0029199D">
            <w:pPr>
              <w:rPr>
                <w:rFonts w:cstheme="minorHAnsi"/>
              </w:rPr>
            </w:pPr>
            <w:r w:rsidRPr="008C51C9">
              <w:rPr>
                <w:rFonts w:cstheme="minorHAnsi"/>
              </w:rPr>
              <w:t>1.98 ± 0.76</w:t>
            </w:r>
            <w:r w:rsidR="001028A2" w:rsidRPr="008C51C9">
              <w:rPr>
                <w:rFonts w:cstheme="minorHAnsi"/>
              </w:rPr>
              <w:t>9</w:t>
            </w:r>
          </w:p>
        </w:tc>
        <w:tc>
          <w:tcPr>
            <w:tcW w:w="1706" w:type="dxa"/>
            <w:shd w:val="clear" w:color="000000" w:fill="F2F2F2"/>
            <w:noWrap/>
            <w:hideMark/>
          </w:tcPr>
          <w:p w14:paraId="596F7835" w14:textId="77777777" w:rsidR="000D47C5" w:rsidRPr="008C51C9" w:rsidRDefault="000D47C5" w:rsidP="0029199D">
            <w:pPr>
              <w:rPr>
                <w:rFonts w:cstheme="minorHAnsi"/>
              </w:rPr>
            </w:pPr>
            <w:r w:rsidRPr="008C51C9">
              <w:rPr>
                <w:rFonts w:cstheme="minorHAnsi"/>
              </w:rPr>
              <w:t>1.76±0.75</w:t>
            </w:r>
          </w:p>
        </w:tc>
      </w:tr>
      <w:tr w:rsidR="000D47C5" w:rsidRPr="008C51C9" w14:paraId="7D748A70" w14:textId="77777777" w:rsidTr="00216B54">
        <w:trPr>
          <w:trHeight w:hRule="exact" w:val="576"/>
        </w:trPr>
        <w:tc>
          <w:tcPr>
            <w:tcW w:w="1800" w:type="dxa"/>
            <w:shd w:val="clear" w:color="auto" w:fill="auto"/>
            <w:hideMark/>
          </w:tcPr>
          <w:p w14:paraId="15616FEF" w14:textId="77777777" w:rsidR="000D47C5" w:rsidRPr="00216B54" w:rsidRDefault="000D47C5" w:rsidP="0029199D">
            <w:pPr>
              <w:rPr>
                <w:rFonts w:cstheme="minorHAnsi"/>
              </w:rPr>
            </w:pPr>
            <w:r w:rsidRPr="00216B54">
              <w:rPr>
                <w:rFonts w:cstheme="minorHAnsi"/>
              </w:rPr>
              <w:t xml:space="preserve">Duration of bleeding </w:t>
            </w:r>
          </w:p>
        </w:tc>
        <w:tc>
          <w:tcPr>
            <w:tcW w:w="1823" w:type="dxa"/>
            <w:shd w:val="clear" w:color="000000" w:fill="F2F2F2"/>
            <w:noWrap/>
            <w:hideMark/>
          </w:tcPr>
          <w:p w14:paraId="560FE9F5" w14:textId="77777777" w:rsidR="000D47C5" w:rsidRPr="008C51C9" w:rsidRDefault="000D47C5" w:rsidP="0029199D">
            <w:pPr>
              <w:rPr>
                <w:rFonts w:cstheme="minorHAnsi"/>
              </w:rPr>
            </w:pPr>
            <w:r w:rsidRPr="008C51C9">
              <w:rPr>
                <w:rFonts w:cstheme="minorHAnsi"/>
              </w:rPr>
              <w:t>1.8±0.94</w:t>
            </w:r>
          </w:p>
        </w:tc>
        <w:tc>
          <w:tcPr>
            <w:tcW w:w="1706" w:type="dxa"/>
            <w:shd w:val="clear" w:color="000000" w:fill="F2F2F2"/>
            <w:noWrap/>
            <w:hideMark/>
          </w:tcPr>
          <w:p w14:paraId="3B8F3671" w14:textId="77777777" w:rsidR="000D47C5" w:rsidRPr="008C51C9" w:rsidRDefault="000D47C5" w:rsidP="0029199D">
            <w:pPr>
              <w:rPr>
                <w:rFonts w:cstheme="minorHAnsi"/>
              </w:rPr>
            </w:pPr>
            <w:r w:rsidRPr="008C51C9">
              <w:rPr>
                <w:rFonts w:cstheme="minorHAnsi"/>
              </w:rPr>
              <w:t>0.67±0.56</w:t>
            </w:r>
          </w:p>
        </w:tc>
        <w:tc>
          <w:tcPr>
            <w:tcW w:w="1857" w:type="dxa"/>
            <w:shd w:val="clear" w:color="000000" w:fill="F2F2F2"/>
            <w:noWrap/>
            <w:hideMark/>
          </w:tcPr>
          <w:p w14:paraId="0028701C" w14:textId="77777777" w:rsidR="000D47C5" w:rsidRPr="008C51C9" w:rsidRDefault="000D47C5" w:rsidP="0029199D">
            <w:pPr>
              <w:rPr>
                <w:rFonts w:cstheme="minorHAnsi"/>
              </w:rPr>
            </w:pPr>
            <w:r w:rsidRPr="008C51C9">
              <w:rPr>
                <w:rFonts w:cstheme="minorHAnsi"/>
              </w:rPr>
              <w:t>1.6 ± 0.968</w:t>
            </w:r>
          </w:p>
        </w:tc>
        <w:tc>
          <w:tcPr>
            <w:tcW w:w="1706" w:type="dxa"/>
            <w:shd w:val="clear" w:color="000000" w:fill="F2F2F2"/>
            <w:noWrap/>
            <w:hideMark/>
          </w:tcPr>
          <w:p w14:paraId="2A619A98" w14:textId="77777777" w:rsidR="000D47C5" w:rsidRPr="008C51C9" w:rsidRDefault="000D47C5" w:rsidP="0029199D">
            <w:pPr>
              <w:rPr>
                <w:rFonts w:cstheme="minorHAnsi"/>
              </w:rPr>
            </w:pPr>
            <w:r w:rsidRPr="008C51C9">
              <w:rPr>
                <w:rFonts w:cstheme="minorHAnsi"/>
              </w:rPr>
              <w:t>1.78 ± 0.858</w:t>
            </w:r>
          </w:p>
        </w:tc>
      </w:tr>
      <w:tr w:rsidR="000D47C5" w:rsidRPr="008C51C9" w14:paraId="0ACF584D" w14:textId="77777777" w:rsidTr="00216B54">
        <w:trPr>
          <w:trHeight w:hRule="exact" w:val="576"/>
        </w:trPr>
        <w:tc>
          <w:tcPr>
            <w:tcW w:w="1800" w:type="dxa"/>
            <w:shd w:val="clear" w:color="auto" w:fill="auto"/>
            <w:hideMark/>
          </w:tcPr>
          <w:p w14:paraId="7AEFF560" w14:textId="77777777" w:rsidR="000D47C5" w:rsidRPr="00216B54" w:rsidRDefault="000D47C5" w:rsidP="0029199D">
            <w:pPr>
              <w:rPr>
                <w:rFonts w:cstheme="minorHAnsi"/>
              </w:rPr>
            </w:pPr>
            <w:r w:rsidRPr="00216B54">
              <w:rPr>
                <w:rFonts w:cstheme="minorHAnsi"/>
              </w:rPr>
              <w:t xml:space="preserve">Quantity of bleeding </w:t>
            </w:r>
          </w:p>
        </w:tc>
        <w:tc>
          <w:tcPr>
            <w:tcW w:w="1823" w:type="dxa"/>
            <w:shd w:val="clear" w:color="000000" w:fill="F2F2F2"/>
            <w:noWrap/>
            <w:hideMark/>
          </w:tcPr>
          <w:p w14:paraId="62A56C78" w14:textId="77777777" w:rsidR="000D47C5" w:rsidRPr="008C51C9" w:rsidRDefault="000D47C5" w:rsidP="0029199D">
            <w:pPr>
              <w:rPr>
                <w:rFonts w:cstheme="minorHAnsi"/>
              </w:rPr>
            </w:pPr>
            <w:r w:rsidRPr="008C51C9">
              <w:rPr>
                <w:rFonts w:cstheme="minorHAnsi"/>
              </w:rPr>
              <w:t>1.6 ± 0.88</w:t>
            </w:r>
          </w:p>
        </w:tc>
        <w:tc>
          <w:tcPr>
            <w:tcW w:w="1706" w:type="dxa"/>
            <w:shd w:val="clear" w:color="000000" w:fill="F2F2F2"/>
            <w:noWrap/>
            <w:hideMark/>
          </w:tcPr>
          <w:p w14:paraId="7F3F1686" w14:textId="77777777" w:rsidR="000D47C5" w:rsidRPr="008C51C9" w:rsidRDefault="000D47C5" w:rsidP="0029199D">
            <w:pPr>
              <w:rPr>
                <w:rFonts w:cstheme="minorHAnsi"/>
              </w:rPr>
            </w:pPr>
            <w:r w:rsidRPr="008C51C9">
              <w:rPr>
                <w:rFonts w:cstheme="minorHAnsi"/>
              </w:rPr>
              <w:t>0.5 ± 0.69</w:t>
            </w:r>
          </w:p>
        </w:tc>
        <w:tc>
          <w:tcPr>
            <w:tcW w:w="1857" w:type="dxa"/>
            <w:shd w:val="clear" w:color="000000" w:fill="F2F2F2"/>
            <w:noWrap/>
            <w:hideMark/>
          </w:tcPr>
          <w:p w14:paraId="32501834" w14:textId="77777777" w:rsidR="000D47C5" w:rsidRPr="008C51C9" w:rsidRDefault="000D47C5" w:rsidP="0029199D">
            <w:pPr>
              <w:rPr>
                <w:rFonts w:cstheme="minorHAnsi"/>
              </w:rPr>
            </w:pPr>
            <w:r w:rsidRPr="008C51C9">
              <w:rPr>
                <w:rFonts w:cstheme="minorHAnsi"/>
              </w:rPr>
              <w:t>1.84± 1.01</w:t>
            </w:r>
          </w:p>
        </w:tc>
        <w:tc>
          <w:tcPr>
            <w:tcW w:w="1706" w:type="dxa"/>
            <w:shd w:val="clear" w:color="000000" w:fill="F2F2F2"/>
            <w:noWrap/>
            <w:hideMark/>
          </w:tcPr>
          <w:p w14:paraId="45BD50BE" w14:textId="77777777" w:rsidR="000D47C5" w:rsidRPr="008C51C9" w:rsidRDefault="000D47C5" w:rsidP="0029199D">
            <w:pPr>
              <w:rPr>
                <w:rFonts w:cstheme="minorHAnsi"/>
              </w:rPr>
            </w:pPr>
            <w:r w:rsidRPr="008C51C9">
              <w:rPr>
                <w:rFonts w:cstheme="minorHAnsi"/>
              </w:rPr>
              <w:t>1.65 ±0.81</w:t>
            </w:r>
          </w:p>
        </w:tc>
      </w:tr>
      <w:tr w:rsidR="000D47C5" w:rsidRPr="008C51C9" w14:paraId="68CA6A0C" w14:textId="77777777" w:rsidTr="00216B54">
        <w:trPr>
          <w:trHeight w:hRule="exact" w:val="576"/>
        </w:trPr>
        <w:tc>
          <w:tcPr>
            <w:tcW w:w="1800" w:type="dxa"/>
            <w:shd w:val="clear" w:color="auto" w:fill="auto"/>
            <w:hideMark/>
          </w:tcPr>
          <w:p w14:paraId="4F7B3C31" w14:textId="77777777" w:rsidR="000D47C5" w:rsidRPr="00216B54" w:rsidRDefault="000D47C5" w:rsidP="0029199D">
            <w:pPr>
              <w:rPr>
                <w:rFonts w:cstheme="minorHAnsi"/>
              </w:rPr>
            </w:pPr>
            <w:r w:rsidRPr="00216B54">
              <w:rPr>
                <w:rFonts w:cstheme="minorHAnsi"/>
              </w:rPr>
              <w:t>Pain during menses</w:t>
            </w:r>
          </w:p>
        </w:tc>
        <w:tc>
          <w:tcPr>
            <w:tcW w:w="1823" w:type="dxa"/>
            <w:shd w:val="clear" w:color="000000" w:fill="F2F2F2"/>
            <w:noWrap/>
            <w:hideMark/>
          </w:tcPr>
          <w:p w14:paraId="45C102CF" w14:textId="77777777" w:rsidR="000D47C5" w:rsidRPr="008C51C9" w:rsidRDefault="000D47C5" w:rsidP="0029199D">
            <w:pPr>
              <w:rPr>
                <w:rFonts w:cstheme="minorHAnsi"/>
              </w:rPr>
            </w:pPr>
            <w:r w:rsidRPr="008C51C9">
              <w:rPr>
                <w:rFonts w:cstheme="minorHAnsi"/>
              </w:rPr>
              <w:t>1.86 ± 0.63</w:t>
            </w:r>
          </w:p>
        </w:tc>
        <w:tc>
          <w:tcPr>
            <w:tcW w:w="1706" w:type="dxa"/>
            <w:shd w:val="clear" w:color="000000" w:fill="F2F2F2"/>
            <w:noWrap/>
            <w:hideMark/>
          </w:tcPr>
          <w:p w14:paraId="1895A554" w14:textId="77777777" w:rsidR="000D47C5" w:rsidRPr="008C51C9" w:rsidRDefault="000D47C5" w:rsidP="0029199D">
            <w:pPr>
              <w:rPr>
                <w:rFonts w:cstheme="minorHAnsi"/>
              </w:rPr>
            </w:pPr>
            <w:r w:rsidRPr="008C51C9">
              <w:rPr>
                <w:rFonts w:cstheme="minorHAnsi"/>
              </w:rPr>
              <w:t>0.54 ± 0.78</w:t>
            </w:r>
          </w:p>
        </w:tc>
        <w:tc>
          <w:tcPr>
            <w:tcW w:w="1857" w:type="dxa"/>
            <w:shd w:val="clear" w:color="000000" w:fill="F2F2F2"/>
            <w:noWrap/>
            <w:hideMark/>
          </w:tcPr>
          <w:p w14:paraId="3FF45118" w14:textId="77777777" w:rsidR="000D47C5" w:rsidRPr="008C51C9" w:rsidRDefault="000D47C5" w:rsidP="0029199D">
            <w:pPr>
              <w:rPr>
                <w:rFonts w:cstheme="minorHAnsi"/>
              </w:rPr>
            </w:pPr>
            <w:r w:rsidRPr="008C51C9">
              <w:rPr>
                <w:rFonts w:cstheme="minorHAnsi"/>
              </w:rPr>
              <w:t>1.8 ± 0.728</w:t>
            </w:r>
          </w:p>
        </w:tc>
        <w:tc>
          <w:tcPr>
            <w:tcW w:w="1706" w:type="dxa"/>
            <w:shd w:val="clear" w:color="000000" w:fill="F2F2F2"/>
            <w:noWrap/>
            <w:hideMark/>
          </w:tcPr>
          <w:p w14:paraId="1AD7EDCC" w14:textId="77777777" w:rsidR="000D47C5" w:rsidRPr="008C51C9" w:rsidRDefault="000D47C5" w:rsidP="0029199D">
            <w:pPr>
              <w:rPr>
                <w:rFonts w:cstheme="minorHAnsi"/>
              </w:rPr>
            </w:pPr>
            <w:r w:rsidRPr="008C51C9">
              <w:rPr>
                <w:rFonts w:cstheme="minorHAnsi"/>
              </w:rPr>
              <w:t>2 ± 0.69</w:t>
            </w:r>
          </w:p>
        </w:tc>
      </w:tr>
      <w:tr w:rsidR="000D47C5" w:rsidRPr="008C51C9" w14:paraId="7E0E4649" w14:textId="77777777" w:rsidTr="00762AFB">
        <w:trPr>
          <w:trHeight w:hRule="exact" w:val="576"/>
        </w:trPr>
        <w:tc>
          <w:tcPr>
            <w:tcW w:w="1800" w:type="dxa"/>
            <w:shd w:val="clear" w:color="auto" w:fill="auto"/>
            <w:hideMark/>
          </w:tcPr>
          <w:p w14:paraId="38533E61" w14:textId="77777777" w:rsidR="000D47C5" w:rsidRPr="008C51C9" w:rsidRDefault="000D47C5" w:rsidP="0029199D">
            <w:pPr>
              <w:rPr>
                <w:rFonts w:cstheme="minorHAnsi"/>
              </w:rPr>
            </w:pPr>
            <w:r w:rsidRPr="008C51C9">
              <w:rPr>
                <w:rFonts w:cstheme="minorHAnsi"/>
              </w:rPr>
              <w:t>Mean Composite Score</w:t>
            </w:r>
          </w:p>
        </w:tc>
        <w:tc>
          <w:tcPr>
            <w:tcW w:w="1823" w:type="dxa"/>
            <w:shd w:val="clear" w:color="000000" w:fill="F2F2F2"/>
            <w:noWrap/>
            <w:hideMark/>
          </w:tcPr>
          <w:p w14:paraId="6C8CD7EB" w14:textId="77777777" w:rsidR="000D47C5" w:rsidRPr="008C51C9" w:rsidRDefault="000D47C5" w:rsidP="0029199D">
            <w:pPr>
              <w:rPr>
                <w:rFonts w:cstheme="minorHAnsi"/>
              </w:rPr>
            </w:pPr>
            <w:r w:rsidRPr="008C51C9">
              <w:rPr>
                <w:rFonts w:cstheme="minorHAnsi"/>
              </w:rPr>
              <w:t>7.06 ± 1.73</w:t>
            </w:r>
          </w:p>
        </w:tc>
        <w:tc>
          <w:tcPr>
            <w:tcW w:w="1706" w:type="dxa"/>
            <w:shd w:val="clear" w:color="000000" w:fill="F2F2F2"/>
            <w:noWrap/>
            <w:hideMark/>
          </w:tcPr>
          <w:p w14:paraId="7244338D" w14:textId="77777777" w:rsidR="000D47C5" w:rsidRPr="008C51C9" w:rsidRDefault="000D47C5" w:rsidP="0029199D">
            <w:pPr>
              <w:rPr>
                <w:rFonts w:cstheme="minorHAnsi"/>
              </w:rPr>
            </w:pPr>
            <w:r w:rsidRPr="008C51C9">
              <w:rPr>
                <w:rFonts w:cstheme="minorHAnsi"/>
              </w:rPr>
              <w:t>2.34 ± 1.32</w:t>
            </w:r>
          </w:p>
        </w:tc>
        <w:tc>
          <w:tcPr>
            <w:tcW w:w="1857" w:type="dxa"/>
            <w:shd w:val="clear" w:color="000000" w:fill="F2F2F2"/>
            <w:noWrap/>
            <w:hideMark/>
          </w:tcPr>
          <w:p w14:paraId="3D7A98B1" w14:textId="77777777" w:rsidR="000D47C5" w:rsidRPr="008C51C9" w:rsidRDefault="000D47C5" w:rsidP="0029199D">
            <w:pPr>
              <w:rPr>
                <w:rFonts w:cstheme="minorHAnsi"/>
              </w:rPr>
            </w:pPr>
            <w:r w:rsidRPr="008C51C9">
              <w:rPr>
                <w:rFonts w:cstheme="minorHAnsi"/>
              </w:rPr>
              <w:t>7.22 ± 1.96</w:t>
            </w:r>
          </w:p>
        </w:tc>
        <w:tc>
          <w:tcPr>
            <w:tcW w:w="1706" w:type="dxa"/>
            <w:shd w:val="clear" w:color="000000" w:fill="F2F2F2"/>
            <w:noWrap/>
            <w:hideMark/>
          </w:tcPr>
          <w:p w14:paraId="23408A81" w14:textId="77777777" w:rsidR="000D47C5" w:rsidRPr="008C51C9" w:rsidRDefault="000D47C5" w:rsidP="0029199D">
            <w:pPr>
              <w:rPr>
                <w:rFonts w:cstheme="minorHAnsi"/>
              </w:rPr>
            </w:pPr>
            <w:r w:rsidRPr="008C51C9">
              <w:rPr>
                <w:rFonts w:cstheme="minorHAnsi"/>
              </w:rPr>
              <w:t>7.2 ± 1.35</w:t>
            </w:r>
          </w:p>
        </w:tc>
      </w:tr>
    </w:tbl>
    <w:p w14:paraId="04AB4D0B" w14:textId="77777777" w:rsidR="000D47C5" w:rsidRDefault="004E1BA1" w:rsidP="005C3BF2">
      <w:pPr>
        <w:spacing w:after="0" w:line="240" w:lineRule="auto"/>
        <w:rPr>
          <w:rFonts w:ascii="Times New Roman" w:hAnsi="Times New Roman" w:cs="Times New Roman"/>
          <w:sz w:val="24"/>
          <w:szCs w:val="24"/>
        </w:rPr>
      </w:pPr>
      <w:r w:rsidRPr="004E1BA1">
        <w:rPr>
          <w:rFonts w:ascii="Times New Roman" w:hAnsi="Times New Roman" w:cs="Times New Roman"/>
          <w:sz w:val="24"/>
          <w:szCs w:val="24"/>
        </w:rPr>
        <w:t>Table 5: Individual and mean composite scores of the subjective parameters between the test and placebo groups before and after treatment</w:t>
      </w:r>
    </w:p>
    <w:p w14:paraId="3AB74F7A" w14:textId="77777777" w:rsidR="004E1BA1" w:rsidRDefault="004E1BA1" w:rsidP="005C3BF2">
      <w:pPr>
        <w:spacing w:after="0" w:line="240" w:lineRule="auto"/>
        <w:rPr>
          <w:rFonts w:ascii="Times New Roman" w:hAnsi="Times New Roman" w:cs="Times New Roman"/>
          <w:sz w:val="24"/>
          <w:szCs w:val="24"/>
        </w:rPr>
      </w:pPr>
    </w:p>
    <w:p w14:paraId="2570C2CE" w14:textId="77777777" w:rsidR="004E1BA1" w:rsidRPr="008C51C9" w:rsidRDefault="004E1BA1" w:rsidP="005C3BF2">
      <w:pPr>
        <w:spacing w:after="0" w:line="240" w:lineRule="auto"/>
        <w:rPr>
          <w:rFonts w:ascii="Times New Roman" w:hAnsi="Times New Roman" w:cs="Times New Roman"/>
          <w:sz w:val="24"/>
          <w:szCs w:val="24"/>
        </w:rPr>
      </w:pPr>
    </w:p>
    <w:p w14:paraId="71EE1740" w14:textId="77777777" w:rsidR="004A090A" w:rsidRPr="008C51C9" w:rsidRDefault="00B81685" w:rsidP="001F52C5">
      <w:pPr>
        <w:jc w:val="both"/>
        <w:rPr>
          <w:rFonts w:ascii="Times New Roman" w:hAnsi="Times New Roman" w:cs="Times New Roman"/>
          <w:sz w:val="24"/>
          <w:szCs w:val="24"/>
        </w:rPr>
      </w:pPr>
      <w:r w:rsidRPr="0049249B">
        <w:rPr>
          <w:rFonts w:ascii="Times New Roman" w:hAnsi="Times New Roman" w:cs="Times New Roman"/>
          <w:b/>
          <w:sz w:val="24"/>
          <w:szCs w:val="24"/>
        </w:rPr>
        <w:lastRenderedPageBreak/>
        <w:t xml:space="preserve">Duration of </w:t>
      </w:r>
      <w:r w:rsidR="000D47C5" w:rsidRPr="0049249B">
        <w:rPr>
          <w:rFonts w:ascii="Times New Roman" w:hAnsi="Times New Roman" w:cs="Times New Roman"/>
          <w:b/>
          <w:sz w:val="24"/>
          <w:szCs w:val="24"/>
        </w:rPr>
        <w:t>bleeding/m</w:t>
      </w:r>
      <w:r w:rsidRPr="0049249B">
        <w:rPr>
          <w:rFonts w:ascii="Times New Roman" w:hAnsi="Times New Roman" w:cs="Times New Roman"/>
          <w:b/>
          <w:sz w:val="24"/>
          <w:szCs w:val="24"/>
        </w:rPr>
        <w:t xml:space="preserve">enstrual </w:t>
      </w:r>
      <w:r w:rsidR="000D47C5" w:rsidRPr="0049249B">
        <w:rPr>
          <w:rFonts w:ascii="Times New Roman" w:hAnsi="Times New Roman" w:cs="Times New Roman"/>
          <w:b/>
          <w:sz w:val="24"/>
          <w:szCs w:val="24"/>
        </w:rPr>
        <w:t>c</w:t>
      </w:r>
      <w:r w:rsidRPr="0049249B">
        <w:rPr>
          <w:rFonts w:ascii="Times New Roman" w:hAnsi="Times New Roman" w:cs="Times New Roman"/>
          <w:b/>
          <w:sz w:val="24"/>
          <w:szCs w:val="24"/>
        </w:rPr>
        <w:t>ycle</w:t>
      </w:r>
      <w:r w:rsidRPr="0049249B">
        <w:rPr>
          <w:rFonts w:ascii="Times New Roman" w:hAnsi="Times New Roman" w:cs="Times New Roman"/>
          <w:sz w:val="24"/>
          <w:szCs w:val="24"/>
        </w:rPr>
        <w:t>:</w:t>
      </w:r>
      <w:r w:rsidRPr="008C51C9">
        <w:rPr>
          <w:rFonts w:ascii="Times New Roman" w:hAnsi="Times New Roman" w:cs="Times New Roman"/>
          <w:iCs/>
          <w:sz w:val="24"/>
          <w:szCs w:val="24"/>
        </w:rPr>
        <w:t xml:space="preserve"> </w:t>
      </w:r>
      <w:r w:rsidRPr="008C51C9">
        <w:rPr>
          <w:rFonts w:ascii="Times New Roman" w:hAnsi="Times New Roman" w:cs="Times New Roman"/>
          <w:sz w:val="24"/>
          <w:szCs w:val="24"/>
        </w:rPr>
        <w:t xml:space="preserve">Number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w:t>
      </w:r>
      <w:r w:rsidR="002B2EB5" w:rsidRPr="008C51C9">
        <w:rPr>
          <w:rFonts w:ascii="Times New Roman" w:hAnsi="Times New Roman" w:cs="Times New Roman"/>
          <w:sz w:val="24"/>
          <w:szCs w:val="24"/>
        </w:rPr>
        <w:t>in</w:t>
      </w:r>
      <w:r w:rsidRPr="008C51C9">
        <w:rPr>
          <w:rFonts w:ascii="Times New Roman" w:hAnsi="Times New Roman" w:cs="Times New Roman"/>
          <w:sz w:val="24"/>
          <w:szCs w:val="24"/>
        </w:rPr>
        <w:t xml:space="preserve"> different </w:t>
      </w:r>
      <w:r w:rsidR="002B2EB5" w:rsidRPr="008C51C9">
        <w:rPr>
          <w:rFonts w:ascii="Times New Roman" w:hAnsi="Times New Roman" w:cs="Times New Roman"/>
          <w:sz w:val="24"/>
          <w:szCs w:val="24"/>
        </w:rPr>
        <w:t xml:space="preserve">grades of </w:t>
      </w:r>
      <w:r w:rsidRPr="008C51C9">
        <w:rPr>
          <w:rFonts w:ascii="Times New Roman" w:hAnsi="Times New Roman" w:cs="Times New Roman"/>
          <w:sz w:val="24"/>
          <w:szCs w:val="24"/>
        </w:rPr>
        <w:t xml:space="preserve">duration </w:t>
      </w:r>
      <w:r w:rsidR="003D6D50" w:rsidRPr="008C51C9">
        <w:rPr>
          <w:rFonts w:ascii="Times New Roman" w:hAnsi="Times New Roman" w:cs="Times New Roman"/>
          <w:sz w:val="24"/>
          <w:szCs w:val="24"/>
        </w:rPr>
        <w:t xml:space="preserve">of bleeding </w:t>
      </w:r>
      <w:r w:rsidR="001F52C5" w:rsidRPr="008C51C9">
        <w:rPr>
          <w:rFonts w:ascii="Times New Roman" w:hAnsi="Times New Roman" w:cs="Times New Roman"/>
          <w:sz w:val="24"/>
          <w:szCs w:val="24"/>
        </w:rPr>
        <w:t>and also, the average score calculated for the test group (1.8</w:t>
      </w:r>
      <w:r w:rsidR="001F52C5" w:rsidRPr="008C51C9">
        <w:rPr>
          <w:rFonts w:ascii="Times New Roman" w:hAnsi="Times New Roman" w:cs="Times New Roman"/>
          <w:sz w:val="24"/>
          <w:szCs w:val="24"/>
        </w:rPr>
        <w:sym w:font="Symbol" w:char="F0B1"/>
      </w:r>
      <w:r w:rsidR="001F52C5" w:rsidRPr="008C51C9">
        <w:rPr>
          <w:rFonts w:ascii="Times New Roman" w:hAnsi="Times New Roman" w:cs="Times New Roman"/>
          <w:sz w:val="24"/>
          <w:szCs w:val="24"/>
        </w:rPr>
        <w:t>0.94) and the placebo group (1.6</w:t>
      </w:r>
      <w:r w:rsidR="001F52C5" w:rsidRPr="008C51C9">
        <w:rPr>
          <w:rFonts w:ascii="Times New Roman" w:hAnsi="Times New Roman" w:cs="Times New Roman"/>
          <w:sz w:val="24"/>
          <w:szCs w:val="24"/>
        </w:rPr>
        <w:sym w:font="Symbol" w:char="F0B1"/>
      </w:r>
      <w:r w:rsidR="001F52C5" w:rsidRPr="008C51C9">
        <w:rPr>
          <w:rFonts w:ascii="Times New Roman" w:hAnsi="Times New Roman" w:cs="Times New Roman"/>
          <w:sz w:val="24"/>
          <w:szCs w:val="24"/>
        </w:rPr>
        <w:t xml:space="preserve">0.968) </w:t>
      </w:r>
      <w:r w:rsidRPr="008C51C9">
        <w:rPr>
          <w:rFonts w:ascii="Times New Roman" w:hAnsi="Times New Roman" w:cs="Times New Roman"/>
          <w:sz w:val="24"/>
          <w:szCs w:val="24"/>
        </w:rPr>
        <w:t xml:space="preserve">were comparable between groups before treatment. </w:t>
      </w:r>
      <w:r w:rsidR="00C13A62" w:rsidRPr="008C51C9">
        <w:rPr>
          <w:rFonts w:ascii="Times New Roman" w:hAnsi="Times New Roman" w:cs="Times New Roman"/>
          <w:sz w:val="24"/>
          <w:szCs w:val="24"/>
        </w:rPr>
        <w:t>I</w:t>
      </w:r>
      <w:r w:rsidRPr="008C51C9">
        <w:rPr>
          <w:rFonts w:ascii="Times New Roman" w:hAnsi="Times New Roman" w:cs="Times New Roman"/>
          <w:sz w:val="24"/>
          <w:szCs w:val="24"/>
        </w:rPr>
        <w:t xml:space="preserve">n the test group, number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with optimal duration of menstruation (3-5 days; nil) increased significantly subsequent to treatment with test product (5/50 versus 17/46); this effect was also found to be statistically significant when compared to </w:t>
      </w:r>
      <w:r w:rsidR="004A090A" w:rsidRPr="008C51C9">
        <w:rPr>
          <w:rFonts w:ascii="Times New Roman" w:hAnsi="Times New Roman" w:cs="Times New Roman"/>
          <w:sz w:val="24"/>
          <w:szCs w:val="24"/>
        </w:rPr>
        <w:t xml:space="preserve">placebo </w:t>
      </w:r>
      <w:r w:rsidRPr="008C51C9">
        <w:rPr>
          <w:rFonts w:ascii="Times New Roman" w:hAnsi="Times New Roman" w:cs="Times New Roman"/>
          <w:sz w:val="24"/>
          <w:szCs w:val="24"/>
        </w:rPr>
        <w:t>group (p&lt;0.0</w:t>
      </w:r>
      <w:r w:rsidR="004A090A" w:rsidRPr="008C51C9">
        <w:rPr>
          <w:rFonts w:ascii="Times New Roman" w:hAnsi="Times New Roman" w:cs="Times New Roman"/>
          <w:sz w:val="24"/>
          <w:szCs w:val="24"/>
        </w:rPr>
        <w:t>1</w:t>
      </w:r>
      <w:r w:rsidRPr="008C51C9">
        <w:rPr>
          <w:rFonts w:ascii="Times New Roman" w:hAnsi="Times New Roman" w:cs="Times New Roman"/>
          <w:sz w:val="24"/>
          <w:szCs w:val="24"/>
        </w:rPr>
        <w:t xml:space="preserve">). Similarly, number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 with longer duration of bleeding (mild, moderate and severe</w:t>
      </w:r>
      <w:r w:rsidR="004A090A" w:rsidRPr="008C51C9">
        <w:rPr>
          <w:rFonts w:ascii="Times New Roman" w:hAnsi="Times New Roman" w:cs="Times New Roman"/>
          <w:sz w:val="24"/>
          <w:szCs w:val="24"/>
        </w:rPr>
        <w:t>)</w:t>
      </w:r>
      <w:r w:rsidRPr="008C51C9">
        <w:rPr>
          <w:rFonts w:ascii="Times New Roman" w:hAnsi="Times New Roman" w:cs="Times New Roman"/>
          <w:sz w:val="24"/>
          <w:szCs w:val="24"/>
        </w:rPr>
        <w:t xml:space="preserve"> showed improvement after test </w:t>
      </w:r>
      <w:r w:rsidR="002B2EB5" w:rsidRPr="008C51C9">
        <w:rPr>
          <w:rFonts w:ascii="Times New Roman" w:hAnsi="Times New Roman" w:cs="Times New Roman"/>
          <w:sz w:val="24"/>
          <w:szCs w:val="24"/>
        </w:rPr>
        <w:t>oil</w:t>
      </w:r>
      <w:r w:rsidR="00915E6F">
        <w:rPr>
          <w:rFonts w:ascii="Times New Roman" w:hAnsi="Times New Roman" w:cs="Times New Roman"/>
          <w:sz w:val="24"/>
          <w:szCs w:val="24"/>
        </w:rPr>
        <w:t xml:space="preserve"> treatment</w:t>
      </w:r>
      <w:r w:rsidRPr="008C51C9">
        <w:rPr>
          <w:rFonts w:ascii="Times New Roman" w:hAnsi="Times New Roman" w:cs="Times New Roman"/>
          <w:sz w:val="24"/>
          <w:szCs w:val="24"/>
        </w:rPr>
        <w:t xml:space="preserve">; </w:t>
      </w:r>
      <w:r w:rsidR="002B2EB5" w:rsidRPr="008C51C9">
        <w:rPr>
          <w:rFonts w:ascii="Times New Roman" w:hAnsi="Times New Roman" w:cs="Times New Roman"/>
          <w:sz w:val="24"/>
          <w:szCs w:val="24"/>
        </w:rPr>
        <w:t>this improvement</w:t>
      </w:r>
      <w:r w:rsidRPr="008C51C9">
        <w:rPr>
          <w:rFonts w:ascii="Times New Roman" w:hAnsi="Times New Roman" w:cs="Times New Roman"/>
          <w:sz w:val="24"/>
          <w:szCs w:val="24"/>
        </w:rPr>
        <w:t xml:space="preserve"> was </w:t>
      </w:r>
      <w:r w:rsidR="004A090A" w:rsidRPr="008C51C9">
        <w:rPr>
          <w:rFonts w:ascii="Times New Roman" w:hAnsi="Times New Roman" w:cs="Times New Roman"/>
          <w:sz w:val="24"/>
          <w:szCs w:val="24"/>
        </w:rPr>
        <w:t>significant (p&lt;0.01)</w:t>
      </w:r>
      <w:r w:rsidRPr="008C51C9">
        <w:rPr>
          <w:rFonts w:ascii="Times New Roman" w:hAnsi="Times New Roman" w:cs="Times New Roman"/>
          <w:sz w:val="24"/>
          <w:szCs w:val="24"/>
        </w:rPr>
        <w:t xml:space="preserve"> in </w:t>
      </w:r>
      <w:r w:rsidR="004A090A" w:rsidRPr="008C51C9">
        <w:rPr>
          <w:rFonts w:ascii="Times New Roman" w:hAnsi="Times New Roman" w:cs="Times New Roman"/>
          <w:sz w:val="24"/>
          <w:szCs w:val="24"/>
        </w:rPr>
        <w:t xml:space="preserve">comparison to </w:t>
      </w:r>
      <w:r w:rsidRPr="008C51C9">
        <w:rPr>
          <w:rFonts w:ascii="Times New Roman" w:hAnsi="Times New Roman" w:cs="Times New Roman"/>
          <w:sz w:val="24"/>
          <w:szCs w:val="24"/>
        </w:rPr>
        <w:t>placebo group</w:t>
      </w:r>
      <w:r w:rsidR="004A090A" w:rsidRPr="008C51C9">
        <w:rPr>
          <w:rFonts w:ascii="Times New Roman" w:hAnsi="Times New Roman" w:cs="Times New Roman"/>
          <w:sz w:val="24"/>
          <w:szCs w:val="24"/>
        </w:rPr>
        <w:t xml:space="preserve"> for moderate and severe conditions</w:t>
      </w:r>
      <w:r w:rsidRPr="008C51C9">
        <w:rPr>
          <w:rFonts w:ascii="Times New Roman" w:hAnsi="Times New Roman" w:cs="Times New Roman"/>
          <w:sz w:val="24"/>
          <w:szCs w:val="24"/>
        </w:rPr>
        <w:t>. After treatment, the test group showed significant decrease in the average score (0.67</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0.5</w:t>
      </w:r>
      <w:r w:rsidR="004A090A" w:rsidRPr="008C51C9">
        <w:rPr>
          <w:rFonts w:ascii="Times New Roman" w:hAnsi="Times New Roman" w:cs="Times New Roman"/>
          <w:sz w:val="24"/>
          <w:szCs w:val="24"/>
        </w:rPr>
        <w:t>6</w:t>
      </w:r>
      <w:r w:rsidRPr="008C51C9">
        <w:rPr>
          <w:rFonts w:ascii="Times New Roman" w:hAnsi="Times New Roman" w:cs="Times New Roman"/>
          <w:sz w:val="24"/>
          <w:szCs w:val="24"/>
        </w:rPr>
        <w:t>) as compared to the placebo (1.78</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0.858) which indicates that the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in the test group experienced a significant improvement in regulating the duration of the </w:t>
      </w:r>
      <w:r w:rsidR="004A090A" w:rsidRPr="008C51C9">
        <w:rPr>
          <w:rFonts w:ascii="Times New Roman" w:hAnsi="Times New Roman" w:cs="Times New Roman"/>
          <w:sz w:val="24"/>
          <w:szCs w:val="24"/>
        </w:rPr>
        <w:t>bleeding</w:t>
      </w:r>
      <w:r w:rsidR="004513E5" w:rsidRPr="008C51C9">
        <w:rPr>
          <w:rFonts w:ascii="Times New Roman" w:hAnsi="Times New Roman" w:cs="Times New Roman"/>
          <w:sz w:val="24"/>
          <w:szCs w:val="24"/>
        </w:rPr>
        <w:t xml:space="preserve"> cycle</w:t>
      </w:r>
      <w:r w:rsidRPr="008C51C9">
        <w:rPr>
          <w:rFonts w:ascii="Times New Roman" w:hAnsi="Times New Roman" w:cs="Times New Roman"/>
          <w:sz w:val="24"/>
          <w:szCs w:val="24"/>
        </w:rPr>
        <w:t xml:space="preserve"> (p&lt;0.05).</w:t>
      </w:r>
    </w:p>
    <w:p w14:paraId="55FED7DA" w14:textId="77777777" w:rsidR="00B81685" w:rsidRPr="008C51C9" w:rsidRDefault="00B81685" w:rsidP="001F52C5">
      <w:pPr>
        <w:jc w:val="both"/>
        <w:rPr>
          <w:rFonts w:ascii="Times New Roman" w:hAnsi="Times New Roman" w:cs="Times New Roman"/>
          <w:sz w:val="24"/>
          <w:szCs w:val="24"/>
        </w:rPr>
      </w:pPr>
      <w:r w:rsidRPr="0049249B">
        <w:rPr>
          <w:rFonts w:ascii="Times New Roman" w:hAnsi="Times New Roman" w:cs="Times New Roman"/>
          <w:b/>
          <w:sz w:val="24"/>
          <w:szCs w:val="24"/>
        </w:rPr>
        <w:t xml:space="preserve">Quantity of </w:t>
      </w:r>
      <w:r w:rsidR="004A090A" w:rsidRPr="0049249B">
        <w:rPr>
          <w:rFonts w:ascii="Times New Roman" w:hAnsi="Times New Roman" w:cs="Times New Roman"/>
          <w:b/>
          <w:sz w:val="24"/>
          <w:szCs w:val="24"/>
        </w:rPr>
        <w:t>m</w:t>
      </w:r>
      <w:r w:rsidRPr="0049249B">
        <w:rPr>
          <w:rFonts w:ascii="Times New Roman" w:hAnsi="Times New Roman" w:cs="Times New Roman"/>
          <w:b/>
          <w:sz w:val="24"/>
          <w:szCs w:val="24"/>
        </w:rPr>
        <w:t xml:space="preserve">enstrual </w:t>
      </w:r>
      <w:r w:rsidR="004A090A" w:rsidRPr="0049249B">
        <w:rPr>
          <w:rFonts w:ascii="Times New Roman" w:hAnsi="Times New Roman" w:cs="Times New Roman"/>
          <w:b/>
          <w:sz w:val="24"/>
          <w:szCs w:val="24"/>
        </w:rPr>
        <w:t>b</w:t>
      </w:r>
      <w:r w:rsidRPr="0049249B">
        <w:rPr>
          <w:rFonts w:ascii="Times New Roman" w:hAnsi="Times New Roman" w:cs="Times New Roman"/>
          <w:b/>
          <w:sz w:val="24"/>
          <w:szCs w:val="24"/>
        </w:rPr>
        <w:t>leeding</w:t>
      </w:r>
      <w:r w:rsidRPr="0049249B">
        <w:rPr>
          <w:rFonts w:ascii="Times New Roman" w:hAnsi="Times New Roman" w:cs="Times New Roman"/>
          <w:sz w:val="24"/>
          <w:szCs w:val="24"/>
        </w:rPr>
        <w:t>:</w:t>
      </w:r>
      <w:r w:rsidRPr="008C51C9">
        <w:rPr>
          <w:rFonts w:ascii="Times New Roman" w:hAnsi="Times New Roman" w:cs="Times New Roman"/>
          <w:iCs/>
          <w:sz w:val="24"/>
          <w:szCs w:val="24"/>
        </w:rPr>
        <w:t xml:space="preserve"> Amount of menstrual bleeding was estimated by evaluating number of saturated pads used per cycle by an individual </w:t>
      </w:r>
      <w:r w:rsidR="000B22EE" w:rsidRPr="008C51C9">
        <w:rPr>
          <w:rFonts w:ascii="Times New Roman" w:hAnsi="Times New Roman" w:cs="Times New Roman"/>
          <w:iCs/>
          <w:sz w:val="24"/>
          <w:szCs w:val="24"/>
        </w:rPr>
        <w:t>participant</w:t>
      </w:r>
      <w:r w:rsidRPr="008C51C9">
        <w:rPr>
          <w:rFonts w:ascii="Times New Roman" w:hAnsi="Times New Roman" w:cs="Times New Roman"/>
          <w:iCs/>
          <w:sz w:val="24"/>
          <w:szCs w:val="24"/>
        </w:rPr>
        <w:t xml:space="preserve">. </w:t>
      </w:r>
      <w:r w:rsidR="00873B79" w:rsidRPr="008C51C9">
        <w:rPr>
          <w:rFonts w:ascii="Times New Roman" w:hAnsi="Times New Roman" w:cs="Times New Roman"/>
          <w:iCs/>
          <w:sz w:val="24"/>
          <w:szCs w:val="24"/>
        </w:rPr>
        <w:t>N</w:t>
      </w:r>
      <w:r w:rsidRPr="008C51C9">
        <w:rPr>
          <w:rFonts w:ascii="Times New Roman" w:hAnsi="Times New Roman" w:cs="Times New Roman"/>
          <w:iCs/>
          <w:sz w:val="24"/>
          <w:szCs w:val="24"/>
        </w:rPr>
        <w:t xml:space="preserve">o significant difference was observed in </w:t>
      </w:r>
      <w:r w:rsidRPr="008C51C9">
        <w:rPr>
          <w:rFonts w:ascii="Times New Roman" w:hAnsi="Times New Roman" w:cs="Times New Roman"/>
          <w:sz w:val="24"/>
          <w:szCs w:val="24"/>
        </w:rPr>
        <w:t xml:space="preserve">number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 experiencing different level of menstrual flow between both groups before treatment. Also, the average score between the test group (1.6</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0.88) and the placebo group (1.84</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1.01) was comparable before treatment.</w:t>
      </w:r>
      <w:r w:rsidR="00873B79" w:rsidRPr="008C51C9">
        <w:rPr>
          <w:rFonts w:ascii="Times New Roman" w:hAnsi="Times New Roman" w:cs="Times New Roman"/>
          <w:sz w:val="24"/>
          <w:szCs w:val="24"/>
        </w:rPr>
        <w:t xml:space="preserve"> </w:t>
      </w:r>
      <w:r w:rsidRPr="008C51C9">
        <w:rPr>
          <w:rFonts w:ascii="Times New Roman" w:hAnsi="Times New Roman" w:cs="Times New Roman"/>
          <w:sz w:val="24"/>
          <w:szCs w:val="24"/>
        </w:rPr>
        <w:t xml:space="preserve">Subsequent to treatment, number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experiencing regular menstrual flow (&lt;15 pads; nil) significantly increased in </w:t>
      </w:r>
      <w:r w:rsidR="00456EA8" w:rsidRPr="008C51C9">
        <w:rPr>
          <w:rFonts w:ascii="Times New Roman" w:hAnsi="Times New Roman" w:cs="Times New Roman"/>
          <w:sz w:val="24"/>
          <w:szCs w:val="24"/>
        </w:rPr>
        <w:t xml:space="preserve">test </w:t>
      </w:r>
      <w:r w:rsidRPr="008C51C9">
        <w:rPr>
          <w:rFonts w:ascii="Times New Roman" w:hAnsi="Times New Roman" w:cs="Times New Roman"/>
          <w:sz w:val="24"/>
          <w:szCs w:val="24"/>
        </w:rPr>
        <w:t>group (</w:t>
      </w:r>
      <w:r w:rsidR="00704545" w:rsidRPr="008C51C9">
        <w:rPr>
          <w:rFonts w:ascii="Times New Roman" w:hAnsi="Times New Roman" w:cs="Times New Roman"/>
          <w:sz w:val="24"/>
          <w:szCs w:val="24"/>
        </w:rPr>
        <w:t>before:</w:t>
      </w:r>
      <w:r w:rsidRPr="008C51C9">
        <w:rPr>
          <w:rFonts w:ascii="Times New Roman" w:hAnsi="Times New Roman" w:cs="Times New Roman"/>
          <w:sz w:val="24"/>
          <w:szCs w:val="24"/>
        </w:rPr>
        <w:t>8/50</w:t>
      </w:r>
      <w:r w:rsidR="00704545" w:rsidRPr="008C51C9">
        <w:rPr>
          <w:rFonts w:ascii="Times New Roman" w:hAnsi="Times New Roman" w:cs="Times New Roman"/>
          <w:sz w:val="24"/>
          <w:szCs w:val="24"/>
        </w:rPr>
        <w:t>; after:</w:t>
      </w:r>
      <w:r w:rsidRPr="008C51C9">
        <w:rPr>
          <w:rFonts w:ascii="Times New Roman" w:hAnsi="Times New Roman" w:cs="Times New Roman"/>
          <w:sz w:val="24"/>
          <w:szCs w:val="24"/>
        </w:rPr>
        <w:t>28/46)</w:t>
      </w:r>
      <w:r w:rsidR="009D2E89" w:rsidRPr="008C51C9">
        <w:rPr>
          <w:rFonts w:ascii="Times New Roman" w:hAnsi="Times New Roman" w:cs="Times New Roman"/>
          <w:sz w:val="24"/>
          <w:szCs w:val="24"/>
        </w:rPr>
        <w:t xml:space="preserve">  versus a decrease in number of participants with regular menstrual flow in placebo group (</w:t>
      </w:r>
      <w:r w:rsidR="00704545" w:rsidRPr="008C51C9">
        <w:rPr>
          <w:rFonts w:ascii="Times New Roman" w:hAnsi="Times New Roman" w:cs="Times New Roman"/>
          <w:sz w:val="24"/>
          <w:szCs w:val="24"/>
        </w:rPr>
        <w:t>before:</w:t>
      </w:r>
      <w:r w:rsidR="009D2E89" w:rsidRPr="008C51C9">
        <w:rPr>
          <w:rFonts w:ascii="Times New Roman" w:hAnsi="Times New Roman" w:cs="Times New Roman"/>
          <w:sz w:val="24"/>
          <w:szCs w:val="24"/>
        </w:rPr>
        <w:t>9/50</w:t>
      </w:r>
      <w:r w:rsidR="00704545" w:rsidRPr="008C51C9">
        <w:rPr>
          <w:rFonts w:ascii="Times New Roman" w:hAnsi="Times New Roman" w:cs="Times New Roman"/>
          <w:sz w:val="24"/>
          <w:szCs w:val="24"/>
        </w:rPr>
        <w:t>;</w:t>
      </w:r>
      <w:r w:rsidR="009D2E89" w:rsidRPr="008C51C9">
        <w:rPr>
          <w:rFonts w:ascii="Times New Roman" w:hAnsi="Times New Roman" w:cs="Times New Roman"/>
          <w:sz w:val="24"/>
          <w:szCs w:val="24"/>
        </w:rPr>
        <w:t xml:space="preserve"> </w:t>
      </w:r>
      <w:r w:rsidR="00704545" w:rsidRPr="008C51C9">
        <w:rPr>
          <w:rFonts w:ascii="Times New Roman" w:hAnsi="Times New Roman" w:cs="Times New Roman"/>
          <w:sz w:val="24"/>
          <w:szCs w:val="24"/>
        </w:rPr>
        <w:t>after:</w:t>
      </w:r>
      <w:r w:rsidR="009D2E89" w:rsidRPr="008C51C9">
        <w:rPr>
          <w:rFonts w:ascii="Times New Roman" w:hAnsi="Times New Roman" w:cs="Times New Roman"/>
          <w:sz w:val="24"/>
          <w:szCs w:val="24"/>
        </w:rPr>
        <w:t>4/47)</w:t>
      </w:r>
      <w:r w:rsidR="00FF3F04" w:rsidRPr="008C51C9">
        <w:rPr>
          <w:rFonts w:ascii="Times New Roman" w:hAnsi="Times New Roman" w:cs="Times New Roman"/>
          <w:sz w:val="24"/>
          <w:szCs w:val="24"/>
        </w:rPr>
        <w:t xml:space="preserve"> and </w:t>
      </w:r>
      <w:r w:rsidRPr="008C51C9">
        <w:rPr>
          <w:rFonts w:ascii="Times New Roman" w:hAnsi="Times New Roman" w:cs="Times New Roman"/>
          <w:sz w:val="24"/>
          <w:szCs w:val="24"/>
        </w:rPr>
        <w:t>was found statistically significant (p&lt;0.0</w:t>
      </w:r>
      <w:r w:rsidR="00456EA8" w:rsidRPr="008C51C9">
        <w:rPr>
          <w:rFonts w:ascii="Times New Roman" w:hAnsi="Times New Roman" w:cs="Times New Roman"/>
          <w:sz w:val="24"/>
          <w:szCs w:val="24"/>
        </w:rPr>
        <w:t>1</w:t>
      </w:r>
      <w:r w:rsidRPr="008C51C9">
        <w:rPr>
          <w:rFonts w:ascii="Times New Roman" w:hAnsi="Times New Roman" w:cs="Times New Roman"/>
          <w:sz w:val="24"/>
          <w:szCs w:val="24"/>
        </w:rPr>
        <w:t xml:space="preserve">). </w:t>
      </w:r>
      <w:r w:rsidR="00456EA8" w:rsidRPr="008C51C9">
        <w:rPr>
          <w:rFonts w:ascii="Times New Roman" w:hAnsi="Times New Roman" w:cs="Times New Roman"/>
          <w:sz w:val="24"/>
          <w:szCs w:val="24"/>
        </w:rPr>
        <w:t>N</w:t>
      </w:r>
      <w:r w:rsidRPr="008C51C9">
        <w:rPr>
          <w:rFonts w:ascii="Times New Roman" w:hAnsi="Times New Roman" w:cs="Times New Roman"/>
          <w:sz w:val="24"/>
          <w:szCs w:val="24"/>
        </w:rPr>
        <w:t xml:space="preserve">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with </w:t>
      </w:r>
      <w:r w:rsidR="00140EC1" w:rsidRPr="008C51C9">
        <w:rPr>
          <w:rFonts w:ascii="Times New Roman" w:hAnsi="Times New Roman" w:cs="Times New Roman"/>
          <w:sz w:val="24"/>
          <w:szCs w:val="24"/>
        </w:rPr>
        <w:t>moderate</w:t>
      </w:r>
      <w:r w:rsidRPr="008C51C9">
        <w:rPr>
          <w:rFonts w:ascii="Times New Roman" w:hAnsi="Times New Roman" w:cs="Times New Roman"/>
          <w:sz w:val="24"/>
          <w:szCs w:val="24"/>
        </w:rPr>
        <w:t xml:space="preserve"> menstrual bleeding showed significant improvement </w:t>
      </w:r>
      <w:r w:rsidR="00140EC1" w:rsidRPr="008C51C9">
        <w:rPr>
          <w:rFonts w:ascii="Times New Roman" w:hAnsi="Times New Roman" w:cs="Times New Roman"/>
          <w:sz w:val="24"/>
          <w:szCs w:val="24"/>
        </w:rPr>
        <w:t xml:space="preserve">(p&lt;0.01) </w:t>
      </w:r>
      <w:r w:rsidRPr="008C51C9">
        <w:rPr>
          <w:rFonts w:ascii="Times New Roman" w:hAnsi="Times New Roman" w:cs="Times New Roman"/>
          <w:sz w:val="24"/>
          <w:szCs w:val="24"/>
        </w:rPr>
        <w:t xml:space="preserve">after test </w:t>
      </w:r>
      <w:r w:rsidR="0017731F" w:rsidRPr="008C51C9">
        <w:rPr>
          <w:rFonts w:ascii="Times New Roman" w:hAnsi="Times New Roman" w:cs="Times New Roman"/>
          <w:sz w:val="24"/>
          <w:szCs w:val="24"/>
        </w:rPr>
        <w:t>oil</w:t>
      </w:r>
      <w:r w:rsidR="00915E6F">
        <w:rPr>
          <w:rFonts w:ascii="Times New Roman" w:hAnsi="Times New Roman" w:cs="Times New Roman"/>
          <w:sz w:val="24"/>
          <w:szCs w:val="24"/>
        </w:rPr>
        <w:t xml:space="preserve"> treatment</w:t>
      </w:r>
      <w:r w:rsidR="00140EC1" w:rsidRPr="008C51C9">
        <w:rPr>
          <w:rFonts w:ascii="Times New Roman" w:hAnsi="Times New Roman" w:cs="Times New Roman"/>
          <w:sz w:val="24"/>
          <w:szCs w:val="24"/>
        </w:rPr>
        <w:t xml:space="preserve"> though same results were recorded for severe condition in both test and placebo groups</w:t>
      </w:r>
      <w:r w:rsidR="00704545" w:rsidRPr="008C51C9">
        <w:rPr>
          <w:rFonts w:ascii="Times New Roman" w:hAnsi="Times New Roman" w:cs="Times New Roman"/>
          <w:sz w:val="24"/>
          <w:szCs w:val="24"/>
        </w:rPr>
        <w:t>.</w:t>
      </w:r>
      <w:r w:rsidRPr="008C51C9">
        <w:rPr>
          <w:rFonts w:ascii="Times New Roman" w:hAnsi="Times New Roman" w:cs="Times New Roman"/>
          <w:sz w:val="24"/>
          <w:szCs w:val="24"/>
        </w:rPr>
        <w:t xml:space="preserve"> After treatment, the average score for test group showed significant decrease (0.5</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0.69) as compared to placebo group (1.66</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0.81)</w:t>
      </w:r>
      <w:r w:rsidR="00704545" w:rsidRPr="008C51C9">
        <w:rPr>
          <w:rFonts w:ascii="Times New Roman" w:hAnsi="Times New Roman" w:cs="Times New Roman"/>
          <w:sz w:val="24"/>
          <w:szCs w:val="24"/>
        </w:rPr>
        <w:t xml:space="preserve"> indicating </w:t>
      </w:r>
      <w:r w:rsidRPr="008C51C9">
        <w:rPr>
          <w:rFonts w:ascii="Times New Roman" w:hAnsi="Times New Roman" w:cs="Times New Roman"/>
          <w:sz w:val="24"/>
          <w:szCs w:val="24"/>
        </w:rPr>
        <w:t xml:space="preserve">a </w:t>
      </w:r>
      <w:r w:rsidR="00704545" w:rsidRPr="008C51C9">
        <w:rPr>
          <w:rFonts w:ascii="Times New Roman" w:hAnsi="Times New Roman" w:cs="Times New Roman"/>
          <w:sz w:val="24"/>
          <w:szCs w:val="24"/>
        </w:rPr>
        <w:t xml:space="preserve">statistically </w:t>
      </w:r>
      <w:r w:rsidRPr="008C51C9">
        <w:rPr>
          <w:rFonts w:ascii="Times New Roman" w:hAnsi="Times New Roman" w:cs="Times New Roman"/>
          <w:sz w:val="24"/>
          <w:szCs w:val="24"/>
        </w:rPr>
        <w:t>significant improvement in regulating the amount of menstrual bleeding (p&lt;0.05)</w:t>
      </w:r>
      <w:r w:rsidR="00704545" w:rsidRPr="008C51C9">
        <w:rPr>
          <w:rFonts w:ascii="Times New Roman" w:hAnsi="Times New Roman" w:cs="Times New Roman"/>
          <w:sz w:val="24"/>
          <w:szCs w:val="24"/>
        </w:rPr>
        <w:t xml:space="preserve"> in test group</w:t>
      </w:r>
      <w:r w:rsidRPr="008C51C9">
        <w:rPr>
          <w:rFonts w:ascii="Times New Roman" w:hAnsi="Times New Roman" w:cs="Times New Roman"/>
          <w:sz w:val="24"/>
          <w:szCs w:val="24"/>
        </w:rPr>
        <w:t>.</w:t>
      </w:r>
      <w:r w:rsidR="00873B79" w:rsidRPr="008C51C9">
        <w:rPr>
          <w:rFonts w:ascii="Times New Roman" w:hAnsi="Times New Roman" w:cs="Times New Roman"/>
          <w:sz w:val="24"/>
          <w:szCs w:val="24"/>
        </w:rPr>
        <w:t xml:space="preserve"> </w:t>
      </w:r>
    </w:p>
    <w:p w14:paraId="2CABABBA" w14:textId="77777777" w:rsidR="00052553" w:rsidRPr="008C51C9" w:rsidRDefault="00052553" w:rsidP="00052553">
      <w:pPr>
        <w:jc w:val="both"/>
        <w:rPr>
          <w:rFonts w:ascii="Times New Roman" w:hAnsi="Times New Roman" w:cs="Times New Roman"/>
          <w:sz w:val="24"/>
          <w:szCs w:val="24"/>
        </w:rPr>
      </w:pPr>
      <w:r w:rsidRPr="0049249B">
        <w:rPr>
          <w:rFonts w:ascii="Times New Roman" w:hAnsi="Times New Roman" w:cs="Times New Roman"/>
          <w:b/>
          <w:sz w:val="24"/>
          <w:szCs w:val="24"/>
        </w:rPr>
        <w:t>Pain</w:t>
      </w:r>
      <w:r w:rsidR="00236223" w:rsidRPr="0049249B">
        <w:rPr>
          <w:rFonts w:ascii="Times New Roman" w:hAnsi="Times New Roman" w:cs="Times New Roman"/>
          <w:b/>
          <w:sz w:val="24"/>
          <w:szCs w:val="24"/>
        </w:rPr>
        <w:t xml:space="preserve"> during menses</w:t>
      </w:r>
      <w:r w:rsidRPr="0049249B">
        <w:rPr>
          <w:rFonts w:ascii="Times New Roman" w:hAnsi="Times New Roman" w:cs="Times New Roman"/>
          <w:b/>
          <w:sz w:val="24"/>
          <w:szCs w:val="24"/>
        </w:rPr>
        <w:t>:</w:t>
      </w:r>
      <w:r w:rsidRPr="008C51C9">
        <w:rPr>
          <w:rFonts w:ascii="Times New Roman" w:hAnsi="Times New Roman" w:cs="Times New Roman"/>
          <w:b/>
          <w:iCs/>
          <w:sz w:val="24"/>
          <w:szCs w:val="24"/>
        </w:rPr>
        <w:t xml:space="preserve"> </w:t>
      </w:r>
      <w:r w:rsidRPr="008C51C9">
        <w:rPr>
          <w:rFonts w:ascii="Times New Roman" w:hAnsi="Times New Roman" w:cs="Times New Roman"/>
          <w:iCs/>
          <w:sz w:val="24"/>
          <w:szCs w:val="24"/>
        </w:rPr>
        <w:t>Number of participants experiencing different level of menstrual pain based on VAS were comparable between groups before treatment. The average VAS-pain score of the test (1.86</w:t>
      </w:r>
      <w:r w:rsidRPr="008C51C9">
        <w:rPr>
          <w:rFonts w:ascii="Times New Roman" w:hAnsi="Times New Roman" w:cs="Times New Roman"/>
          <w:sz w:val="24"/>
          <w:szCs w:val="24"/>
        </w:rPr>
        <w:sym w:font="Symbol" w:char="F0B1"/>
      </w:r>
      <w:r w:rsidRPr="008C51C9">
        <w:rPr>
          <w:rFonts w:ascii="Times New Roman" w:hAnsi="Times New Roman" w:cs="Times New Roman"/>
          <w:iCs/>
          <w:sz w:val="24"/>
          <w:szCs w:val="24"/>
        </w:rPr>
        <w:t>0.639) and placebo (1.8</w:t>
      </w:r>
      <w:r w:rsidRPr="008C51C9">
        <w:rPr>
          <w:rFonts w:ascii="Times New Roman" w:hAnsi="Times New Roman" w:cs="Times New Roman"/>
          <w:sz w:val="24"/>
          <w:szCs w:val="24"/>
        </w:rPr>
        <w:sym w:font="Symbol" w:char="F0B1"/>
      </w:r>
      <w:r w:rsidRPr="008C51C9">
        <w:rPr>
          <w:rFonts w:ascii="Times New Roman" w:hAnsi="Times New Roman" w:cs="Times New Roman"/>
          <w:iCs/>
          <w:sz w:val="24"/>
          <w:szCs w:val="24"/>
        </w:rPr>
        <w:t>0.72</w:t>
      </w:r>
      <w:r w:rsidR="001A2593" w:rsidRPr="008C51C9">
        <w:rPr>
          <w:rFonts w:ascii="Times New Roman" w:hAnsi="Times New Roman" w:cs="Times New Roman"/>
          <w:iCs/>
          <w:sz w:val="24"/>
          <w:szCs w:val="24"/>
        </w:rPr>
        <w:t>8</w:t>
      </w:r>
      <w:r w:rsidRPr="008C51C9">
        <w:rPr>
          <w:rFonts w:ascii="Times New Roman" w:hAnsi="Times New Roman" w:cs="Times New Roman"/>
          <w:iCs/>
          <w:sz w:val="24"/>
          <w:szCs w:val="24"/>
        </w:rPr>
        <w:t>) group was also comparable before treatment. Subsequent to treatment, number of participants experiencing no pain (nil) significantly increased in test group (</w:t>
      </w:r>
      <w:r w:rsidR="006574F2" w:rsidRPr="008C51C9">
        <w:rPr>
          <w:rFonts w:ascii="Times New Roman" w:hAnsi="Times New Roman" w:cs="Times New Roman"/>
          <w:iCs/>
          <w:sz w:val="24"/>
          <w:szCs w:val="24"/>
        </w:rPr>
        <w:t>before:</w:t>
      </w:r>
      <w:r w:rsidRPr="008C51C9">
        <w:rPr>
          <w:rFonts w:ascii="Times New Roman" w:hAnsi="Times New Roman" w:cs="Times New Roman"/>
          <w:iCs/>
          <w:sz w:val="24"/>
          <w:szCs w:val="24"/>
        </w:rPr>
        <w:t>10/50</w:t>
      </w:r>
      <w:r w:rsidR="006574F2" w:rsidRPr="008C51C9">
        <w:rPr>
          <w:rFonts w:ascii="Times New Roman" w:hAnsi="Times New Roman" w:cs="Times New Roman"/>
          <w:iCs/>
          <w:sz w:val="24"/>
          <w:szCs w:val="24"/>
        </w:rPr>
        <w:t>; after:</w:t>
      </w:r>
      <w:r w:rsidRPr="008C51C9">
        <w:rPr>
          <w:rFonts w:ascii="Times New Roman" w:hAnsi="Times New Roman" w:cs="Times New Roman"/>
          <w:iCs/>
          <w:sz w:val="24"/>
          <w:szCs w:val="24"/>
        </w:rPr>
        <w:t xml:space="preserve">28/46; p&lt;0.05); this effect was not </w:t>
      </w:r>
      <w:r w:rsidR="001A2593" w:rsidRPr="008C51C9">
        <w:rPr>
          <w:rFonts w:ascii="Times New Roman" w:hAnsi="Times New Roman" w:cs="Times New Roman"/>
          <w:iCs/>
          <w:sz w:val="24"/>
          <w:szCs w:val="24"/>
        </w:rPr>
        <w:t>measurable</w:t>
      </w:r>
      <w:r w:rsidRPr="008C51C9">
        <w:rPr>
          <w:rFonts w:ascii="Times New Roman" w:hAnsi="Times New Roman" w:cs="Times New Roman"/>
          <w:iCs/>
          <w:sz w:val="24"/>
          <w:szCs w:val="24"/>
        </w:rPr>
        <w:t xml:space="preserve"> in placebo group</w:t>
      </w:r>
      <w:r w:rsidR="001A2593" w:rsidRPr="008C51C9">
        <w:rPr>
          <w:rFonts w:ascii="Times New Roman" w:hAnsi="Times New Roman" w:cs="Times New Roman"/>
          <w:iCs/>
          <w:sz w:val="24"/>
          <w:szCs w:val="24"/>
        </w:rPr>
        <w:t xml:space="preserve"> due to no participant in nil grade</w:t>
      </w:r>
      <w:r w:rsidRPr="008C51C9">
        <w:rPr>
          <w:rFonts w:ascii="Times New Roman" w:hAnsi="Times New Roman" w:cs="Times New Roman"/>
          <w:iCs/>
          <w:sz w:val="24"/>
          <w:szCs w:val="24"/>
        </w:rPr>
        <w:t>. A smaller, albeit significant increase in the number of participants experiencing mild menstrual pain was observed only in the test group after the treatment (</w:t>
      </w:r>
      <w:r w:rsidR="006574F2" w:rsidRPr="008C51C9">
        <w:rPr>
          <w:rFonts w:ascii="Times New Roman" w:hAnsi="Times New Roman" w:cs="Times New Roman"/>
          <w:iCs/>
          <w:sz w:val="24"/>
          <w:szCs w:val="24"/>
        </w:rPr>
        <w:t>before:</w:t>
      </w:r>
      <w:r w:rsidRPr="008C51C9">
        <w:rPr>
          <w:rFonts w:ascii="Times New Roman" w:hAnsi="Times New Roman" w:cs="Times New Roman"/>
          <w:iCs/>
          <w:sz w:val="24"/>
          <w:szCs w:val="24"/>
        </w:rPr>
        <w:t>4/50</w:t>
      </w:r>
      <w:r w:rsidR="006574F2" w:rsidRPr="008C51C9">
        <w:rPr>
          <w:rFonts w:ascii="Times New Roman" w:hAnsi="Times New Roman" w:cs="Times New Roman"/>
          <w:iCs/>
          <w:sz w:val="24"/>
          <w:szCs w:val="24"/>
        </w:rPr>
        <w:t>; after:</w:t>
      </w:r>
      <w:r w:rsidRPr="008C51C9">
        <w:rPr>
          <w:rFonts w:ascii="Times New Roman" w:hAnsi="Times New Roman" w:cs="Times New Roman"/>
          <w:iCs/>
          <w:sz w:val="24"/>
          <w:szCs w:val="24"/>
        </w:rPr>
        <w:t xml:space="preserve">12/46). </w:t>
      </w:r>
      <w:r w:rsidR="001A2593" w:rsidRPr="008C51C9">
        <w:rPr>
          <w:rFonts w:ascii="Times New Roman" w:hAnsi="Times New Roman" w:cs="Times New Roman"/>
          <w:iCs/>
          <w:sz w:val="24"/>
          <w:szCs w:val="24"/>
        </w:rPr>
        <w:t>Further</w:t>
      </w:r>
      <w:r w:rsidRPr="008C51C9">
        <w:rPr>
          <w:rFonts w:ascii="Times New Roman" w:hAnsi="Times New Roman" w:cs="Times New Roman"/>
          <w:iCs/>
          <w:sz w:val="24"/>
          <w:szCs w:val="24"/>
        </w:rPr>
        <w:t xml:space="preserve">, number of participants experiencing increased level of menstrual pain (moderate and severe) showed significant decrease after </w:t>
      </w:r>
      <w:r w:rsidR="00D07672">
        <w:rPr>
          <w:rFonts w:ascii="Times New Roman" w:hAnsi="Times New Roman" w:cs="Times New Roman"/>
          <w:iCs/>
          <w:sz w:val="24"/>
          <w:szCs w:val="24"/>
        </w:rPr>
        <w:t xml:space="preserve">test oil </w:t>
      </w:r>
      <w:r w:rsidRPr="008C51C9">
        <w:rPr>
          <w:rFonts w:ascii="Times New Roman" w:hAnsi="Times New Roman" w:cs="Times New Roman"/>
          <w:iCs/>
          <w:sz w:val="24"/>
          <w:szCs w:val="24"/>
        </w:rPr>
        <w:t xml:space="preserve">treatment; no such difference was observed after </w:t>
      </w:r>
      <w:r w:rsidR="00D07672">
        <w:rPr>
          <w:rFonts w:ascii="Times New Roman" w:hAnsi="Times New Roman" w:cs="Times New Roman"/>
          <w:iCs/>
          <w:sz w:val="24"/>
          <w:szCs w:val="24"/>
        </w:rPr>
        <w:t xml:space="preserve">placebo </w:t>
      </w:r>
      <w:r w:rsidRPr="008C51C9">
        <w:rPr>
          <w:rFonts w:ascii="Times New Roman" w:hAnsi="Times New Roman" w:cs="Times New Roman"/>
          <w:iCs/>
          <w:sz w:val="24"/>
          <w:szCs w:val="24"/>
        </w:rPr>
        <w:t xml:space="preserve">treatment. </w:t>
      </w:r>
      <w:r w:rsidR="001A2593" w:rsidRPr="008C51C9">
        <w:rPr>
          <w:rFonts w:ascii="Times New Roman" w:hAnsi="Times New Roman" w:cs="Times New Roman"/>
          <w:iCs/>
          <w:sz w:val="24"/>
          <w:szCs w:val="24"/>
        </w:rPr>
        <w:t>Comparison of a</w:t>
      </w:r>
      <w:r w:rsidRPr="008C51C9">
        <w:rPr>
          <w:rFonts w:ascii="Times New Roman" w:hAnsi="Times New Roman" w:cs="Times New Roman"/>
          <w:iCs/>
          <w:sz w:val="24"/>
          <w:szCs w:val="24"/>
        </w:rPr>
        <w:t xml:space="preserve">verage VAS-pain scores </w:t>
      </w:r>
      <w:r w:rsidR="001A2593" w:rsidRPr="008C51C9">
        <w:rPr>
          <w:rFonts w:ascii="Times New Roman" w:hAnsi="Times New Roman" w:cs="Times New Roman"/>
          <w:iCs/>
          <w:sz w:val="24"/>
          <w:szCs w:val="24"/>
        </w:rPr>
        <w:t xml:space="preserve">indicated </w:t>
      </w:r>
      <w:r w:rsidRPr="008C51C9">
        <w:rPr>
          <w:rFonts w:ascii="Times New Roman" w:hAnsi="Times New Roman" w:cs="Times New Roman"/>
          <w:iCs/>
          <w:sz w:val="24"/>
          <w:szCs w:val="24"/>
        </w:rPr>
        <w:t>that</w:t>
      </w:r>
      <w:r w:rsidRPr="008C51C9">
        <w:rPr>
          <w:rFonts w:ascii="Times New Roman" w:hAnsi="Times New Roman" w:cs="Times New Roman"/>
          <w:sz w:val="24"/>
          <w:szCs w:val="24"/>
        </w:rPr>
        <w:t xml:space="preserve"> test group showed significant decrease (p&lt;0.05) in the average score (0.54</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0.78) subsequent to treatment whereas the average VAS-pain remained </w:t>
      </w:r>
      <w:r w:rsidR="00D07672">
        <w:rPr>
          <w:rFonts w:ascii="Times New Roman" w:hAnsi="Times New Roman" w:cs="Times New Roman"/>
          <w:sz w:val="24"/>
          <w:szCs w:val="24"/>
        </w:rPr>
        <w:t xml:space="preserve">almost </w:t>
      </w:r>
      <w:r w:rsidRPr="008C51C9">
        <w:rPr>
          <w:rFonts w:ascii="Times New Roman" w:hAnsi="Times New Roman" w:cs="Times New Roman"/>
          <w:sz w:val="24"/>
          <w:szCs w:val="24"/>
        </w:rPr>
        <w:t xml:space="preserve">unchanged before and after treatment in </w:t>
      </w:r>
      <w:r w:rsidR="006574F2" w:rsidRPr="008C51C9">
        <w:rPr>
          <w:rFonts w:ascii="Times New Roman" w:hAnsi="Times New Roman" w:cs="Times New Roman"/>
          <w:sz w:val="24"/>
          <w:szCs w:val="24"/>
        </w:rPr>
        <w:t>placebo</w:t>
      </w:r>
      <w:r w:rsidRPr="008C51C9">
        <w:rPr>
          <w:rFonts w:ascii="Times New Roman" w:hAnsi="Times New Roman" w:cs="Times New Roman"/>
          <w:sz w:val="24"/>
          <w:szCs w:val="24"/>
        </w:rPr>
        <w:t xml:space="preserve"> group (2</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0.69).</w:t>
      </w:r>
    </w:p>
    <w:p w14:paraId="50E7B6C4" w14:textId="77777777" w:rsidR="00B81685" w:rsidRPr="008C51C9" w:rsidRDefault="00B81685" w:rsidP="000B42F5">
      <w:pPr>
        <w:spacing w:after="240"/>
        <w:jc w:val="both"/>
        <w:rPr>
          <w:rFonts w:ascii="Times New Roman" w:hAnsi="Times New Roman" w:cs="Times New Roman"/>
          <w:iCs/>
          <w:sz w:val="24"/>
          <w:szCs w:val="24"/>
        </w:rPr>
      </w:pPr>
      <w:r w:rsidRPr="008C51C9">
        <w:rPr>
          <w:rFonts w:ascii="Times New Roman" w:hAnsi="Times New Roman" w:cs="Times New Roman"/>
          <w:sz w:val="24"/>
          <w:szCs w:val="24"/>
        </w:rPr>
        <w:t>The average composite score between test group (7.06</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1.73) and placebo group (7.22 </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1.96) was comparable before treatment.</w:t>
      </w:r>
      <w:r w:rsidR="00873B79" w:rsidRPr="008C51C9">
        <w:rPr>
          <w:rFonts w:ascii="Times New Roman" w:hAnsi="Times New Roman" w:cs="Times New Roman"/>
          <w:sz w:val="24"/>
          <w:szCs w:val="24"/>
        </w:rPr>
        <w:t xml:space="preserve"> </w:t>
      </w:r>
      <w:r w:rsidRPr="008C51C9">
        <w:rPr>
          <w:rFonts w:ascii="Times New Roman" w:hAnsi="Times New Roman" w:cs="Times New Roman"/>
          <w:sz w:val="24"/>
          <w:szCs w:val="24"/>
        </w:rPr>
        <w:t>After treatment, test group showed significant decrease</w:t>
      </w:r>
      <w:r w:rsidR="001A2593" w:rsidRPr="008C51C9">
        <w:rPr>
          <w:rFonts w:ascii="Times New Roman" w:hAnsi="Times New Roman" w:cs="Times New Roman"/>
          <w:sz w:val="24"/>
          <w:szCs w:val="24"/>
        </w:rPr>
        <w:t xml:space="preserve"> (p&lt;0.01)</w:t>
      </w:r>
      <w:r w:rsidRPr="008C51C9">
        <w:rPr>
          <w:rFonts w:ascii="Times New Roman" w:hAnsi="Times New Roman" w:cs="Times New Roman"/>
          <w:sz w:val="24"/>
          <w:szCs w:val="24"/>
        </w:rPr>
        <w:t xml:space="preserve"> in the average composite score (2.34</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1.32) whereas no difference was observed in placebo group (7.2</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1.35). Th</w:t>
      </w:r>
      <w:r w:rsidR="000B22EE" w:rsidRPr="008C51C9">
        <w:rPr>
          <w:rFonts w:ascii="Times New Roman" w:hAnsi="Times New Roman" w:cs="Times New Roman"/>
          <w:sz w:val="24"/>
          <w:szCs w:val="24"/>
        </w:rPr>
        <w:t xml:space="preserve">is </w:t>
      </w:r>
      <w:r w:rsidRPr="008C51C9">
        <w:rPr>
          <w:rFonts w:ascii="Times New Roman" w:hAnsi="Times New Roman" w:cs="Times New Roman"/>
          <w:sz w:val="24"/>
          <w:szCs w:val="24"/>
        </w:rPr>
        <w:t xml:space="preserve">indicates that the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in test group experienced a significant improvement in regulating all </w:t>
      </w:r>
      <w:r w:rsidR="00D07672">
        <w:rPr>
          <w:rFonts w:ascii="Times New Roman" w:hAnsi="Times New Roman" w:cs="Times New Roman"/>
          <w:sz w:val="24"/>
          <w:szCs w:val="24"/>
        </w:rPr>
        <w:t xml:space="preserve">the four </w:t>
      </w:r>
      <w:r w:rsidR="000B22EE" w:rsidRPr="008C51C9">
        <w:rPr>
          <w:rFonts w:ascii="Times New Roman" w:hAnsi="Times New Roman" w:cs="Times New Roman"/>
          <w:sz w:val="24"/>
          <w:szCs w:val="24"/>
        </w:rPr>
        <w:t xml:space="preserve">subjective </w:t>
      </w:r>
      <w:r w:rsidRPr="008C51C9">
        <w:rPr>
          <w:rFonts w:ascii="Times New Roman" w:hAnsi="Times New Roman" w:cs="Times New Roman"/>
          <w:sz w:val="24"/>
          <w:szCs w:val="24"/>
        </w:rPr>
        <w:t>symptoms associated with PCOS.</w:t>
      </w:r>
    </w:p>
    <w:p w14:paraId="645B5FE2" w14:textId="77777777" w:rsidR="00B81685" w:rsidRPr="008C51C9" w:rsidRDefault="00B81685" w:rsidP="00F83CE8">
      <w:pPr>
        <w:jc w:val="both"/>
        <w:rPr>
          <w:rFonts w:ascii="Times New Roman" w:hAnsi="Times New Roman" w:cs="Times New Roman"/>
          <w:sz w:val="24"/>
          <w:szCs w:val="24"/>
        </w:rPr>
      </w:pPr>
      <w:r w:rsidRPr="0049249B">
        <w:rPr>
          <w:rFonts w:ascii="Times New Roman" w:hAnsi="Times New Roman" w:cs="Times New Roman"/>
          <w:b/>
          <w:iCs/>
          <w:sz w:val="24"/>
          <w:szCs w:val="24"/>
        </w:rPr>
        <w:lastRenderedPageBreak/>
        <w:t>Hirsutism</w:t>
      </w:r>
      <w:r w:rsidR="00873B79" w:rsidRPr="0049249B">
        <w:rPr>
          <w:rFonts w:ascii="Times New Roman" w:hAnsi="Times New Roman" w:cs="Times New Roman"/>
          <w:b/>
          <w:iCs/>
          <w:sz w:val="24"/>
          <w:szCs w:val="24"/>
        </w:rPr>
        <w:t>:</w:t>
      </w:r>
      <w:r w:rsidRPr="008C51C9">
        <w:rPr>
          <w:rFonts w:ascii="Times New Roman" w:hAnsi="Times New Roman" w:cs="Times New Roman"/>
          <w:sz w:val="24"/>
          <w:szCs w:val="24"/>
        </w:rPr>
        <w:t xml:space="preserve"> </w:t>
      </w:r>
      <w:r w:rsidR="00E14DA7" w:rsidRPr="008C51C9">
        <w:rPr>
          <w:rFonts w:ascii="Times New Roman" w:hAnsi="Times New Roman" w:cs="Times New Roman"/>
          <w:sz w:val="24"/>
          <w:szCs w:val="24"/>
        </w:rPr>
        <w:t>T</w:t>
      </w:r>
      <w:r w:rsidRPr="008C51C9">
        <w:rPr>
          <w:rFonts w:ascii="Times New Roman" w:hAnsi="Times New Roman" w:cs="Times New Roman"/>
          <w:sz w:val="24"/>
          <w:szCs w:val="24"/>
        </w:rPr>
        <w:t xml:space="preserve">reatment with the test </w:t>
      </w:r>
      <w:r w:rsidR="00E14DA7" w:rsidRPr="008C51C9">
        <w:rPr>
          <w:rFonts w:ascii="Times New Roman" w:hAnsi="Times New Roman" w:cs="Times New Roman"/>
          <w:sz w:val="24"/>
          <w:szCs w:val="24"/>
        </w:rPr>
        <w:t>oil</w:t>
      </w:r>
      <w:r w:rsidRPr="008C51C9">
        <w:rPr>
          <w:rFonts w:ascii="Times New Roman" w:hAnsi="Times New Roman" w:cs="Times New Roman"/>
          <w:sz w:val="24"/>
          <w:szCs w:val="24"/>
        </w:rPr>
        <w:t xml:space="preserve"> resulted in significant decrease </w:t>
      </w:r>
      <w:r w:rsidR="00C57B41" w:rsidRPr="008C51C9">
        <w:rPr>
          <w:rFonts w:ascii="Times New Roman" w:hAnsi="Times New Roman" w:cs="Times New Roman"/>
          <w:sz w:val="24"/>
          <w:szCs w:val="24"/>
        </w:rPr>
        <w:t>(before:10.06</w:t>
      </w:r>
      <w:r w:rsidR="00C57B41" w:rsidRPr="008C51C9">
        <w:rPr>
          <w:rFonts w:ascii="Times New Roman" w:hAnsi="Times New Roman" w:cs="Times New Roman"/>
          <w:sz w:val="24"/>
          <w:szCs w:val="24"/>
        </w:rPr>
        <w:sym w:font="Symbol" w:char="F0B1"/>
      </w:r>
      <w:r w:rsidR="00C57B41" w:rsidRPr="008C51C9">
        <w:rPr>
          <w:rFonts w:ascii="Times New Roman" w:hAnsi="Times New Roman" w:cs="Times New Roman"/>
          <w:sz w:val="24"/>
          <w:szCs w:val="24"/>
        </w:rPr>
        <w:t>3.45</w:t>
      </w:r>
      <w:r w:rsidR="00981EA8" w:rsidRPr="008C51C9">
        <w:rPr>
          <w:rFonts w:ascii="Times New Roman" w:hAnsi="Times New Roman" w:cs="Times New Roman"/>
          <w:sz w:val="24"/>
          <w:szCs w:val="24"/>
        </w:rPr>
        <w:t xml:space="preserve">; </w:t>
      </w:r>
      <w:r w:rsidR="00C57B41" w:rsidRPr="008C51C9">
        <w:rPr>
          <w:rFonts w:ascii="Times New Roman" w:hAnsi="Times New Roman" w:cs="Times New Roman"/>
          <w:sz w:val="24"/>
          <w:szCs w:val="24"/>
        </w:rPr>
        <w:t>after:8.30</w:t>
      </w:r>
      <w:r w:rsidR="00C57B41" w:rsidRPr="008C51C9">
        <w:rPr>
          <w:rFonts w:ascii="Times New Roman" w:hAnsi="Times New Roman" w:cs="Times New Roman"/>
          <w:sz w:val="24"/>
          <w:szCs w:val="24"/>
        </w:rPr>
        <w:sym w:font="Symbol" w:char="F0B1"/>
      </w:r>
      <w:r w:rsidR="00C57B41" w:rsidRPr="008C51C9">
        <w:rPr>
          <w:rFonts w:ascii="Times New Roman" w:hAnsi="Times New Roman" w:cs="Times New Roman"/>
          <w:sz w:val="24"/>
          <w:szCs w:val="24"/>
        </w:rPr>
        <w:t xml:space="preserve">3.36) </w:t>
      </w:r>
      <w:r w:rsidRPr="008C51C9">
        <w:rPr>
          <w:rFonts w:ascii="Times New Roman" w:hAnsi="Times New Roman" w:cs="Times New Roman"/>
          <w:sz w:val="24"/>
          <w:szCs w:val="24"/>
        </w:rPr>
        <w:t>in hirsutism (p&lt;0.05)</w:t>
      </w:r>
      <w:r w:rsidR="00C57B41" w:rsidRPr="008C51C9">
        <w:rPr>
          <w:rFonts w:ascii="Times New Roman" w:hAnsi="Times New Roman" w:cs="Times New Roman"/>
          <w:sz w:val="24"/>
          <w:szCs w:val="24"/>
        </w:rPr>
        <w:t xml:space="preserve"> in comparison to placebo group (before:9.48</w:t>
      </w:r>
      <w:r w:rsidR="00C57B41" w:rsidRPr="008C51C9">
        <w:rPr>
          <w:rFonts w:ascii="Times New Roman" w:hAnsi="Times New Roman" w:cs="Times New Roman"/>
          <w:sz w:val="24"/>
          <w:szCs w:val="24"/>
        </w:rPr>
        <w:sym w:font="Symbol" w:char="F0B1"/>
      </w:r>
      <w:r w:rsidR="00C57B41" w:rsidRPr="008C51C9">
        <w:rPr>
          <w:rFonts w:ascii="Times New Roman" w:hAnsi="Times New Roman" w:cs="Times New Roman"/>
          <w:sz w:val="24"/>
          <w:szCs w:val="24"/>
        </w:rPr>
        <w:t>3.29</w:t>
      </w:r>
      <w:r w:rsidR="00981EA8" w:rsidRPr="008C51C9">
        <w:rPr>
          <w:rFonts w:ascii="Times New Roman" w:hAnsi="Times New Roman" w:cs="Times New Roman"/>
          <w:sz w:val="24"/>
          <w:szCs w:val="24"/>
        </w:rPr>
        <w:t>;</w:t>
      </w:r>
      <w:r w:rsidR="00C57B41" w:rsidRPr="008C51C9">
        <w:rPr>
          <w:rFonts w:ascii="Times New Roman" w:hAnsi="Times New Roman" w:cs="Times New Roman"/>
          <w:sz w:val="24"/>
          <w:szCs w:val="24"/>
        </w:rPr>
        <w:t xml:space="preserve"> after:9.36</w:t>
      </w:r>
      <w:r w:rsidR="00C57B41" w:rsidRPr="008C51C9">
        <w:rPr>
          <w:rFonts w:ascii="Times New Roman" w:hAnsi="Times New Roman" w:cs="Times New Roman"/>
          <w:sz w:val="24"/>
          <w:szCs w:val="24"/>
        </w:rPr>
        <w:sym w:font="Symbol" w:char="F0B1"/>
      </w:r>
      <w:r w:rsidR="00C57B41" w:rsidRPr="008C51C9">
        <w:rPr>
          <w:rFonts w:ascii="Times New Roman" w:hAnsi="Times New Roman" w:cs="Times New Roman"/>
          <w:sz w:val="24"/>
          <w:szCs w:val="24"/>
        </w:rPr>
        <w:t>2.95)</w:t>
      </w:r>
      <w:r w:rsidRPr="008C51C9">
        <w:rPr>
          <w:rFonts w:ascii="Times New Roman" w:hAnsi="Times New Roman" w:cs="Times New Roman"/>
          <w:sz w:val="24"/>
          <w:szCs w:val="24"/>
        </w:rPr>
        <w:t>.</w:t>
      </w:r>
    </w:p>
    <w:p w14:paraId="207A4369" w14:textId="77777777" w:rsidR="00B81685" w:rsidRPr="008C51C9" w:rsidRDefault="00B81685" w:rsidP="00F83CE8">
      <w:pPr>
        <w:jc w:val="both"/>
        <w:rPr>
          <w:rFonts w:ascii="Times New Roman" w:hAnsi="Times New Roman" w:cs="Times New Roman"/>
          <w:sz w:val="24"/>
          <w:szCs w:val="24"/>
        </w:rPr>
      </w:pPr>
      <w:r w:rsidRPr="0049249B">
        <w:rPr>
          <w:rFonts w:ascii="Times New Roman" w:hAnsi="Times New Roman" w:cs="Times New Roman"/>
          <w:b/>
          <w:iCs/>
          <w:sz w:val="24"/>
          <w:szCs w:val="24"/>
        </w:rPr>
        <w:t>Ovarian volume</w:t>
      </w:r>
      <w:r w:rsidRPr="0049249B">
        <w:rPr>
          <w:rFonts w:ascii="Times New Roman" w:hAnsi="Times New Roman" w:cs="Times New Roman"/>
          <w:iCs/>
          <w:sz w:val="24"/>
          <w:szCs w:val="24"/>
        </w:rPr>
        <w:t>:</w:t>
      </w:r>
      <w:r w:rsidRPr="008C51C9">
        <w:rPr>
          <w:rFonts w:ascii="Times New Roman" w:hAnsi="Times New Roman" w:cs="Times New Roman"/>
          <w:sz w:val="24"/>
          <w:szCs w:val="24"/>
        </w:rPr>
        <w:t xml:space="preserve"> Prior to treatment, the ovarian volume of the right ovary in test group (18.13</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1.6) and that of placebo group (19.52</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1.54) </w:t>
      </w:r>
      <w:r w:rsidR="00560B82" w:rsidRPr="008C51C9">
        <w:rPr>
          <w:rFonts w:ascii="Times New Roman" w:hAnsi="Times New Roman" w:cs="Times New Roman"/>
          <w:sz w:val="24"/>
          <w:szCs w:val="24"/>
        </w:rPr>
        <w:t>was</w:t>
      </w:r>
      <w:r w:rsidRPr="008C51C9">
        <w:rPr>
          <w:rFonts w:ascii="Times New Roman" w:hAnsi="Times New Roman" w:cs="Times New Roman"/>
          <w:sz w:val="24"/>
          <w:szCs w:val="24"/>
        </w:rPr>
        <w:t xml:space="preserve"> comparable. Similarly, the ovarian volume of the left ovary in test group (14.95</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1.4) and that of placebo group (18.88</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1.52) was found comparable. Subsequent to treatment with test </w:t>
      </w:r>
      <w:r w:rsidR="0004252C" w:rsidRPr="008C51C9">
        <w:rPr>
          <w:rFonts w:ascii="Times New Roman" w:hAnsi="Times New Roman" w:cs="Times New Roman"/>
          <w:sz w:val="24"/>
          <w:szCs w:val="24"/>
        </w:rPr>
        <w:t>oil</w:t>
      </w:r>
      <w:r w:rsidRPr="008C51C9">
        <w:rPr>
          <w:rFonts w:ascii="Times New Roman" w:hAnsi="Times New Roman" w:cs="Times New Roman"/>
          <w:sz w:val="24"/>
          <w:szCs w:val="24"/>
        </w:rPr>
        <w:t xml:space="preserve">, ovarian volume significantly </w:t>
      </w:r>
      <w:r w:rsidR="00560B82" w:rsidRPr="008C51C9">
        <w:rPr>
          <w:rFonts w:ascii="Times New Roman" w:hAnsi="Times New Roman" w:cs="Times New Roman"/>
          <w:sz w:val="24"/>
          <w:szCs w:val="24"/>
        </w:rPr>
        <w:t xml:space="preserve">(p&lt;0.05) </w:t>
      </w:r>
      <w:r w:rsidRPr="008C51C9">
        <w:rPr>
          <w:rFonts w:ascii="Times New Roman" w:hAnsi="Times New Roman" w:cs="Times New Roman"/>
          <w:sz w:val="24"/>
          <w:szCs w:val="24"/>
        </w:rPr>
        <w:t>decreased in both right (12.44</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1.2) and left (9.52</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1.03) ovar</w:t>
      </w:r>
      <w:r w:rsidR="00981EA8" w:rsidRPr="008C51C9">
        <w:rPr>
          <w:rFonts w:ascii="Times New Roman" w:hAnsi="Times New Roman" w:cs="Times New Roman"/>
          <w:sz w:val="24"/>
          <w:szCs w:val="24"/>
        </w:rPr>
        <w:t>ies</w:t>
      </w:r>
      <w:r w:rsidR="00560B82" w:rsidRPr="008C51C9">
        <w:rPr>
          <w:rFonts w:ascii="Times New Roman" w:hAnsi="Times New Roman" w:cs="Times New Roman"/>
          <w:sz w:val="24"/>
          <w:szCs w:val="24"/>
        </w:rPr>
        <w:t xml:space="preserve">. However, in </w:t>
      </w:r>
      <w:r w:rsidRPr="008C51C9">
        <w:rPr>
          <w:rFonts w:ascii="Times New Roman" w:hAnsi="Times New Roman" w:cs="Times New Roman"/>
          <w:sz w:val="24"/>
          <w:szCs w:val="24"/>
        </w:rPr>
        <w:t>placebo group</w:t>
      </w:r>
      <w:r w:rsidR="00560B82" w:rsidRPr="008C51C9">
        <w:rPr>
          <w:rFonts w:ascii="Times New Roman" w:hAnsi="Times New Roman" w:cs="Times New Roman"/>
          <w:sz w:val="24"/>
          <w:szCs w:val="24"/>
        </w:rPr>
        <w:t xml:space="preserve"> the ovarian volume increased (right:20.73</w:t>
      </w:r>
      <w:r w:rsidR="00560B82" w:rsidRPr="008C51C9">
        <w:rPr>
          <w:rFonts w:ascii="Times New Roman" w:hAnsi="Times New Roman" w:cs="Times New Roman"/>
          <w:sz w:val="24"/>
          <w:szCs w:val="24"/>
        </w:rPr>
        <w:sym w:font="Symbol" w:char="F0B1"/>
      </w:r>
      <w:r w:rsidR="00560B82" w:rsidRPr="008C51C9">
        <w:rPr>
          <w:rFonts w:ascii="Times New Roman" w:hAnsi="Times New Roman" w:cs="Times New Roman"/>
          <w:sz w:val="24"/>
          <w:szCs w:val="24"/>
        </w:rPr>
        <w:t>1.3, left:20.33</w:t>
      </w:r>
      <w:r w:rsidR="00560B82" w:rsidRPr="008C51C9">
        <w:rPr>
          <w:rFonts w:ascii="Times New Roman" w:hAnsi="Times New Roman" w:cs="Times New Roman"/>
          <w:sz w:val="24"/>
          <w:szCs w:val="24"/>
        </w:rPr>
        <w:sym w:font="Symbol" w:char="F0B1"/>
      </w:r>
      <w:r w:rsidR="00560B82" w:rsidRPr="008C51C9">
        <w:rPr>
          <w:rFonts w:ascii="Times New Roman" w:hAnsi="Times New Roman" w:cs="Times New Roman"/>
          <w:sz w:val="24"/>
          <w:szCs w:val="24"/>
        </w:rPr>
        <w:t>1.8)</w:t>
      </w:r>
      <w:r w:rsidRPr="008C51C9">
        <w:rPr>
          <w:rFonts w:ascii="Times New Roman" w:hAnsi="Times New Roman" w:cs="Times New Roman"/>
          <w:sz w:val="24"/>
          <w:szCs w:val="24"/>
        </w:rPr>
        <w:t xml:space="preserve">. </w:t>
      </w:r>
      <w:r w:rsidR="000B42F5">
        <w:rPr>
          <w:rFonts w:ascii="Times New Roman" w:hAnsi="Times New Roman" w:cs="Times New Roman"/>
          <w:sz w:val="24"/>
          <w:szCs w:val="24"/>
        </w:rPr>
        <w:t>T</w:t>
      </w:r>
      <w:r w:rsidRPr="008C51C9">
        <w:rPr>
          <w:rFonts w:ascii="Times New Roman" w:hAnsi="Times New Roman" w:cs="Times New Roman"/>
          <w:sz w:val="24"/>
          <w:szCs w:val="24"/>
        </w:rPr>
        <w:t xml:space="preserve">est </w:t>
      </w:r>
      <w:r w:rsidR="00981EA8" w:rsidRPr="008C51C9">
        <w:rPr>
          <w:rFonts w:ascii="Times New Roman" w:hAnsi="Times New Roman" w:cs="Times New Roman"/>
          <w:sz w:val="24"/>
          <w:szCs w:val="24"/>
        </w:rPr>
        <w:t>oil</w:t>
      </w:r>
      <w:r w:rsidRPr="008C51C9">
        <w:rPr>
          <w:rFonts w:ascii="Times New Roman" w:hAnsi="Times New Roman" w:cs="Times New Roman"/>
          <w:sz w:val="24"/>
          <w:szCs w:val="24"/>
        </w:rPr>
        <w:t xml:space="preserve"> </w:t>
      </w:r>
      <w:r w:rsidR="000B42F5">
        <w:rPr>
          <w:rFonts w:ascii="Times New Roman" w:hAnsi="Times New Roman" w:cs="Times New Roman"/>
          <w:sz w:val="24"/>
          <w:szCs w:val="24"/>
        </w:rPr>
        <w:t xml:space="preserve">treatment </w:t>
      </w:r>
      <w:r w:rsidRPr="008C51C9">
        <w:rPr>
          <w:rFonts w:ascii="Times New Roman" w:hAnsi="Times New Roman" w:cs="Times New Roman"/>
          <w:sz w:val="24"/>
          <w:szCs w:val="24"/>
        </w:rPr>
        <w:t xml:space="preserve">was found to be </w:t>
      </w:r>
      <w:r w:rsidR="00560B82" w:rsidRPr="008C51C9">
        <w:rPr>
          <w:rFonts w:ascii="Times New Roman" w:hAnsi="Times New Roman" w:cs="Times New Roman"/>
          <w:sz w:val="24"/>
          <w:szCs w:val="24"/>
        </w:rPr>
        <w:t>significant</w:t>
      </w:r>
      <w:r w:rsidRPr="008C51C9">
        <w:rPr>
          <w:rFonts w:ascii="Times New Roman" w:hAnsi="Times New Roman" w:cs="Times New Roman"/>
          <w:sz w:val="24"/>
          <w:szCs w:val="24"/>
        </w:rPr>
        <w:t xml:space="preserve"> than placebo </w:t>
      </w:r>
      <w:r w:rsidR="00560B82" w:rsidRPr="008C51C9">
        <w:rPr>
          <w:rFonts w:ascii="Times New Roman" w:hAnsi="Times New Roman" w:cs="Times New Roman"/>
          <w:sz w:val="24"/>
          <w:szCs w:val="24"/>
        </w:rPr>
        <w:t xml:space="preserve">(p&lt;0.05) </w:t>
      </w:r>
      <w:r w:rsidRPr="008C51C9">
        <w:rPr>
          <w:rFonts w:ascii="Times New Roman" w:hAnsi="Times New Roman" w:cs="Times New Roman"/>
          <w:sz w:val="24"/>
          <w:szCs w:val="24"/>
        </w:rPr>
        <w:t xml:space="preserve">in reducing the size of the ovary (both left and right) in </w:t>
      </w:r>
      <w:r w:rsidR="00981EA8" w:rsidRPr="008C51C9">
        <w:rPr>
          <w:rFonts w:ascii="Times New Roman" w:hAnsi="Times New Roman" w:cs="Times New Roman"/>
          <w:sz w:val="24"/>
          <w:szCs w:val="24"/>
        </w:rPr>
        <w:t>the</w:t>
      </w:r>
      <w:r w:rsidRPr="008C51C9">
        <w:rPr>
          <w:rFonts w:ascii="Times New Roman" w:hAnsi="Times New Roman" w:cs="Times New Roman"/>
          <w:sz w:val="24"/>
          <w:szCs w:val="24"/>
        </w:rPr>
        <w:t xml:space="preserv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w:t>
      </w:r>
    </w:p>
    <w:p w14:paraId="0D78D29D" w14:textId="77777777" w:rsidR="005C3BF2" w:rsidRPr="008C51C9" w:rsidRDefault="00B81685" w:rsidP="001F52C5">
      <w:pPr>
        <w:spacing w:after="0" w:line="240" w:lineRule="auto"/>
        <w:jc w:val="both"/>
        <w:rPr>
          <w:rFonts w:ascii="Times New Roman" w:hAnsi="Times New Roman" w:cs="Times New Roman"/>
          <w:sz w:val="24"/>
          <w:szCs w:val="24"/>
        </w:rPr>
      </w:pPr>
      <w:r w:rsidRPr="0049249B">
        <w:rPr>
          <w:rFonts w:ascii="Times New Roman" w:hAnsi="Times New Roman" w:cs="Times New Roman"/>
          <w:b/>
          <w:iCs/>
          <w:sz w:val="24"/>
          <w:szCs w:val="24"/>
        </w:rPr>
        <w:t>Number of follicular cysts</w:t>
      </w:r>
      <w:r w:rsidRPr="008C51C9">
        <w:rPr>
          <w:rFonts w:ascii="Times New Roman" w:hAnsi="Times New Roman" w:cs="Times New Roman"/>
          <w:sz w:val="24"/>
          <w:szCs w:val="24"/>
        </w:rPr>
        <w:t xml:space="preserve"> (follicle&gt;3cm) found on both the ovaries were significantly reduced subsequent to treatment with test </w:t>
      </w:r>
      <w:r w:rsidR="000B42F5">
        <w:rPr>
          <w:rFonts w:ascii="Times New Roman" w:hAnsi="Times New Roman" w:cs="Times New Roman"/>
          <w:sz w:val="24"/>
          <w:szCs w:val="24"/>
        </w:rPr>
        <w:t>oil</w:t>
      </w:r>
      <w:r w:rsidRPr="008C51C9">
        <w:rPr>
          <w:rFonts w:ascii="Times New Roman" w:hAnsi="Times New Roman" w:cs="Times New Roman"/>
          <w:sz w:val="24"/>
          <w:szCs w:val="24"/>
        </w:rPr>
        <w:t xml:space="preserve"> (</w:t>
      </w:r>
      <w:r w:rsidR="00C57B41" w:rsidRPr="008C51C9">
        <w:rPr>
          <w:rFonts w:ascii="Times New Roman" w:hAnsi="Times New Roman" w:cs="Times New Roman"/>
          <w:sz w:val="24"/>
          <w:szCs w:val="24"/>
        </w:rPr>
        <w:t>before:</w:t>
      </w:r>
      <w:r w:rsidRPr="008C51C9">
        <w:rPr>
          <w:rFonts w:ascii="Times New Roman" w:hAnsi="Times New Roman" w:cs="Times New Roman"/>
          <w:sz w:val="24"/>
          <w:szCs w:val="24"/>
        </w:rPr>
        <w:t>21 cysts</w:t>
      </w:r>
      <w:r w:rsidR="00981EA8" w:rsidRPr="008C51C9">
        <w:rPr>
          <w:rFonts w:ascii="Times New Roman" w:hAnsi="Times New Roman" w:cs="Times New Roman"/>
          <w:sz w:val="24"/>
          <w:szCs w:val="24"/>
        </w:rPr>
        <w:t>;</w:t>
      </w:r>
      <w:r w:rsidRPr="008C51C9">
        <w:rPr>
          <w:rFonts w:ascii="Times New Roman" w:hAnsi="Times New Roman" w:cs="Times New Roman"/>
          <w:sz w:val="24"/>
          <w:szCs w:val="24"/>
        </w:rPr>
        <w:t xml:space="preserve"> </w:t>
      </w:r>
      <w:r w:rsidR="00C57B41" w:rsidRPr="008C51C9">
        <w:rPr>
          <w:rFonts w:ascii="Times New Roman" w:hAnsi="Times New Roman" w:cs="Times New Roman"/>
          <w:sz w:val="24"/>
          <w:szCs w:val="24"/>
        </w:rPr>
        <w:t>after:</w:t>
      </w:r>
      <w:r w:rsidRPr="008C51C9">
        <w:rPr>
          <w:rFonts w:ascii="Times New Roman" w:hAnsi="Times New Roman" w:cs="Times New Roman"/>
          <w:sz w:val="24"/>
          <w:szCs w:val="24"/>
        </w:rPr>
        <w:t>4</w:t>
      </w:r>
      <w:r w:rsidR="00B70210" w:rsidRPr="008C51C9">
        <w:rPr>
          <w:rFonts w:ascii="Times New Roman" w:hAnsi="Times New Roman" w:cs="Times New Roman"/>
          <w:sz w:val="24"/>
          <w:szCs w:val="24"/>
        </w:rPr>
        <w:t xml:space="preserve"> </w:t>
      </w:r>
      <w:r w:rsidRPr="008C51C9">
        <w:rPr>
          <w:rFonts w:ascii="Times New Roman" w:hAnsi="Times New Roman" w:cs="Times New Roman"/>
          <w:sz w:val="24"/>
          <w:szCs w:val="24"/>
        </w:rPr>
        <w:t>cysts; p&lt;0.05) as compared to placebo treatment (</w:t>
      </w:r>
      <w:r w:rsidR="00C57B41" w:rsidRPr="008C51C9">
        <w:rPr>
          <w:rFonts w:ascii="Times New Roman" w:hAnsi="Times New Roman" w:cs="Times New Roman"/>
          <w:sz w:val="24"/>
          <w:szCs w:val="24"/>
        </w:rPr>
        <w:t>before:</w:t>
      </w:r>
      <w:r w:rsidRPr="008C51C9">
        <w:rPr>
          <w:rFonts w:ascii="Times New Roman" w:hAnsi="Times New Roman" w:cs="Times New Roman"/>
          <w:sz w:val="24"/>
          <w:szCs w:val="24"/>
        </w:rPr>
        <w:t>36 cysts</w:t>
      </w:r>
      <w:r w:rsidR="00981EA8" w:rsidRPr="008C51C9">
        <w:rPr>
          <w:rFonts w:ascii="Times New Roman" w:hAnsi="Times New Roman" w:cs="Times New Roman"/>
          <w:sz w:val="24"/>
          <w:szCs w:val="24"/>
        </w:rPr>
        <w:t>;</w:t>
      </w:r>
      <w:r w:rsidRPr="008C51C9">
        <w:rPr>
          <w:rFonts w:ascii="Times New Roman" w:hAnsi="Times New Roman" w:cs="Times New Roman"/>
          <w:sz w:val="24"/>
          <w:szCs w:val="24"/>
        </w:rPr>
        <w:t xml:space="preserve"> </w:t>
      </w:r>
      <w:r w:rsidR="00C57B41" w:rsidRPr="008C51C9">
        <w:rPr>
          <w:rFonts w:ascii="Times New Roman" w:hAnsi="Times New Roman" w:cs="Times New Roman"/>
          <w:sz w:val="24"/>
          <w:szCs w:val="24"/>
        </w:rPr>
        <w:t>after:</w:t>
      </w:r>
      <w:r w:rsidRPr="008C51C9">
        <w:rPr>
          <w:rFonts w:ascii="Times New Roman" w:hAnsi="Times New Roman" w:cs="Times New Roman"/>
          <w:sz w:val="24"/>
          <w:szCs w:val="24"/>
        </w:rPr>
        <w:t xml:space="preserve">30 cysts). The effect of the test </w:t>
      </w:r>
      <w:r w:rsidR="00B14605" w:rsidRPr="008C51C9">
        <w:rPr>
          <w:rFonts w:ascii="Times New Roman" w:hAnsi="Times New Roman" w:cs="Times New Roman"/>
          <w:sz w:val="24"/>
          <w:szCs w:val="24"/>
        </w:rPr>
        <w:t>oil</w:t>
      </w:r>
      <w:r w:rsidRPr="008C51C9">
        <w:rPr>
          <w:rFonts w:ascii="Times New Roman" w:hAnsi="Times New Roman" w:cs="Times New Roman"/>
          <w:sz w:val="24"/>
          <w:szCs w:val="24"/>
        </w:rPr>
        <w:t xml:space="preserve"> was specific and significant as compared to</w:t>
      </w:r>
      <w:r w:rsidR="003D73BA" w:rsidRPr="008C51C9">
        <w:rPr>
          <w:rFonts w:ascii="Times New Roman" w:hAnsi="Times New Roman" w:cs="Times New Roman"/>
          <w:sz w:val="24"/>
          <w:szCs w:val="24"/>
        </w:rPr>
        <w:t xml:space="preserve"> placebo gro</w:t>
      </w:r>
      <w:r w:rsidRPr="008C51C9">
        <w:rPr>
          <w:rFonts w:ascii="Times New Roman" w:hAnsi="Times New Roman" w:cs="Times New Roman"/>
          <w:sz w:val="24"/>
          <w:szCs w:val="24"/>
        </w:rPr>
        <w:t>up (p&lt;0.01).</w:t>
      </w:r>
    </w:p>
    <w:p w14:paraId="6F347EBD" w14:textId="77777777" w:rsidR="001F52C5" w:rsidRPr="008C51C9" w:rsidRDefault="001F52C5" w:rsidP="001F52C5">
      <w:pPr>
        <w:spacing w:after="0" w:line="240" w:lineRule="auto"/>
        <w:jc w:val="both"/>
        <w:rPr>
          <w:rFonts w:ascii="Times New Roman" w:hAnsi="Times New Roman" w:cs="Times New Roman"/>
          <w:sz w:val="24"/>
          <w:szCs w:val="24"/>
        </w:rPr>
      </w:pPr>
    </w:p>
    <w:p w14:paraId="4BEF1138" w14:textId="77777777" w:rsidR="000B42F5" w:rsidRPr="00543C27" w:rsidRDefault="001F52C5" w:rsidP="000B42F5">
      <w:pPr>
        <w:widowControl w:val="0"/>
        <w:autoSpaceDE w:val="0"/>
        <w:autoSpaceDN w:val="0"/>
        <w:adjustRightInd w:val="0"/>
        <w:spacing w:after="0" w:line="240" w:lineRule="auto"/>
        <w:jc w:val="both"/>
        <w:rPr>
          <w:rFonts w:ascii="Times New Roman" w:hAnsi="Times New Roman" w:cs="Times New Roman"/>
          <w:color w:val="000000"/>
          <w:sz w:val="24"/>
          <w:szCs w:val="24"/>
        </w:rPr>
      </w:pPr>
      <w:r w:rsidRPr="0049249B">
        <w:rPr>
          <w:rFonts w:ascii="Times New Roman" w:hAnsi="Times New Roman" w:cs="Times New Roman"/>
          <w:b/>
          <w:bCs/>
          <w:sz w:val="24"/>
          <w:szCs w:val="24"/>
        </w:rPr>
        <w:t>Number of maturing follicles</w:t>
      </w:r>
      <w:r w:rsidRPr="008C51C9">
        <w:rPr>
          <w:rFonts w:ascii="Times New Roman" w:hAnsi="Times New Roman" w:cs="Times New Roman"/>
          <w:sz w:val="24"/>
          <w:szCs w:val="24"/>
        </w:rPr>
        <w:t xml:space="preserve"> in test group increased </w:t>
      </w:r>
      <w:r w:rsidR="00981EA8" w:rsidRPr="008C51C9">
        <w:rPr>
          <w:rFonts w:ascii="Times New Roman" w:hAnsi="Times New Roman" w:cs="Times New Roman"/>
          <w:sz w:val="24"/>
          <w:szCs w:val="24"/>
        </w:rPr>
        <w:t xml:space="preserve">significantly </w:t>
      </w:r>
      <w:r w:rsidRPr="008C51C9">
        <w:rPr>
          <w:rFonts w:ascii="Times New Roman" w:hAnsi="Times New Roman" w:cs="Times New Roman"/>
          <w:sz w:val="24"/>
          <w:szCs w:val="24"/>
        </w:rPr>
        <w:t>in right ovary (before:34</w:t>
      </w:r>
      <w:r w:rsidR="002B250B" w:rsidRPr="008C51C9">
        <w:rPr>
          <w:rFonts w:ascii="Times New Roman" w:hAnsi="Times New Roman" w:cs="Times New Roman"/>
          <w:sz w:val="24"/>
          <w:szCs w:val="24"/>
        </w:rPr>
        <w:t xml:space="preserve"> to</w:t>
      </w:r>
      <w:r w:rsidRPr="008C51C9">
        <w:rPr>
          <w:rFonts w:ascii="Times New Roman" w:hAnsi="Times New Roman" w:cs="Times New Roman"/>
          <w:sz w:val="24"/>
          <w:szCs w:val="24"/>
        </w:rPr>
        <w:t xml:space="preserve"> after:43) and </w:t>
      </w:r>
      <w:r w:rsidR="00B7421A" w:rsidRPr="008C51C9">
        <w:rPr>
          <w:rFonts w:ascii="Times New Roman" w:hAnsi="Times New Roman" w:cs="Times New Roman"/>
          <w:sz w:val="24"/>
          <w:szCs w:val="24"/>
        </w:rPr>
        <w:t xml:space="preserve">slightly </w:t>
      </w:r>
      <w:r w:rsidRPr="008C51C9">
        <w:rPr>
          <w:rFonts w:ascii="Times New Roman" w:hAnsi="Times New Roman" w:cs="Times New Roman"/>
          <w:sz w:val="24"/>
          <w:szCs w:val="24"/>
        </w:rPr>
        <w:t xml:space="preserve">decreased in left ovary (before:45 </w:t>
      </w:r>
      <w:r w:rsidR="002B250B" w:rsidRPr="008C51C9">
        <w:rPr>
          <w:rFonts w:ascii="Times New Roman" w:hAnsi="Times New Roman" w:cs="Times New Roman"/>
          <w:sz w:val="24"/>
          <w:szCs w:val="24"/>
        </w:rPr>
        <w:t>to</w:t>
      </w:r>
      <w:r w:rsidRPr="008C51C9">
        <w:rPr>
          <w:rFonts w:ascii="Times New Roman" w:hAnsi="Times New Roman" w:cs="Times New Roman"/>
          <w:sz w:val="24"/>
          <w:szCs w:val="24"/>
        </w:rPr>
        <w:t xml:space="preserve"> after:43). However, in placebo group it decreased both in right (before:31 </w:t>
      </w:r>
      <w:r w:rsidR="002B250B" w:rsidRPr="008C51C9">
        <w:rPr>
          <w:rFonts w:ascii="Times New Roman" w:hAnsi="Times New Roman" w:cs="Times New Roman"/>
          <w:sz w:val="24"/>
          <w:szCs w:val="24"/>
        </w:rPr>
        <w:t>to</w:t>
      </w:r>
      <w:r w:rsidRPr="008C51C9">
        <w:rPr>
          <w:rFonts w:ascii="Times New Roman" w:hAnsi="Times New Roman" w:cs="Times New Roman"/>
          <w:sz w:val="24"/>
          <w:szCs w:val="24"/>
        </w:rPr>
        <w:t xml:space="preserve"> after:28) and left ovary (before:33 </w:t>
      </w:r>
      <w:r w:rsidR="002B250B" w:rsidRPr="008C51C9">
        <w:rPr>
          <w:rFonts w:ascii="Times New Roman" w:hAnsi="Times New Roman" w:cs="Times New Roman"/>
          <w:sz w:val="24"/>
          <w:szCs w:val="24"/>
        </w:rPr>
        <w:t>to</w:t>
      </w:r>
      <w:r w:rsidRPr="008C51C9">
        <w:rPr>
          <w:rFonts w:ascii="Times New Roman" w:hAnsi="Times New Roman" w:cs="Times New Roman"/>
          <w:sz w:val="24"/>
          <w:szCs w:val="24"/>
        </w:rPr>
        <w:t xml:space="preserve"> after:28). </w:t>
      </w:r>
      <w:r w:rsidR="000B42F5">
        <w:rPr>
          <w:rFonts w:ascii="Times New Roman" w:hAnsi="Times New Roman" w:cs="Times New Roman"/>
          <w:color w:val="000000"/>
          <w:sz w:val="24"/>
          <w:szCs w:val="24"/>
        </w:rPr>
        <w:t>I</w:t>
      </w:r>
      <w:r w:rsidR="000B42F5" w:rsidRPr="00543C27">
        <w:rPr>
          <w:rFonts w:ascii="Times New Roman" w:hAnsi="Times New Roman" w:cs="Times New Roman"/>
          <w:color w:val="000000"/>
          <w:sz w:val="24"/>
          <w:szCs w:val="24"/>
        </w:rPr>
        <w:t xml:space="preserve">n a 6-month </w:t>
      </w:r>
      <w:r w:rsidR="000B42F5">
        <w:rPr>
          <w:rFonts w:ascii="Times New Roman" w:hAnsi="Times New Roman" w:cs="Times New Roman"/>
          <w:color w:val="000000"/>
          <w:sz w:val="24"/>
          <w:szCs w:val="24"/>
        </w:rPr>
        <w:t xml:space="preserve">post-study </w:t>
      </w:r>
      <w:r w:rsidR="000B42F5" w:rsidRPr="00543C27">
        <w:rPr>
          <w:rFonts w:ascii="Times New Roman" w:hAnsi="Times New Roman" w:cs="Times New Roman"/>
          <w:color w:val="000000"/>
          <w:sz w:val="24"/>
          <w:szCs w:val="24"/>
        </w:rPr>
        <w:t>follow-up</w:t>
      </w:r>
      <w:r w:rsidR="000B42F5">
        <w:rPr>
          <w:rFonts w:ascii="Times New Roman" w:hAnsi="Times New Roman" w:cs="Times New Roman"/>
          <w:color w:val="000000"/>
          <w:sz w:val="24"/>
          <w:szCs w:val="24"/>
        </w:rPr>
        <w:t xml:space="preserve">, it was </w:t>
      </w:r>
      <w:r w:rsidR="000B42F5" w:rsidRPr="00543C27">
        <w:rPr>
          <w:rFonts w:ascii="Times New Roman" w:hAnsi="Times New Roman" w:cs="Times New Roman"/>
          <w:color w:val="000000"/>
          <w:sz w:val="24"/>
          <w:szCs w:val="24"/>
        </w:rPr>
        <w:t xml:space="preserve">observed that out of </w:t>
      </w:r>
      <w:r w:rsidR="000B42F5">
        <w:rPr>
          <w:rFonts w:ascii="Times New Roman" w:hAnsi="Times New Roman" w:cs="Times New Roman"/>
          <w:color w:val="000000"/>
          <w:sz w:val="24"/>
          <w:szCs w:val="24"/>
        </w:rPr>
        <w:t>46</w:t>
      </w:r>
      <w:r w:rsidR="000B42F5" w:rsidRPr="00543C27">
        <w:rPr>
          <w:rFonts w:ascii="Times New Roman" w:hAnsi="Times New Roman" w:cs="Times New Roman"/>
          <w:color w:val="000000"/>
          <w:sz w:val="24"/>
          <w:szCs w:val="24"/>
        </w:rPr>
        <w:t xml:space="preserve"> </w:t>
      </w:r>
      <w:r w:rsidR="000B42F5">
        <w:rPr>
          <w:rFonts w:ascii="Times New Roman" w:hAnsi="Times New Roman" w:cs="Times New Roman"/>
          <w:color w:val="000000"/>
          <w:sz w:val="24"/>
          <w:szCs w:val="24"/>
        </w:rPr>
        <w:t>participants</w:t>
      </w:r>
      <w:r w:rsidR="000B42F5" w:rsidRPr="00543C27">
        <w:rPr>
          <w:rFonts w:ascii="Times New Roman" w:hAnsi="Times New Roman" w:cs="Times New Roman"/>
          <w:color w:val="000000"/>
          <w:sz w:val="24"/>
          <w:szCs w:val="24"/>
        </w:rPr>
        <w:t xml:space="preserve"> who </w:t>
      </w:r>
      <w:r w:rsidR="000B42F5">
        <w:rPr>
          <w:rFonts w:ascii="Times New Roman" w:hAnsi="Times New Roman" w:cs="Times New Roman"/>
          <w:color w:val="000000"/>
          <w:sz w:val="24"/>
          <w:szCs w:val="24"/>
        </w:rPr>
        <w:t>were</w:t>
      </w:r>
      <w:r w:rsidR="000B42F5" w:rsidRPr="00543C27">
        <w:rPr>
          <w:rFonts w:ascii="Times New Roman" w:hAnsi="Times New Roman" w:cs="Times New Roman"/>
          <w:color w:val="000000"/>
          <w:sz w:val="24"/>
          <w:szCs w:val="24"/>
        </w:rPr>
        <w:t xml:space="preserve"> using </w:t>
      </w:r>
      <w:r w:rsidR="000B42F5">
        <w:rPr>
          <w:rFonts w:ascii="Times New Roman" w:hAnsi="Times New Roman" w:cs="Times New Roman"/>
          <w:color w:val="000000"/>
          <w:sz w:val="24"/>
          <w:szCs w:val="24"/>
        </w:rPr>
        <w:t>test oil</w:t>
      </w:r>
      <w:r w:rsidR="000B42F5" w:rsidRPr="00543C27">
        <w:rPr>
          <w:rFonts w:ascii="Times New Roman" w:hAnsi="Times New Roman" w:cs="Times New Roman"/>
          <w:color w:val="000000"/>
          <w:sz w:val="24"/>
          <w:szCs w:val="24"/>
        </w:rPr>
        <w:t xml:space="preserve">, </w:t>
      </w:r>
      <w:r w:rsidR="000B42F5">
        <w:rPr>
          <w:rFonts w:ascii="Times New Roman" w:hAnsi="Times New Roman" w:cs="Times New Roman"/>
          <w:color w:val="000000"/>
          <w:sz w:val="24"/>
          <w:szCs w:val="24"/>
        </w:rPr>
        <w:t>17</w:t>
      </w:r>
      <w:r w:rsidR="000B42F5" w:rsidRPr="00543C27">
        <w:rPr>
          <w:rFonts w:ascii="Times New Roman" w:hAnsi="Times New Roman" w:cs="Times New Roman"/>
          <w:color w:val="000000"/>
          <w:sz w:val="24"/>
          <w:szCs w:val="24"/>
        </w:rPr>
        <w:t xml:space="preserve"> patients had successfully conceived, suggesting that the test </w:t>
      </w:r>
      <w:r w:rsidR="000B42F5">
        <w:rPr>
          <w:rFonts w:ascii="Times New Roman" w:hAnsi="Times New Roman" w:cs="Times New Roman"/>
          <w:color w:val="000000"/>
          <w:sz w:val="24"/>
          <w:szCs w:val="24"/>
        </w:rPr>
        <w:t>oil</w:t>
      </w:r>
      <w:r w:rsidR="000B42F5" w:rsidRPr="00543C27">
        <w:rPr>
          <w:rFonts w:ascii="Times New Roman" w:hAnsi="Times New Roman" w:cs="Times New Roman"/>
          <w:color w:val="000000"/>
          <w:sz w:val="24"/>
          <w:szCs w:val="24"/>
        </w:rPr>
        <w:t xml:space="preserve"> may help in treating PCOS induced anovulatory infertility.</w:t>
      </w:r>
    </w:p>
    <w:p w14:paraId="2D74753A" w14:textId="77777777" w:rsidR="001F52C5" w:rsidRPr="008C51C9" w:rsidRDefault="001F52C5" w:rsidP="001F52C5">
      <w:pPr>
        <w:spacing w:after="0" w:line="240" w:lineRule="auto"/>
        <w:jc w:val="both"/>
        <w:rPr>
          <w:rFonts w:ascii="Times New Roman" w:hAnsi="Times New Roman" w:cs="Times New Roman"/>
          <w:sz w:val="24"/>
          <w:szCs w:val="24"/>
        </w:rPr>
      </w:pPr>
    </w:p>
    <w:p w14:paraId="67C1EA6A" w14:textId="77777777" w:rsidR="00DF573A" w:rsidRPr="008C51C9" w:rsidRDefault="00DF573A" w:rsidP="001F52C5">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During the study, no AE was reported. No participant was withdrawn due to any AE.</w:t>
      </w:r>
    </w:p>
    <w:p w14:paraId="154AD521" w14:textId="77777777" w:rsidR="005C3BF2" w:rsidRDefault="005C3BF2" w:rsidP="005C3BF2">
      <w:pPr>
        <w:spacing w:after="0" w:line="240" w:lineRule="auto"/>
        <w:rPr>
          <w:rFonts w:ascii="Times New Roman" w:hAnsi="Times New Roman" w:cs="Times New Roman"/>
          <w:sz w:val="24"/>
          <w:szCs w:val="24"/>
        </w:rPr>
      </w:pPr>
    </w:p>
    <w:p w14:paraId="72DF06B0" w14:textId="77777777" w:rsidR="00543C27" w:rsidRPr="008C51C9" w:rsidRDefault="00543C27" w:rsidP="005C3BF2">
      <w:pPr>
        <w:spacing w:after="0" w:line="240" w:lineRule="auto"/>
        <w:rPr>
          <w:rFonts w:ascii="Times New Roman" w:hAnsi="Times New Roman" w:cs="Times New Roman"/>
          <w:sz w:val="24"/>
          <w:szCs w:val="24"/>
        </w:rPr>
      </w:pPr>
    </w:p>
    <w:p w14:paraId="71107483" w14:textId="77777777" w:rsidR="005C3BF2" w:rsidRPr="008C51C9" w:rsidRDefault="005C3BF2" w:rsidP="005C3BF2">
      <w:pPr>
        <w:spacing w:after="0" w:line="240" w:lineRule="auto"/>
        <w:rPr>
          <w:rFonts w:ascii="Times New Roman" w:hAnsi="Times New Roman" w:cs="Times New Roman"/>
          <w:b/>
          <w:bCs/>
          <w:sz w:val="28"/>
          <w:szCs w:val="28"/>
        </w:rPr>
      </w:pPr>
      <w:r w:rsidRPr="008C51C9">
        <w:rPr>
          <w:rFonts w:ascii="Times New Roman" w:hAnsi="Times New Roman" w:cs="Times New Roman"/>
          <w:b/>
          <w:bCs/>
          <w:sz w:val="28"/>
          <w:szCs w:val="28"/>
        </w:rPr>
        <w:t>Discussion</w:t>
      </w:r>
    </w:p>
    <w:p w14:paraId="1F52B90F" w14:textId="77777777" w:rsidR="000F4FEC" w:rsidRDefault="000F4FEC" w:rsidP="002B25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PCOS represented by various symptoms </w:t>
      </w:r>
      <w:r w:rsidR="00B912B1">
        <w:rPr>
          <w:rFonts w:ascii="Times New Roman" w:hAnsi="Times New Roman" w:cs="Times New Roman"/>
          <w:sz w:val="24"/>
          <w:szCs w:val="24"/>
        </w:rPr>
        <w:t xml:space="preserve">needs to be managed in a </w:t>
      </w:r>
      <w:r>
        <w:rPr>
          <w:rFonts w:ascii="Times New Roman" w:hAnsi="Times New Roman" w:cs="Times New Roman"/>
          <w:sz w:val="24"/>
          <w:szCs w:val="24"/>
        </w:rPr>
        <w:t>comprehensive</w:t>
      </w:r>
      <w:r w:rsidR="00B912B1">
        <w:rPr>
          <w:rFonts w:ascii="Times New Roman" w:hAnsi="Times New Roman" w:cs="Times New Roman"/>
          <w:sz w:val="24"/>
          <w:szCs w:val="24"/>
        </w:rPr>
        <w:t xml:space="preserve"> way </w:t>
      </w:r>
      <w:r>
        <w:rPr>
          <w:rFonts w:ascii="Times New Roman" w:hAnsi="Times New Roman" w:cs="Times New Roman"/>
          <w:sz w:val="24"/>
          <w:szCs w:val="24"/>
        </w:rPr>
        <w:t>rather than answering only a few symptoms. Besides traditional medicine, CAM may provide a more sustainable solution to PCOS. The</w:t>
      </w:r>
      <w:r w:rsidRPr="008C51C9">
        <w:rPr>
          <w:rFonts w:ascii="Times New Roman" w:hAnsi="Times New Roman" w:cs="Times New Roman"/>
          <w:sz w:val="24"/>
          <w:szCs w:val="24"/>
        </w:rPr>
        <w:t xml:space="preserve"> studies to measure effectiveness of </w:t>
      </w:r>
      <w:r>
        <w:rPr>
          <w:rFonts w:ascii="Times New Roman" w:hAnsi="Times New Roman" w:cs="Times New Roman"/>
          <w:sz w:val="24"/>
          <w:szCs w:val="24"/>
        </w:rPr>
        <w:t>CAM</w:t>
      </w:r>
      <w:r w:rsidRPr="008C51C9">
        <w:rPr>
          <w:rFonts w:ascii="Times New Roman" w:hAnsi="Times New Roman" w:cs="Times New Roman"/>
          <w:sz w:val="24"/>
          <w:szCs w:val="24"/>
        </w:rPr>
        <w:t xml:space="preserve"> are </w:t>
      </w:r>
      <w:r w:rsidR="00AF21E7">
        <w:rPr>
          <w:rFonts w:ascii="Times New Roman" w:hAnsi="Times New Roman" w:cs="Times New Roman"/>
          <w:sz w:val="24"/>
          <w:szCs w:val="24"/>
        </w:rPr>
        <w:t xml:space="preserve">majorly </w:t>
      </w:r>
      <w:r w:rsidRPr="008C51C9">
        <w:rPr>
          <w:rFonts w:ascii="Times New Roman" w:hAnsi="Times New Roman" w:cs="Times New Roman"/>
          <w:sz w:val="24"/>
          <w:szCs w:val="24"/>
        </w:rPr>
        <w:t>done on rat models</w:t>
      </w:r>
      <w:r w:rsidR="00AF21E7" w:rsidRPr="00AF21E7">
        <w:rPr>
          <w:rFonts w:ascii="Times New Roman" w:hAnsi="Times New Roman" w:cs="Times New Roman"/>
          <w:sz w:val="24"/>
          <w:szCs w:val="24"/>
          <w:vertAlign w:val="superscript"/>
        </w:rPr>
        <w:t>32,35,36</w:t>
      </w:r>
      <w:r w:rsidRPr="008C51C9">
        <w:rPr>
          <w:rFonts w:ascii="Times New Roman" w:hAnsi="Times New Roman" w:cs="Times New Roman"/>
          <w:sz w:val="24"/>
          <w:szCs w:val="24"/>
        </w:rPr>
        <w:t xml:space="preserve">. </w:t>
      </w:r>
      <w:r w:rsidR="00AF21E7">
        <w:rPr>
          <w:rFonts w:ascii="Times New Roman" w:hAnsi="Times New Roman" w:cs="Times New Roman"/>
          <w:sz w:val="24"/>
          <w:szCs w:val="24"/>
        </w:rPr>
        <w:t xml:space="preserve">Mentha </w:t>
      </w:r>
      <w:r w:rsidR="00F67D66">
        <w:rPr>
          <w:rFonts w:ascii="Times New Roman" w:hAnsi="Times New Roman" w:cs="Times New Roman"/>
          <w:sz w:val="24"/>
          <w:szCs w:val="24"/>
        </w:rPr>
        <w:t>s</w:t>
      </w:r>
      <w:r w:rsidR="00AF21E7">
        <w:rPr>
          <w:rFonts w:ascii="Times New Roman" w:hAnsi="Times New Roman" w:cs="Times New Roman"/>
          <w:sz w:val="24"/>
          <w:szCs w:val="24"/>
        </w:rPr>
        <w:t xml:space="preserve">picata is found effective in </w:t>
      </w:r>
      <w:r w:rsidR="00B912B1">
        <w:rPr>
          <w:rFonts w:ascii="Times New Roman" w:hAnsi="Times New Roman" w:cs="Times New Roman"/>
          <w:sz w:val="24"/>
          <w:szCs w:val="24"/>
        </w:rPr>
        <w:t>reinstatement</w:t>
      </w:r>
      <w:r w:rsidR="00AF21E7">
        <w:rPr>
          <w:rFonts w:ascii="Times New Roman" w:hAnsi="Times New Roman" w:cs="Times New Roman"/>
          <w:sz w:val="24"/>
          <w:szCs w:val="24"/>
        </w:rPr>
        <w:t xml:space="preserve"> of follicular development in rat ovarian tissues</w:t>
      </w:r>
      <w:r w:rsidR="00AF21E7" w:rsidRPr="00AF21E7">
        <w:rPr>
          <w:rFonts w:ascii="Times New Roman" w:hAnsi="Times New Roman" w:cs="Times New Roman"/>
          <w:sz w:val="24"/>
          <w:szCs w:val="24"/>
          <w:vertAlign w:val="superscript"/>
        </w:rPr>
        <w:t>32</w:t>
      </w:r>
      <w:r w:rsidR="00AF21E7">
        <w:rPr>
          <w:rFonts w:ascii="Times New Roman" w:hAnsi="Times New Roman" w:cs="Times New Roman"/>
          <w:sz w:val="24"/>
          <w:szCs w:val="24"/>
        </w:rPr>
        <w:t xml:space="preserve">. T. </w:t>
      </w:r>
      <w:proofErr w:type="spellStart"/>
      <w:r w:rsidR="00F67D66">
        <w:rPr>
          <w:rFonts w:ascii="Times New Roman" w:hAnsi="Times New Roman" w:cs="Times New Roman"/>
          <w:sz w:val="24"/>
          <w:szCs w:val="24"/>
        </w:rPr>
        <w:t>o</w:t>
      </w:r>
      <w:r w:rsidR="00AF21E7">
        <w:rPr>
          <w:rFonts w:ascii="Times New Roman" w:hAnsi="Times New Roman" w:cs="Times New Roman"/>
          <w:sz w:val="24"/>
          <w:szCs w:val="24"/>
        </w:rPr>
        <w:t>ccidentalis</w:t>
      </w:r>
      <w:proofErr w:type="spellEnd"/>
      <w:r w:rsidR="00AF21E7">
        <w:rPr>
          <w:rFonts w:ascii="Times New Roman" w:hAnsi="Times New Roman" w:cs="Times New Roman"/>
          <w:sz w:val="24"/>
          <w:szCs w:val="24"/>
        </w:rPr>
        <w:t xml:space="preserve"> essential oil is </w:t>
      </w:r>
      <w:r w:rsidR="00B912B1">
        <w:rPr>
          <w:rFonts w:ascii="Times New Roman" w:hAnsi="Times New Roman" w:cs="Times New Roman"/>
          <w:sz w:val="24"/>
          <w:szCs w:val="24"/>
        </w:rPr>
        <w:t xml:space="preserve">identified </w:t>
      </w:r>
      <w:r w:rsidR="00AF21E7">
        <w:rPr>
          <w:rFonts w:ascii="Times New Roman" w:hAnsi="Times New Roman" w:cs="Times New Roman"/>
          <w:sz w:val="24"/>
          <w:szCs w:val="24"/>
        </w:rPr>
        <w:t>to reduce ovarian cysts in rats without inducing osteoporosis</w:t>
      </w:r>
      <w:r w:rsidR="00AF21E7" w:rsidRPr="00AF21E7">
        <w:rPr>
          <w:rFonts w:ascii="Times New Roman" w:hAnsi="Times New Roman" w:cs="Times New Roman"/>
          <w:sz w:val="24"/>
          <w:szCs w:val="24"/>
          <w:vertAlign w:val="superscript"/>
        </w:rPr>
        <w:t>35</w:t>
      </w:r>
      <w:r w:rsidR="00AF21E7">
        <w:rPr>
          <w:rFonts w:ascii="Times New Roman" w:hAnsi="Times New Roman" w:cs="Times New Roman"/>
          <w:sz w:val="24"/>
          <w:szCs w:val="24"/>
        </w:rPr>
        <w:t>. Similarly</w:t>
      </w:r>
      <w:r w:rsidR="00B912B1">
        <w:rPr>
          <w:rFonts w:ascii="Times New Roman" w:hAnsi="Times New Roman" w:cs="Times New Roman"/>
          <w:sz w:val="24"/>
          <w:szCs w:val="24"/>
        </w:rPr>
        <w:t>,</w:t>
      </w:r>
      <w:r w:rsidR="00AF21E7">
        <w:rPr>
          <w:rFonts w:ascii="Times New Roman" w:hAnsi="Times New Roman" w:cs="Times New Roman"/>
          <w:sz w:val="24"/>
          <w:szCs w:val="24"/>
        </w:rPr>
        <w:t xml:space="preserve"> </w:t>
      </w:r>
      <w:r w:rsidR="00B912B1">
        <w:rPr>
          <w:rFonts w:ascii="Times New Roman" w:hAnsi="Times New Roman" w:cs="Times New Roman"/>
          <w:sz w:val="24"/>
          <w:szCs w:val="24"/>
        </w:rPr>
        <w:t xml:space="preserve">role of </w:t>
      </w:r>
      <w:r w:rsidR="00AF21E7">
        <w:rPr>
          <w:rFonts w:ascii="Times New Roman" w:hAnsi="Times New Roman" w:cs="Times New Roman"/>
          <w:sz w:val="24"/>
          <w:szCs w:val="24"/>
        </w:rPr>
        <w:t xml:space="preserve">Chamomile extract is </w:t>
      </w:r>
      <w:r w:rsidR="00B912B1">
        <w:rPr>
          <w:rFonts w:ascii="Times New Roman" w:hAnsi="Times New Roman" w:cs="Times New Roman"/>
          <w:sz w:val="24"/>
          <w:szCs w:val="24"/>
        </w:rPr>
        <w:t xml:space="preserve">studied </w:t>
      </w:r>
      <w:r w:rsidR="00AF21E7">
        <w:rPr>
          <w:rFonts w:ascii="Times New Roman" w:hAnsi="Times New Roman" w:cs="Times New Roman"/>
          <w:sz w:val="24"/>
          <w:szCs w:val="24"/>
        </w:rPr>
        <w:t>to reduce signs of PCOS in rat ovarian tissue</w:t>
      </w:r>
      <w:r w:rsidR="00AF21E7" w:rsidRPr="00AF21E7">
        <w:rPr>
          <w:rFonts w:ascii="Times New Roman" w:hAnsi="Times New Roman" w:cs="Times New Roman"/>
          <w:sz w:val="24"/>
          <w:szCs w:val="24"/>
          <w:vertAlign w:val="superscript"/>
        </w:rPr>
        <w:t>36</w:t>
      </w:r>
      <w:r w:rsidR="00AF21E7">
        <w:rPr>
          <w:rFonts w:ascii="Times New Roman" w:hAnsi="Times New Roman" w:cs="Times New Roman"/>
          <w:sz w:val="24"/>
          <w:szCs w:val="24"/>
        </w:rPr>
        <w:t>.</w:t>
      </w:r>
      <w:r w:rsidR="00AF21E7">
        <w:rPr>
          <w:rFonts w:ascii="Times New Roman" w:hAnsi="Times New Roman" w:cs="Times New Roman"/>
          <w:sz w:val="24"/>
          <w:szCs w:val="24"/>
          <w:vertAlign w:val="superscript"/>
        </w:rPr>
        <w:t xml:space="preserve"> </w:t>
      </w:r>
      <w:r w:rsidR="00B912B1">
        <w:rPr>
          <w:rFonts w:ascii="Times New Roman" w:hAnsi="Times New Roman" w:cs="Times New Roman"/>
          <w:sz w:val="24"/>
          <w:szCs w:val="24"/>
        </w:rPr>
        <w:t>One study with 15 PCOS women sample identified the role of Cinnamon extract on menstrual cycle through reduction in insulin resistance</w:t>
      </w:r>
      <w:r w:rsidR="00880413" w:rsidRPr="00880413">
        <w:rPr>
          <w:rFonts w:ascii="Times New Roman" w:hAnsi="Times New Roman" w:cs="Times New Roman"/>
          <w:sz w:val="24"/>
          <w:szCs w:val="24"/>
          <w:vertAlign w:val="superscript"/>
        </w:rPr>
        <w:t>31</w:t>
      </w:r>
      <w:r w:rsidR="00B912B1">
        <w:rPr>
          <w:rFonts w:ascii="Times New Roman" w:hAnsi="Times New Roman" w:cs="Times New Roman"/>
          <w:sz w:val="24"/>
          <w:szCs w:val="24"/>
        </w:rPr>
        <w:t xml:space="preserve">. </w:t>
      </w:r>
      <w:r w:rsidRPr="008C51C9">
        <w:rPr>
          <w:rFonts w:ascii="Times New Roman" w:hAnsi="Times New Roman" w:cs="Times New Roman"/>
          <w:sz w:val="24"/>
          <w:szCs w:val="24"/>
        </w:rPr>
        <w:t>Thus, there are al</w:t>
      </w:r>
      <w:r w:rsidR="00B912B1">
        <w:rPr>
          <w:rFonts w:ascii="Times New Roman" w:hAnsi="Times New Roman" w:cs="Times New Roman"/>
          <w:sz w:val="24"/>
          <w:szCs w:val="24"/>
        </w:rPr>
        <w:t>most</w:t>
      </w:r>
      <w:r w:rsidRPr="008C51C9">
        <w:rPr>
          <w:rFonts w:ascii="Times New Roman" w:hAnsi="Times New Roman" w:cs="Times New Roman"/>
          <w:sz w:val="24"/>
          <w:szCs w:val="24"/>
        </w:rPr>
        <w:t xml:space="preserve"> no human clinical trials to establish </w:t>
      </w:r>
      <w:r>
        <w:rPr>
          <w:rFonts w:ascii="Times New Roman" w:hAnsi="Times New Roman" w:cs="Times New Roman"/>
          <w:sz w:val="24"/>
          <w:szCs w:val="24"/>
        </w:rPr>
        <w:t>CAM</w:t>
      </w:r>
      <w:r w:rsidRPr="008C51C9">
        <w:rPr>
          <w:rFonts w:ascii="Times New Roman" w:hAnsi="Times New Roman" w:cs="Times New Roman"/>
          <w:sz w:val="24"/>
          <w:szCs w:val="24"/>
        </w:rPr>
        <w:t xml:space="preserve"> efficacy to manage PCOS</w:t>
      </w:r>
      <w:r w:rsidR="00B912B1">
        <w:rPr>
          <w:rFonts w:ascii="Times New Roman" w:hAnsi="Times New Roman" w:cs="Times New Roman"/>
          <w:sz w:val="24"/>
          <w:szCs w:val="24"/>
        </w:rPr>
        <w:t xml:space="preserve"> as a syndrome with multiple symptoms</w:t>
      </w:r>
      <w:r w:rsidRPr="008C51C9">
        <w:rPr>
          <w:rFonts w:ascii="Times New Roman" w:hAnsi="Times New Roman" w:cs="Times New Roman"/>
          <w:sz w:val="24"/>
          <w:szCs w:val="24"/>
        </w:rPr>
        <w:t>.</w:t>
      </w:r>
    </w:p>
    <w:p w14:paraId="4392247A" w14:textId="77777777" w:rsidR="00B912B1" w:rsidRDefault="00B912B1" w:rsidP="002B250B">
      <w:pPr>
        <w:spacing w:after="0" w:line="240" w:lineRule="auto"/>
        <w:jc w:val="both"/>
        <w:rPr>
          <w:rFonts w:ascii="Times New Roman" w:hAnsi="Times New Roman" w:cs="Times New Roman"/>
          <w:sz w:val="24"/>
          <w:szCs w:val="24"/>
        </w:rPr>
      </w:pPr>
    </w:p>
    <w:p w14:paraId="588E46B8" w14:textId="77777777" w:rsidR="00880413" w:rsidRDefault="00880413" w:rsidP="002B250B">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This study will be the one to study the effect of natural oil-blend on PCOS symptoms including both subjective and objective ones. </w:t>
      </w:r>
      <w:r w:rsidR="00052553" w:rsidRPr="008C51C9">
        <w:rPr>
          <w:rFonts w:ascii="Times New Roman" w:hAnsi="Times New Roman" w:cs="Times New Roman"/>
          <w:sz w:val="24"/>
          <w:szCs w:val="24"/>
        </w:rPr>
        <w:t>T</w:t>
      </w:r>
      <w:r w:rsidR="00CE278B" w:rsidRPr="008C51C9">
        <w:rPr>
          <w:rFonts w:ascii="Times New Roman" w:hAnsi="Times New Roman" w:cs="Times New Roman"/>
          <w:sz w:val="24"/>
          <w:szCs w:val="24"/>
        </w:rPr>
        <w:t xml:space="preserve">he test group experienced </w:t>
      </w:r>
      <w:r>
        <w:rPr>
          <w:rFonts w:ascii="Times New Roman" w:hAnsi="Times New Roman" w:cs="Times New Roman"/>
          <w:sz w:val="24"/>
          <w:szCs w:val="24"/>
        </w:rPr>
        <w:t xml:space="preserve">1. </w:t>
      </w:r>
      <w:r w:rsidR="00CE278B" w:rsidRPr="008C51C9">
        <w:rPr>
          <w:rFonts w:ascii="Times New Roman" w:hAnsi="Times New Roman" w:cs="Times New Roman"/>
          <w:sz w:val="24"/>
          <w:szCs w:val="24"/>
        </w:rPr>
        <w:t>a significant decline in the level of irregularity of their menstrual cycles</w:t>
      </w:r>
      <w:r>
        <w:rPr>
          <w:rFonts w:ascii="Times New Roman" w:hAnsi="Times New Roman" w:cs="Times New Roman"/>
          <w:sz w:val="24"/>
          <w:szCs w:val="24"/>
        </w:rPr>
        <w:t xml:space="preserve">, 2. a </w:t>
      </w:r>
      <w:r w:rsidR="003545FB" w:rsidRPr="008C51C9">
        <w:rPr>
          <w:rFonts w:ascii="Times New Roman" w:hAnsi="Times New Roman" w:cs="Times New Roman"/>
          <w:sz w:val="24"/>
          <w:szCs w:val="24"/>
        </w:rPr>
        <w:t xml:space="preserve">significant improvement for severe and moderate duration of </w:t>
      </w:r>
      <w:r w:rsidR="00F46B6C" w:rsidRPr="008C51C9">
        <w:rPr>
          <w:rFonts w:ascii="Times New Roman" w:hAnsi="Times New Roman" w:cs="Times New Roman"/>
          <w:sz w:val="24"/>
          <w:szCs w:val="24"/>
        </w:rPr>
        <w:t>bleeding</w:t>
      </w:r>
      <w:r w:rsidR="003545FB" w:rsidRPr="008C51C9">
        <w:rPr>
          <w:rFonts w:ascii="Times New Roman" w:hAnsi="Times New Roman" w:cs="Times New Roman"/>
          <w:sz w:val="24"/>
          <w:szCs w:val="24"/>
        </w:rPr>
        <w:t xml:space="preserve"> cycle</w:t>
      </w:r>
      <w:r>
        <w:rPr>
          <w:rFonts w:ascii="Times New Roman" w:hAnsi="Times New Roman" w:cs="Times New Roman"/>
          <w:sz w:val="24"/>
          <w:szCs w:val="24"/>
        </w:rPr>
        <w:t xml:space="preserve">, 3. </w:t>
      </w:r>
      <w:r w:rsidR="002B250B" w:rsidRPr="008C51C9">
        <w:rPr>
          <w:rFonts w:ascii="Times New Roman" w:hAnsi="Times New Roman" w:cs="Times New Roman"/>
          <w:sz w:val="24"/>
          <w:szCs w:val="24"/>
        </w:rPr>
        <w:t>a</w:t>
      </w:r>
      <w:r w:rsidR="009B6BC8" w:rsidRPr="008C51C9">
        <w:rPr>
          <w:rFonts w:ascii="Times New Roman" w:hAnsi="Times New Roman" w:cs="Times New Roman"/>
          <w:sz w:val="24"/>
          <w:szCs w:val="24"/>
        </w:rPr>
        <w:t xml:space="preserve"> shift from heavier to regular menstrual bleeding</w:t>
      </w:r>
      <w:r>
        <w:rPr>
          <w:rFonts w:ascii="Times New Roman" w:hAnsi="Times New Roman" w:cs="Times New Roman"/>
          <w:sz w:val="24"/>
          <w:szCs w:val="24"/>
        </w:rPr>
        <w:t xml:space="preserve">, 4. </w:t>
      </w:r>
      <w:r w:rsidR="002B250B" w:rsidRPr="008C51C9">
        <w:rPr>
          <w:rFonts w:ascii="Times New Roman" w:hAnsi="Times New Roman" w:cs="Times New Roman"/>
          <w:iCs/>
          <w:sz w:val="24"/>
          <w:szCs w:val="24"/>
        </w:rPr>
        <w:t>a</w:t>
      </w:r>
      <w:r w:rsidR="003545FB" w:rsidRPr="008C51C9">
        <w:rPr>
          <w:rFonts w:ascii="Times New Roman" w:hAnsi="Times New Roman" w:cs="Times New Roman"/>
          <w:iCs/>
          <w:sz w:val="24"/>
          <w:szCs w:val="24"/>
        </w:rPr>
        <w:t xml:space="preserve"> significant shift in experiencing severe menstrual pain to mild or no pain as compared to placebo.</w:t>
      </w:r>
      <w:r w:rsidR="00F46B6C" w:rsidRPr="008C51C9">
        <w:rPr>
          <w:rFonts w:ascii="Times New Roman" w:hAnsi="Times New Roman" w:cs="Times New Roman"/>
          <w:iCs/>
          <w:sz w:val="24"/>
          <w:szCs w:val="24"/>
        </w:rPr>
        <w:t xml:space="preserve"> Overall, it can be inferred that test oil has positive impact in managing subjective symptoms of PCOS.</w:t>
      </w:r>
      <w:r>
        <w:rPr>
          <w:rFonts w:ascii="Times New Roman" w:hAnsi="Times New Roman" w:cs="Times New Roman"/>
          <w:iCs/>
          <w:sz w:val="24"/>
          <w:szCs w:val="24"/>
        </w:rPr>
        <w:t xml:space="preserve"> With respect to objective parameters, t</w:t>
      </w:r>
      <w:r w:rsidRPr="008C51C9">
        <w:rPr>
          <w:rFonts w:ascii="Times New Roman" w:hAnsi="Times New Roman" w:cs="Times New Roman"/>
          <w:iCs/>
          <w:sz w:val="24"/>
          <w:szCs w:val="24"/>
        </w:rPr>
        <w:t>here</w:t>
      </w:r>
      <w:r w:rsidR="00543C27" w:rsidRPr="008C51C9">
        <w:rPr>
          <w:rFonts w:ascii="Times New Roman" w:hAnsi="Times New Roman" w:cs="Times New Roman"/>
          <w:iCs/>
          <w:sz w:val="24"/>
          <w:szCs w:val="24"/>
        </w:rPr>
        <w:t xml:space="preserve"> was a significant decrease in hirsutism symptom.</w:t>
      </w:r>
      <w:r w:rsidR="00543C27">
        <w:rPr>
          <w:rFonts w:ascii="Times New Roman" w:hAnsi="Times New Roman" w:cs="Times New Roman"/>
          <w:iCs/>
          <w:sz w:val="24"/>
          <w:szCs w:val="24"/>
        </w:rPr>
        <w:t xml:space="preserve"> </w:t>
      </w:r>
      <w:r w:rsidR="002B250B" w:rsidRPr="008C51C9">
        <w:rPr>
          <w:rFonts w:ascii="Times New Roman" w:hAnsi="Times New Roman" w:cs="Times New Roman"/>
          <w:iCs/>
          <w:sz w:val="24"/>
          <w:szCs w:val="24"/>
        </w:rPr>
        <w:t xml:space="preserve">The USG results after test </w:t>
      </w:r>
      <w:r w:rsidR="009502F3" w:rsidRPr="008C51C9">
        <w:rPr>
          <w:rFonts w:ascii="Times New Roman" w:hAnsi="Times New Roman" w:cs="Times New Roman"/>
          <w:iCs/>
          <w:sz w:val="24"/>
          <w:szCs w:val="24"/>
        </w:rPr>
        <w:t>oil</w:t>
      </w:r>
      <w:r w:rsidR="002B250B" w:rsidRPr="008C51C9">
        <w:rPr>
          <w:rFonts w:ascii="Times New Roman" w:hAnsi="Times New Roman" w:cs="Times New Roman"/>
          <w:iCs/>
          <w:sz w:val="24"/>
          <w:szCs w:val="24"/>
        </w:rPr>
        <w:t xml:space="preserve"> treatment have shown significant reduction in </w:t>
      </w:r>
      <w:r w:rsidR="009502F3" w:rsidRPr="008C51C9">
        <w:rPr>
          <w:rFonts w:ascii="Times New Roman" w:hAnsi="Times New Roman" w:cs="Times New Roman"/>
          <w:iCs/>
          <w:sz w:val="24"/>
          <w:szCs w:val="24"/>
        </w:rPr>
        <w:t xml:space="preserve">ovarian </w:t>
      </w:r>
      <w:r w:rsidR="002B250B" w:rsidRPr="008C51C9">
        <w:rPr>
          <w:rFonts w:ascii="Times New Roman" w:hAnsi="Times New Roman" w:cs="Times New Roman"/>
          <w:iCs/>
          <w:sz w:val="24"/>
          <w:szCs w:val="24"/>
        </w:rPr>
        <w:t xml:space="preserve">volume as well as reduction is follicular cysts of both right and left ovaries. </w:t>
      </w:r>
      <w:r w:rsidR="009502F3" w:rsidRPr="008C51C9">
        <w:rPr>
          <w:rFonts w:ascii="Times New Roman" w:hAnsi="Times New Roman" w:cs="Times New Roman"/>
          <w:iCs/>
          <w:sz w:val="24"/>
          <w:szCs w:val="24"/>
        </w:rPr>
        <w:t xml:space="preserve">A </w:t>
      </w:r>
      <w:r w:rsidR="009502F3" w:rsidRPr="008C51C9">
        <w:rPr>
          <w:rFonts w:ascii="Times New Roman" w:hAnsi="Times New Roman" w:cs="Times New Roman"/>
          <w:iCs/>
          <w:sz w:val="24"/>
          <w:szCs w:val="24"/>
        </w:rPr>
        <w:lastRenderedPageBreak/>
        <w:t>significant increase in maturing follicles indicate increase</w:t>
      </w:r>
      <w:r w:rsidR="00F46B6C" w:rsidRPr="008C51C9">
        <w:rPr>
          <w:rFonts w:ascii="Times New Roman" w:hAnsi="Times New Roman" w:cs="Times New Roman"/>
          <w:iCs/>
          <w:sz w:val="24"/>
          <w:szCs w:val="24"/>
        </w:rPr>
        <w:t>d</w:t>
      </w:r>
      <w:r w:rsidR="009502F3" w:rsidRPr="008C51C9">
        <w:rPr>
          <w:rFonts w:ascii="Times New Roman" w:hAnsi="Times New Roman" w:cs="Times New Roman"/>
          <w:iCs/>
          <w:sz w:val="24"/>
          <w:szCs w:val="24"/>
        </w:rPr>
        <w:t xml:space="preserve"> chances of ovulation which may lead to </w:t>
      </w:r>
      <w:r w:rsidR="000C3954" w:rsidRPr="008C51C9">
        <w:rPr>
          <w:rFonts w:ascii="Times New Roman" w:hAnsi="Times New Roman" w:cs="Times New Roman"/>
          <w:iCs/>
          <w:sz w:val="24"/>
          <w:szCs w:val="24"/>
        </w:rPr>
        <w:t xml:space="preserve">improved </w:t>
      </w:r>
      <w:r w:rsidR="009502F3" w:rsidRPr="008C51C9">
        <w:rPr>
          <w:rFonts w:ascii="Times New Roman" w:hAnsi="Times New Roman" w:cs="Times New Roman"/>
          <w:iCs/>
          <w:sz w:val="24"/>
          <w:szCs w:val="24"/>
        </w:rPr>
        <w:t xml:space="preserve">fertility in women suffering from PCOS. </w:t>
      </w:r>
      <w:r w:rsidR="00543C27">
        <w:rPr>
          <w:rFonts w:ascii="Times New Roman" w:hAnsi="Times New Roman" w:cs="Times New Roman"/>
          <w:iCs/>
          <w:sz w:val="24"/>
          <w:szCs w:val="24"/>
        </w:rPr>
        <w:t xml:space="preserve">In a 6-month follow up nearly 38% patients had successfully conceived. </w:t>
      </w:r>
      <w:r w:rsidR="002B250B" w:rsidRPr="008C51C9">
        <w:rPr>
          <w:rFonts w:ascii="Times New Roman" w:hAnsi="Times New Roman" w:cs="Times New Roman"/>
          <w:iCs/>
          <w:sz w:val="24"/>
          <w:szCs w:val="24"/>
        </w:rPr>
        <w:t xml:space="preserve"> </w:t>
      </w:r>
    </w:p>
    <w:p w14:paraId="653BD7FC" w14:textId="77777777" w:rsidR="00880413" w:rsidRDefault="00880413" w:rsidP="002B250B">
      <w:pPr>
        <w:spacing w:after="0" w:line="240" w:lineRule="auto"/>
        <w:jc w:val="both"/>
        <w:rPr>
          <w:rFonts w:ascii="Times New Roman" w:hAnsi="Times New Roman" w:cs="Times New Roman"/>
          <w:iCs/>
          <w:sz w:val="24"/>
          <w:szCs w:val="24"/>
        </w:rPr>
      </w:pPr>
    </w:p>
    <w:p w14:paraId="43D9C1E7" w14:textId="6F269279" w:rsidR="007E07CF" w:rsidRPr="008C51C9" w:rsidRDefault="00880413" w:rsidP="002B250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promising results indicate that the test oil can be considered for PCOS management. Nonetheless, the results can’t be generalized considering </w:t>
      </w:r>
      <w:r w:rsidR="004B27BC">
        <w:rPr>
          <w:rFonts w:ascii="Times New Roman" w:hAnsi="Times New Roman" w:cs="Times New Roman"/>
          <w:iCs/>
          <w:sz w:val="24"/>
          <w:szCs w:val="24"/>
        </w:rPr>
        <w:t xml:space="preserve">various physiological parameters with patients and may be further explored. </w:t>
      </w:r>
      <w:r w:rsidR="002B250B" w:rsidRPr="008C51C9">
        <w:rPr>
          <w:rFonts w:ascii="Times New Roman" w:hAnsi="Times New Roman" w:cs="Times New Roman"/>
          <w:iCs/>
          <w:sz w:val="24"/>
          <w:szCs w:val="24"/>
        </w:rPr>
        <w:t xml:space="preserve"> </w:t>
      </w:r>
    </w:p>
    <w:p w14:paraId="13F08F37" w14:textId="77777777" w:rsidR="007E07CF" w:rsidRDefault="007E07CF" w:rsidP="002B250B">
      <w:pPr>
        <w:spacing w:after="0" w:line="240" w:lineRule="auto"/>
        <w:jc w:val="both"/>
        <w:rPr>
          <w:rFonts w:ascii="Times New Roman" w:hAnsi="Times New Roman" w:cs="Times New Roman"/>
          <w:iCs/>
          <w:sz w:val="24"/>
          <w:szCs w:val="24"/>
        </w:rPr>
      </w:pPr>
    </w:p>
    <w:p w14:paraId="204976D8" w14:textId="77777777" w:rsidR="008F71E9" w:rsidRDefault="008F71E9" w:rsidP="002B250B">
      <w:pPr>
        <w:spacing w:after="0" w:line="240" w:lineRule="auto"/>
        <w:jc w:val="both"/>
        <w:rPr>
          <w:rFonts w:ascii="Times New Roman" w:hAnsi="Times New Roman" w:cs="Times New Roman"/>
          <w:b/>
          <w:bCs/>
          <w:iCs/>
          <w:sz w:val="28"/>
          <w:szCs w:val="28"/>
        </w:rPr>
      </w:pPr>
    </w:p>
    <w:p w14:paraId="0EB2F1B9" w14:textId="79251FFF" w:rsidR="007C1659" w:rsidRPr="00C27150" w:rsidRDefault="007C1659" w:rsidP="002B250B">
      <w:pPr>
        <w:spacing w:after="0" w:line="240" w:lineRule="auto"/>
        <w:jc w:val="both"/>
        <w:rPr>
          <w:rFonts w:ascii="Times New Roman" w:hAnsi="Times New Roman" w:cs="Times New Roman"/>
          <w:iCs/>
          <w:sz w:val="28"/>
          <w:szCs w:val="28"/>
        </w:rPr>
      </w:pPr>
      <w:r w:rsidRPr="00C27150">
        <w:rPr>
          <w:rFonts w:ascii="Times New Roman" w:hAnsi="Times New Roman" w:cs="Times New Roman"/>
          <w:b/>
          <w:bCs/>
          <w:iCs/>
          <w:sz w:val="28"/>
          <w:szCs w:val="28"/>
        </w:rPr>
        <w:t>Conclusion</w:t>
      </w:r>
    </w:p>
    <w:p w14:paraId="01EFF74A" w14:textId="77777777" w:rsidR="007C1659" w:rsidRPr="008C51C9" w:rsidRDefault="007C1659" w:rsidP="007C1659">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This study is the one to assess the effectiveness of topical application of 100% plant-extract based natural oil</w:t>
      </w:r>
      <w:r>
        <w:rPr>
          <w:rFonts w:ascii="Times New Roman" w:hAnsi="Times New Roman" w:cs="Times New Roman"/>
          <w:sz w:val="24"/>
          <w:szCs w:val="24"/>
        </w:rPr>
        <w:t>-</w:t>
      </w:r>
      <w:r w:rsidRPr="008C51C9">
        <w:rPr>
          <w:rFonts w:ascii="Times New Roman" w:hAnsi="Times New Roman" w:cs="Times New Roman"/>
          <w:sz w:val="24"/>
          <w:szCs w:val="24"/>
        </w:rPr>
        <w:t>blend on the management of PCOS. There is nothing to ingest and only topical application is required. The test oil</w:t>
      </w:r>
      <w:r w:rsidR="00F67D66">
        <w:rPr>
          <w:rFonts w:ascii="Times New Roman" w:hAnsi="Times New Roman" w:cs="Times New Roman"/>
          <w:sz w:val="24"/>
          <w:szCs w:val="24"/>
        </w:rPr>
        <w:t>-</w:t>
      </w:r>
      <w:r w:rsidRPr="008C51C9">
        <w:rPr>
          <w:rFonts w:ascii="Times New Roman" w:hAnsi="Times New Roman" w:cs="Times New Roman"/>
          <w:sz w:val="24"/>
          <w:szCs w:val="24"/>
        </w:rPr>
        <w:t xml:space="preserve">blend is </w:t>
      </w:r>
      <w:r w:rsidR="00465811">
        <w:rPr>
          <w:rFonts w:ascii="Times New Roman" w:hAnsi="Times New Roman" w:cs="Times New Roman"/>
          <w:sz w:val="24"/>
          <w:szCs w:val="24"/>
        </w:rPr>
        <w:t xml:space="preserve">found effective </w:t>
      </w:r>
      <w:r w:rsidRPr="008C51C9">
        <w:rPr>
          <w:rFonts w:ascii="Times New Roman" w:hAnsi="Times New Roman" w:cs="Times New Roman"/>
          <w:sz w:val="24"/>
          <w:szCs w:val="24"/>
        </w:rPr>
        <w:t>to manage the syndrome by and large and effectively manage</w:t>
      </w:r>
      <w:r w:rsidR="00465811">
        <w:rPr>
          <w:rFonts w:ascii="Times New Roman" w:hAnsi="Times New Roman" w:cs="Times New Roman"/>
          <w:sz w:val="24"/>
          <w:szCs w:val="24"/>
        </w:rPr>
        <w:t>d</w:t>
      </w:r>
      <w:r w:rsidRPr="008C51C9">
        <w:rPr>
          <w:rFonts w:ascii="Times New Roman" w:hAnsi="Times New Roman" w:cs="Times New Roman"/>
          <w:sz w:val="24"/>
          <w:szCs w:val="24"/>
        </w:rPr>
        <w:t xml:space="preserve"> a number of symptoms of PCOS rather than working on isolated symptoms of PCOS. The cost effectiveness is not directly measured in the study but significant cost effectiveness is evident considering the cost of hospitalization, medicines among others plus huge cost of physical and psychological discomfort to patients suffering from PCOS. </w:t>
      </w:r>
    </w:p>
    <w:p w14:paraId="6DEE8462" w14:textId="77777777" w:rsidR="007C1659" w:rsidRPr="008C51C9" w:rsidRDefault="007C1659" w:rsidP="002B250B">
      <w:pPr>
        <w:spacing w:after="0" w:line="240" w:lineRule="auto"/>
        <w:jc w:val="both"/>
        <w:rPr>
          <w:rFonts w:ascii="Times New Roman" w:hAnsi="Times New Roman" w:cs="Times New Roman"/>
          <w:iCs/>
          <w:sz w:val="24"/>
          <w:szCs w:val="24"/>
        </w:rPr>
      </w:pPr>
    </w:p>
    <w:p w14:paraId="72598DC6" w14:textId="77777777" w:rsidR="005C3BF2" w:rsidRDefault="005C3BF2" w:rsidP="005C3BF2">
      <w:pPr>
        <w:spacing w:after="0" w:line="240" w:lineRule="auto"/>
        <w:rPr>
          <w:rFonts w:ascii="Times New Roman" w:hAnsi="Times New Roman" w:cs="Times New Roman"/>
          <w:sz w:val="24"/>
          <w:szCs w:val="24"/>
        </w:rPr>
      </w:pPr>
    </w:p>
    <w:p w14:paraId="71AC0C98"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Acknowledgements</w:t>
      </w:r>
    </w:p>
    <w:p w14:paraId="706C1DCD" w14:textId="77777777" w:rsidR="00F67D66" w:rsidRDefault="00F67D66" w:rsidP="00791D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author is thankful to the study participants.</w:t>
      </w:r>
    </w:p>
    <w:p w14:paraId="7EC038AE" w14:textId="77777777" w:rsidR="004C4683" w:rsidRPr="008C51C9" w:rsidRDefault="004C4683" w:rsidP="004C4683">
      <w:pPr>
        <w:spacing w:after="0" w:line="240" w:lineRule="auto"/>
        <w:rPr>
          <w:rFonts w:ascii="Times New Roman" w:hAnsi="Times New Roman" w:cs="Times New Roman"/>
          <w:sz w:val="24"/>
          <w:szCs w:val="24"/>
        </w:rPr>
      </w:pPr>
    </w:p>
    <w:p w14:paraId="2F4B6B1D" w14:textId="77777777" w:rsidR="004C4683" w:rsidRPr="008C51C9" w:rsidRDefault="004C4683" w:rsidP="004C4683">
      <w:pPr>
        <w:spacing w:after="0" w:line="240" w:lineRule="auto"/>
        <w:rPr>
          <w:rFonts w:ascii="Times New Roman" w:hAnsi="Times New Roman" w:cs="Times New Roman"/>
          <w:sz w:val="24"/>
          <w:szCs w:val="24"/>
        </w:rPr>
      </w:pPr>
    </w:p>
    <w:p w14:paraId="7B5913C5"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References</w:t>
      </w:r>
    </w:p>
    <w:p w14:paraId="23585D69"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w:t>
      </w:r>
      <w:r w:rsidRPr="008C51C9">
        <w:rPr>
          <w:rFonts w:ascii="Times New Roman" w:hAnsi="Times New Roman" w:cs="Times New Roman"/>
          <w:sz w:val="24"/>
          <w:szCs w:val="24"/>
        </w:rPr>
        <w:tab/>
        <w:t>Evans TN</w:t>
      </w:r>
      <w:r w:rsidR="007501ED" w:rsidRPr="008C51C9">
        <w:rPr>
          <w:rFonts w:ascii="Times New Roman" w:hAnsi="Times New Roman" w:cs="Times New Roman"/>
          <w:sz w:val="24"/>
          <w:szCs w:val="24"/>
        </w:rPr>
        <w:t>,</w:t>
      </w:r>
      <w:r w:rsidRPr="008C51C9">
        <w:rPr>
          <w:rFonts w:ascii="Times New Roman" w:hAnsi="Times New Roman" w:cs="Times New Roman"/>
          <w:sz w:val="24"/>
          <w:szCs w:val="24"/>
        </w:rPr>
        <w:t xml:space="preserve"> Riley GM. Polycystic ovarian disease (Stein-Leventhal syndrome)</w:t>
      </w:r>
      <w:r w:rsidR="00FC185A" w:rsidRPr="008C51C9">
        <w:rPr>
          <w:rFonts w:ascii="Times New Roman" w:hAnsi="Times New Roman" w:cs="Times New Roman"/>
          <w:sz w:val="24"/>
          <w:szCs w:val="24"/>
        </w:rPr>
        <w:t>:</w:t>
      </w:r>
      <w:r w:rsidRPr="008C51C9">
        <w:rPr>
          <w:rFonts w:ascii="Times New Roman" w:hAnsi="Times New Roman" w:cs="Times New Roman"/>
          <w:sz w:val="24"/>
          <w:szCs w:val="24"/>
        </w:rPr>
        <w:t xml:space="preserve"> </w:t>
      </w:r>
      <w:proofErr w:type="spellStart"/>
      <w:r w:rsidRPr="008C51C9">
        <w:rPr>
          <w:rFonts w:ascii="Times New Roman" w:hAnsi="Times New Roman" w:cs="Times New Roman"/>
          <w:sz w:val="24"/>
          <w:szCs w:val="24"/>
        </w:rPr>
        <w:t>etiology</w:t>
      </w:r>
      <w:proofErr w:type="spellEnd"/>
      <w:r w:rsidRPr="008C51C9">
        <w:rPr>
          <w:rFonts w:ascii="Times New Roman" w:hAnsi="Times New Roman" w:cs="Times New Roman"/>
          <w:sz w:val="24"/>
          <w:szCs w:val="24"/>
        </w:rPr>
        <w:t xml:space="preserve"> and rationale for surgical treatment. </w:t>
      </w:r>
      <w:r w:rsidRPr="008C51C9">
        <w:rPr>
          <w:rFonts w:ascii="Times New Roman" w:hAnsi="Times New Roman" w:cs="Times New Roman"/>
          <w:i/>
          <w:iCs/>
          <w:sz w:val="24"/>
          <w:szCs w:val="24"/>
        </w:rPr>
        <w:t>Obstet. Gynecol.</w:t>
      </w:r>
      <w:r w:rsidR="00FC185A" w:rsidRPr="008C51C9">
        <w:rPr>
          <w:rFonts w:ascii="Times New Roman" w:hAnsi="Times New Roman" w:cs="Times New Roman"/>
          <w:sz w:val="24"/>
          <w:szCs w:val="24"/>
        </w:rPr>
        <w:t xml:space="preserve"> 1958; </w:t>
      </w:r>
      <w:r w:rsidRPr="008C51C9">
        <w:rPr>
          <w:rFonts w:ascii="Times New Roman" w:hAnsi="Times New Roman" w:cs="Times New Roman"/>
          <w:b/>
          <w:bCs/>
          <w:sz w:val="24"/>
          <w:szCs w:val="24"/>
        </w:rPr>
        <w:t>12</w:t>
      </w:r>
      <w:r w:rsidR="00FC185A"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168–179.</w:t>
      </w:r>
    </w:p>
    <w:p w14:paraId="10044DE7"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Pr="008C51C9">
        <w:rPr>
          <w:rFonts w:ascii="Times New Roman" w:hAnsi="Times New Roman" w:cs="Times New Roman"/>
          <w:sz w:val="24"/>
          <w:szCs w:val="24"/>
        </w:rPr>
        <w:tab/>
      </w:r>
      <w:proofErr w:type="spellStart"/>
      <w:r w:rsidR="00FC185A" w:rsidRPr="008C51C9">
        <w:rPr>
          <w:rFonts w:ascii="Times New Roman" w:hAnsi="Times New Roman" w:cs="Times New Roman"/>
          <w:sz w:val="24"/>
          <w:szCs w:val="24"/>
        </w:rPr>
        <w:t>Azziz</w:t>
      </w:r>
      <w:proofErr w:type="spellEnd"/>
      <w:r w:rsidR="00FC185A" w:rsidRPr="008C51C9">
        <w:rPr>
          <w:rFonts w:ascii="Times New Roman" w:hAnsi="Times New Roman" w:cs="Times New Roman"/>
          <w:sz w:val="24"/>
          <w:szCs w:val="24"/>
        </w:rPr>
        <w:t xml:space="preserve"> R, Woods KS, Reyna R, et al.</w:t>
      </w:r>
      <w:r w:rsidRPr="008C51C9">
        <w:rPr>
          <w:rFonts w:ascii="Times New Roman" w:hAnsi="Times New Roman" w:cs="Times New Roman"/>
          <w:sz w:val="24"/>
          <w:szCs w:val="24"/>
        </w:rPr>
        <w:t xml:space="preserve"> The prevalence and features of the polycystic ovary syndrome in an unselected population. </w:t>
      </w:r>
      <w:r w:rsidRPr="008C51C9">
        <w:rPr>
          <w:rFonts w:ascii="Times New Roman" w:hAnsi="Times New Roman" w:cs="Times New Roman"/>
          <w:i/>
          <w:iCs/>
          <w:sz w:val="24"/>
          <w:szCs w:val="24"/>
        </w:rPr>
        <w:t xml:space="preserve">J. Clin. Endocrinol. </w:t>
      </w:r>
      <w:proofErr w:type="spellStart"/>
      <w:r w:rsidRPr="008C51C9">
        <w:rPr>
          <w:rFonts w:ascii="Times New Roman" w:hAnsi="Times New Roman" w:cs="Times New Roman"/>
          <w:i/>
          <w:iCs/>
          <w:sz w:val="24"/>
          <w:szCs w:val="24"/>
        </w:rPr>
        <w:t>Metab</w:t>
      </w:r>
      <w:proofErr w:type="spellEnd"/>
      <w:r w:rsidRPr="008C51C9">
        <w:rPr>
          <w:rFonts w:ascii="Times New Roman" w:hAnsi="Times New Roman" w:cs="Times New Roman"/>
          <w:i/>
          <w:iCs/>
          <w:sz w:val="24"/>
          <w:szCs w:val="24"/>
        </w:rPr>
        <w:t>.</w:t>
      </w:r>
      <w:r w:rsidR="00FC185A" w:rsidRPr="008C51C9">
        <w:rPr>
          <w:rFonts w:ascii="Times New Roman" w:hAnsi="Times New Roman" w:cs="Times New Roman"/>
          <w:sz w:val="24"/>
          <w:szCs w:val="24"/>
        </w:rPr>
        <w:t xml:space="preserve"> 2004; </w:t>
      </w:r>
      <w:r w:rsidRPr="008C51C9">
        <w:rPr>
          <w:rFonts w:ascii="Times New Roman" w:hAnsi="Times New Roman" w:cs="Times New Roman"/>
          <w:b/>
          <w:bCs/>
          <w:sz w:val="24"/>
          <w:szCs w:val="24"/>
        </w:rPr>
        <w:t>89</w:t>
      </w:r>
      <w:r w:rsidR="00FC185A"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2745–2749.</w:t>
      </w:r>
    </w:p>
    <w:p w14:paraId="102D58B5"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Pr="008C51C9">
        <w:rPr>
          <w:rFonts w:ascii="Times New Roman" w:hAnsi="Times New Roman" w:cs="Times New Roman"/>
          <w:sz w:val="24"/>
          <w:szCs w:val="24"/>
        </w:rPr>
        <w:tab/>
      </w:r>
      <w:proofErr w:type="spellStart"/>
      <w:r w:rsidRPr="008C51C9">
        <w:rPr>
          <w:rFonts w:ascii="Times New Roman" w:hAnsi="Times New Roman" w:cs="Times New Roman"/>
          <w:sz w:val="24"/>
          <w:szCs w:val="24"/>
        </w:rPr>
        <w:t>Yildiz</w:t>
      </w:r>
      <w:proofErr w:type="spellEnd"/>
      <w:r w:rsidRPr="008C51C9">
        <w:rPr>
          <w:rFonts w:ascii="Times New Roman" w:hAnsi="Times New Roman" w:cs="Times New Roman"/>
          <w:sz w:val="24"/>
          <w:szCs w:val="24"/>
        </w:rPr>
        <w:t xml:space="preserve"> BO, </w:t>
      </w:r>
      <w:proofErr w:type="spellStart"/>
      <w:r w:rsidRPr="008C51C9">
        <w:rPr>
          <w:rFonts w:ascii="Times New Roman" w:hAnsi="Times New Roman" w:cs="Times New Roman"/>
          <w:sz w:val="24"/>
          <w:szCs w:val="24"/>
        </w:rPr>
        <w:t>Bozdag</w:t>
      </w:r>
      <w:proofErr w:type="spellEnd"/>
      <w:r w:rsidRPr="008C51C9">
        <w:rPr>
          <w:rFonts w:ascii="Times New Roman" w:hAnsi="Times New Roman" w:cs="Times New Roman"/>
          <w:sz w:val="24"/>
          <w:szCs w:val="24"/>
        </w:rPr>
        <w:t xml:space="preserve"> G, </w:t>
      </w:r>
      <w:proofErr w:type="spellStart"/>
      <w:r w:rsidRPr="008C51C9">
        <w:rPr>
          <w:rFonts w:ascii="Times New Roman" w:hAnsi="Times New Roman" w:cs="Times New Roman"/>
          <w:sz w:val="24"/>
          <w:szCs w:val="24"/>
        </w:rPr>
        <w:t>Yapici</w:t>
      </w:r>
      <w:proofErr w:type="spellEnd"/>
      <w:r w:rsidRPr="008C51C9">
        <w:rPr>
          <w:rFonts w:ascii="Times New Roman" w:hAnsi="Times New Roman" w:cs="Times New Roman"/>
          <w:sz w:val="24"/>
          <w:szCs w:val="24"/>
        </w:rPr>
        <w:t xml:space="preserve"> Z, </w:t>
      </w:r>
      <w:proofErr w:type="spellStart"/>
      <w:r w:rsidRPr="008C51C9">
        <w:rPr>
          <w:rFonts w:ascii="Times New Roman" w:hAnsi="Times New Roman" w:cs="Times New Roman"/>
          <w:sz w:val="24"/>
          <w:szCs w:val="24"/>
        </w:rPr>
        <w:t>Esinler</w:t>
      </w:r>
      <w:proofErr w:type="spellEnd"/>
      <w:r w:rsidRPr="008C51C9">
        <w:rPr>
          <w:rFonts w:ascii="Times New Roman" w:hAnsi="Times New Roman" w:cs="Times New Roman"/>
          <w:sz w:val="24"/>
          <w:szCs w:val="24"/>
        </w:rPr>
        <w:t xml:space="preserve"> I</w:t>
      </w:r>
      <w:r w:rsidR="00FC185A" w:rsidRPr="008C51C9">
        <w:rPr>
          <w:rFonts w:ascii="Times New Roman" w:hAnsi="Times New Roman" w:cs="Times New Roman"/>
          <w:sz w:val="24"/>
          <w:szCs w:val="24"/>
        </w:rPr>
        <w:t>,</w:t>
      </w:r>
      <w:r w:rsidRPr="008C51C9">
        <w:rPr>
          <w:rFonts w:ascii="Times New Roman" w:hAnsi="Times New Roman" w:cs="Times New Roman"/>
          <w:sz w:val="24"/>
          <w:szCs w:val="24"/>
        </w:rPr>
        <w:t xml:space="preserve"> </w:t>
      </w:r>
      <w:proofErr w:type="spellStart"/>
      <w:r w:rsidRPr="008C51C9">
        <w:rPr>
          <w:rFonts w:ascii="Times New Roman" w:hAnsi="Times New Roman" w:cs="Times New Roman"/>
          <w:sz w:val="24"/>
          <w:szCs w:val="24"/>
        </w:rPr>
        <w:t>Yarali</w:t>
      </w:r>
      <w:proofErr w:type="spellEnd"/>
      <w:r w:rsidRPr="008C51C9">
        <w:rPr>
          <w:rFonts w:ascii="Times New Roman" w:hAnsi="Times New Roman" w:cs="Times New Roman"/>
          <w:sz w:val="24"/>
          <w:szCs w:val="24"/>
        </w:rPr>
        <w:t xml:space="preserve">, H. Prevalence, phenotype and cardiometabolic risk of polycystic ovary syndrome under different diagnostic criteria. </w:t>
      </w:r>
      <w:r w:rsidRPr="008C51C9">
        <w:rPr>
          <w:rFonts w:ascii="Times New Roman" w:hAnsi="Times New Roman" w:cs="Times New Roman"/>
          <w:i/>
          <w:iCs/>
          <w:sz w:val="24"/>
          <w:szCs w:val="24"/>
        </w:rPr>
        <w:t xml:space="preserve">Hum. </w:t>
      </w:r>
      <w:proofErr w:type="spellStart"/>
      <w:r w:rsidRPr="008C51C9">
        <w:rPr>
          <w:rFonts w:ascii="Times New Roman" w:hAnsi="Times New Roman" w:cs="Times New Roman"/>
          <w:i/>
          <w:iCs/>
          <w:sz w:val="24"/>
          <w:szCs w:val="24"/>
        </w:rPr>
        <w:t>Reprod</w:t>
      </w:r>
      <w:proofErr w:type="spellEnd"/>
      <w:r w:rsidRPr="008C51C9">
        <w:rPr>
          <w:rFonts w:ascii="Times New Roman" w:hAnsi="Times New Roman" w:cs="Times New Roman"/>
          <w:i/>
          <w:iCs/>
          <w:sz w:val="24"/>
          <w:szCs w:val="24"/>
        </w:rPr>
        <w:t>.</w:t>
      </w:r>
      <w:r w:rsidR="00FC185A" w:rsidRPr="008C51C9">
        <w:rPr>
          <w:rFonts w:ascii="Times New Roman" w:hAnsi="Times New Roman" w:cs="Times New Roman"/>
          <w:sz w:val="24"/>
          <w:szCs w:val="24"/>
        </w:rPr>
        <w:t xml:space="preserve"> 2012; </w:t>
      </w:r>
      <w:r w:rsidRPr="008C51C9">
        <w:rPr>
          <w:rFonts w:ascii="Times New Roman" w:hAnsi="Times New Roman" w:cs="Times New Roman"/>
          <w:b/>
          <w:bCs/>
          <w:sz w:val="24"/>
          <w:szCs w:val="24"/>
        </w:rPr>
        <w:t>27</w:t>
      </w:r>
      <w:r w:rsidR="00FC185A"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3067–3073.</w:t>
      </w:r>
    </w:p>
    <w:p w14:paraId="36B0DDAA"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4.</w:t>
      </w:r>
      <w:r w:rsidRPr="008C51C9">
        <w:rPr>
          <w:rFonts w:ascii="Times New Roman" w:hAnsi="Times New Roman" w:cs="Times New Roman"/>
          <w:sz w:val="24"/>
          <w:szCs w:val="24"/>
        </w:rPr>
        <w:tab/>
        <w:t xml:space="preserve">El Hayek S, </w:t>
      </w:r>
      <w:proofErr w:type="spellStart"/>
      <w:r w:rsidRPr="008C51C9">
        <w:rPr>
          <w:rFonts w:ascii="Times New Roman" w:hAnsi="Times New Roman" w:cs="Times New Roman"/>
          <w:sz w:val="24"/>
          <w:szCs w:val="24"/>
        </w:rPr>
        <w:t>Bitar</w:t>
      </w:r>
      <w:proofErr w:type="spellEnd"/>
      <w:r w:rsidRPr="008C51C9">
        <w:rPr>
          <w:rFonts w:ascii="Times New Roman" w:hAnsi="Times New Roman" w:cs="Times New Roman"/>
          <w:sz w:val="24"/>
          <w:szCs w:val="24"/>
        </w:rPr>
        <w:t xml:space="preserve"> L, </w:t>
      </w:r>
      <w:proofErr w:type="spellStart"/>
      <w:r w:rsidRPr="008C51C9">
        <w:rPr>
          <w:rFonts w:ascii="Times New Roman" w:hAnsi="Times New Roman" w:cs="Times New Roman"/>
          <w:sz w:val="24"/>
          <w:szCs w:val="24"/>
        </w:rPr>
        <w:t>Hamdar</w:t>
      </w:r>
      <w:proofErr w:type="spellEnd"/>
      <w:r w:rsidRPr="008C51C9">
        <w:rPr>
          <w:rFonts w:ascii="Times New Roman" w:hAnsi="Times New Roman" w:cs="Times New Roman"/>
          <w:sz w:val="24"/>
          <w:szCs w:val="24"/>
        </w:rPr>
        <w:t xml:space="preserve"> LH, Mirza FG</w:t>
      </w:r>
      <w:r w:rsidR="00FC185A" w:rsidRPr="008C51C9">
        <w:rPr>
          <w:rFonts w:ascii="Times New Roman" w:hAnsi="Times New Roman" w:cs="Times New Roman"/>
          <w:sz w:val="24"/>
          <w:szCs w:val="24"/>
        </w:rPr>
        <w:t>,</w:t>
      </w:r>
      <w:r w:rsidRPr="008C51C9">
        <w:rPr>
          <w:rFonts w:ascii="Times New Roman" w:hAnsi="Times New Roman" w:cs="Times New Roman"/>
          <w:sz w:val="24"/>
          <w:szCs w:val="24"/>
        </w:rPr>
        <w:t xml:space="preserve"> Daoud G. Poly Cystic Ovarian Syndrome: </w:t>
      </w:r>
      <w:proofErr w:type="gramStart"/>
      <w:r w:rsidR="00A023BB" w:rsidRPr="008C51C9">
        <w:rPr>
          <w:rFonts w:ascii="Times New Roman" w:hAnsi="Times New Roman" w:cs="Times New Roman"/>
          <w:sz w:val="24"/>
          <w:szCs w:val="24"/>
        </w:rPr>
        <w:t>a</w:t>
      </w:r>
      <w:r w:rsidRPr="008C51C9">
        <w:rPr>
          <w:rFonts w:ascii="Times New Roman" w:hAnsi="Times New Roman" w:cs="Times New Roman"/>
          <w:sz w:val="24"/>
          <w:szCs w:val="24"/>
        </w:rPr>
        <w:t>n</w:t>
      </w:r>
      <w:proofErr w:type="gramEnd"/>
      <w:r w:rsidRPr="008C51C9">
        <w:rPr>
          <w:rFonts w:ascii="Times New Roman" w:hAnsi="Times New Roman" w:cs="Times New Roman"/>
          <w:sz w:val="24"/>
          <w:szCs w:val="24"/>
        </w:rPr>
        <w:t xml:space="preserve"> Updated Overview. </w:t>
      </w:r>
      <w:r w:rsidRPr="008C51C9">
        <w:rPr>
          <w:rFonts w:ascii="Times New Roman" w:hAnsi="Times New Roman" w:cs="Times New Roman"/>
          <w:i/>
          <w:iCs/>
          <w:sz w:val="24"/>
          <w:szCs w:val="24"/>
        </w:rPr>
        <w:t>Front. Physiol.</w:t>
      </w:r>
      <w:r w:rsidR="00FC185A" w:rsidRPr="008C51C9">
        <w:rPr>
          <w:rFonts w:ascii="Times New Roman" w:hAnsi="Times New Roman" w:cs="Times New Roman"/>
          <w:sz w:val="24"/>
          <w:szCs w:val="24"/>
        </w:rPr>
        <w:t xml:space="preserve"> 2016; </w:t>
      </w:r>
      <w:r w:rsidRPr="008C51C9">
        <w:rPr>
          <w:rFonts w:ascii="Times New Roman" w:hAnsi="Times New Roman" w:cs="Times New Roman"/>
          <w:b/>
          <w:bCs/>
          <w:sz w:val="24"/>
          <w:szCs w:val="24"/>
        </w:rPr>
        <w:t>7</w:t>
      </w:r>
      <w:r w:rsidR="00FC185A" w:rsidRPr="008C51C9">
        <w:rPr>
          <w:rFonts w:ascii="Times New Roman" w:hAnsi="Times New Roman" w:cs="Times New Roman"/>
          <w:b/>
          <w:bCs/>
          <w:sz w:val="24"/>
          <w:szCs w:val="24"/>
        </w:rPr>
        <w:t xml:space="preserve">: </w:t>
      </w:r>
      <w:r w:rsidR="00FC185A" w:rsidRPr="008C51C9">
        <w:rPr>
          <w:rFonts w:ascii="Times New Roman" w:hAnsi="Times New Roman" w:cs="Times New Roman"/>
          <w:sz w:val="24"/>
          <w:szCs w:val="24"/>
        </w:rPr>
        <w:t>124</w:t>
      </w:r>
      <w:r w:rsidRPr="008C51C9">
        <w:rPr>
          <w:rFonts w:ascii="Times New Roman" w:hAnsi="Times New Roman" w:cs="Times New Roman"/>
          <w:sz w:val="24"/>
          <w:szCs w:val="24"/>
        </w:rPr>
        <w:t>.</w:t>
      </w:r>
    </w:p>
    <w:p w14:paraId="3A34884B"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5.</w:t>
      </w:r>
      <w:r w:rsidRPr="008C51C9">
        <w:rPr>
          <w:rFonts w:ascii="Times New Roman" w:hAnsi="Times New Roman" w:cs="Times New Roman"/>
          <w:sz w:val="24"/>
          <w:szCs w:val="24"/>
        </w:rPr>
        <w:tab/>
      </w:r>
      <w:proofErr w:type="spellStart"/>
      <w:r w:rsidRPr="008C51C9">
        <w:rPr>
          <w:rFonts w:ascii="Times New Roman" w:hAnsi="Times New Roman" w:cs="Times New Roman"/>
          <w:sz w:val="24"/>
          <w:szCs w:val="24"/>
        </w:rPr>
        <w:t>Sirmans</w:t>
      </w:r>
      <w:proofErr w:type="spellEnd"/>
      <w:r w:rsidRPr="008C51C9">
        <w:rPr>
          <w:rFonts w:ascii="Times New Roman" w:hAnsi="Times New Roman" w:cs="Times New Roman"/>
          <w:sz w:val="24"/>
          <w:szCs w:val="24"/>
        </w:rPr>
        <w:t xml:space="preserve"> SM</w:t>
      </w:r>
      <w:r w:rsidR="00834E1C" w:rsidRPr="008C51C9">
        <w:rPr>
          <w:rFonts w:ascii="Times New Roman" w:hAnsi="Times New Roman" w:cs="Times New Roman"/>
          <w:sz w:val="24"/>
          <w:szCs w:val="24"/>
        </w:rPr>
        <w:t>,</w:t>
      </w:r>
      <w:r w:rsidRPr="008C51C9">
        <w:rPr>
          <w:rFonts w:ascii="Times New Roman" w:hAnsi="Times New Roman" w:cs="Times New Roman"/>
          <w:sz w:val="24"/>
          <w:szCs w:val="24"/>
        </w:rPr>
        <w:t xml:space="preserve"> Pate KA. Epidemiology, diagnosis, and management of polycystic ovary syndrome. </w:t>
      </w:r>
      <w:r w:rsidRPr="008C51C9">
        <w:rPr>
          <w:rFonts w:ascii="Times New Roman" w:hAnsi="Times New Roman" w:cs="Times New Roman"/>
          <w:i/>
          <w:iCs/>
          <w:sz w:val="24"/>
          <w:szCs w:val="24"/>
        </w:rPr>
        <w:t xml:space="preserve">Clin. </w:t>
      </w:r>
      <w:proofErr w:type="spellStart"/>
      <w:r w:rsidRPr="008C51C9">
        <w:rPr>
          <w:rFonts w:ascii="Times New Roman" w:hAnsi="Times New Roman" w:cs="Times New Roman"/>
          <w:i/>
          <w:iCs/>
          <w:sz w:val="24"/>
          <w:szCs w:val="24"/>
        </w:rPr>
        <w:t>Epidemiol</w:t>
      </w:r>
      <w:proofErr w:type="spellEnd"/>
      <w:r w:rsidRPr="008C51C9">
        <w:rPr>
          <w:rFonts w:ascii="Times New Roman" w:hAnsi="Times New Roman" w:cs="Times New Roman"/>
          <w:i/>
          <w:iCs/>
          <w:sz w:val="24"/>
          <w:szCs w:val="24"/>
        </w:rPr>
        <w:t>.</w:t>
      </w:r>
      <w:r w:rsidR="00834E1C" w:rsidRPr="008C51C9">
        <w:rPr>
          <w:rFonts w:ascii="Times New Roman" w:hAnsi="Times New Roman" w:cs="Times New Roman"/>
          <w:sz w:val="24"/>
          <w:szCs w:val="24"/>
        </w:rPr>
        <w:t xml:space="preserve"> 2013; </w:t>
      </w:r>
      <w:r w:rsidRPr="008C51C9">
        <w:rPr>
          <w:rFonts w:ascii="Times New Roman" w:hAnsi="Times New Roman" w:cs="Times New Roman"/>
          <w:b/>
          <w:bCs/>
          <w:sz w:val="24"/>
          <w:szCs w:val="24"/>
        </w:rPr>
        <w:t>6</w:t>
      </w:r>
      <w:r w:rsidR="00834E1C"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1–13.</w:t>
      </w:r>
    </w:p>
    <w:p w14:paraId="0C5D6E4E"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6.</w:t>
      </w:r>
      <w:r w:rsidRPr="008C51C9">
        <w:rPr>
          <w:rFonts w:ascii="Times New Roman" w:hAnsi="Times New Roman" w:cs="Times New Roman"/>
          <w:sz w:val="24"/>
          <w:szCs w:val="24"/>
        </w:rPr>
        <w:tab/>
      </w:r>
      <w:r w:rsidR="0007242D" w:rsidRPr="008C51C9">
        <w:rPr>
          <w:rFonts w:ascii="Times New Roman" w:hAnsi="Times New Roman" w:cs="Times New Roman"/>
          <w:sz w:val="24"/>
          <w:szCs w:val="24"/>
        </w:rPr>
        <w:t xml:space="preserve">Leo VD, </w:t>
      </w:r>
      <w:proofErr w:type="spellStart"/>
      <w:r w:rsidR="0007242D" w:rsidRPr="008C51C9">
        <w:rPr>
          <w:rFonts w:ascii="Times New Roman" w:hAnsi="Times New Roman" w:cs="Times New Roman"/>
          <w:sz w:val="24"/>
          <w:szCs w:val="24"/>
        </w:rPr>
        <w:t>Musacchio</w:t>
      </w:r>
      <w:proofErr w:type="spellEnd"/>
      <w:r w:rsidR="0007242D" w:rsidRPr="008C51C9">
        <w:rPr>
          <w:rFonts w:ascii="Times New Roman" w:hAnsi="Times New Roman" w:cs="Times New Roman"/>
          <w:sz w:val="24"/>
          <w:szCs w:val="24"/>
        </w:rPr>
        <w:t xml:space="preserve"> MC, Cappelli V, et al.</w:t>
      </w:r>
      <w:r w:rsidRPr="008C51C9">
        <w:rPr>
          <w:rFonts w:ascii="Times New Roman" w:hAnsi="Times New Roman" w:cs="Times New Roman"/>
          <w:sz w:val="24"/>
          <w:szCs w:val="24"/>
        </w:rPr>
        <w:t xml:space="preserve"> Genetic, hormonal and metabolic aspects of PCOS: an update. </w:t>
      </w:r>
      <w:proofErr w:type="spellStart"/>
      <w:r w:rsidRPr="008C51C9">
        <w:rPr>
          <w:rFonts w:ascii="Times New Roman" w:hAnsi="Times New Roman" w:cs="Times New Roman"/>
          <w:i/>
          <w:iCs/>
          <w:sz w:val="24"/>
          <w:szCs w:val="24"/>
        </w:rPr>
        <w:t>Reprod</w:t>
      </w:r>
      <w:proofErr w:type="spellEnd"/>
      <w:r w:rsidRPr="008C51C9">
        <w:rPr>
          <w:rFonts w:ascii="Times New Roman" w:hAnsi="Times New Roman" w:cs="Times New Roman"/>
          <w:i/>
          <w:iCs/>
          <w:sz w:val="24"/>
          <w:szCs w:val="24"/>
        </w:rPr>
        <w:t>. Biol. Endocrinol.</w:t>
      </w:r>
      <w:r w:rsidR="0007242D" w:rsidRPr="008C51C9">
        <w:rPr>
          <w:rFonts w:ascii="Times New Roman" w:hAnsi="Times New Roman" w:cs="Times New Roman"/>
          <w:sz w:val="24"/>
          <w:szCs w:val="24"/>
        </w:rPr>
        <w:t xml:space="preserve"> 2016; </w:t>
      </w:r>
      <w:r w:rsidRPr="008C51C9">
        <w:rPr>
          <w:rFonts w:ascii="Times New Roman" w:hAnsi="Times New Roman" w:cs="Times New Roman"/>
          <w:b/>
          <w:bCs/>
          <w:sz w:val="24"/>
          <w:szCs w:val="24"/>
        </w:rPr>
        <w:t>14</w:t>
      </w:r>
      <w:r w:rsidR="0007242D"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38.</w:t>
      </w:r>
    </w:p>
    <w:p w14:paraId="775D5DA1"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7.</w:t>
      </w:r>
      <w:r w:rsidRPr="008C51C9">
        <w:rPr>
          <w:rFonts w:ascii="Times New Roman" w:hAnsi="Times New Roman" w:cs="Times New Roman"/>
          <w:sz w:val="24"/>
          <w:szCs w:val="24"/>
        </w:rPr>
        <w:tab/>
        <w:t>Stein IF</w:t>
      </w:r>
      <w:r w:rsidR="00275974" w:rsidRPr="008C51C9">
        <w:rPr>
          <w:rFonts w:ascii="Times New Roman" w:hAnsi="Times New Roman" w:cs="Times New Roman"/>
          <w:sz w:val="24"/>
          <w:szCs w:val="24"/>
        </w:rPr>
        <w:t>,</w:t>
      </w:r>
      <w:r w:rsidRPr="008C51C9">
        <w:rPr>
          <w:rFonts w:ascii="Times New Roman" w:hAnsi="Times New Roman" w:cs="Times New Roman"/>
          <w:sz w:val="24"/>
          <w:szCs w:val="24"/>
        </w:rPr>
        <w:t xml:space="preserve"> Leventhal ML. Amenorrhea associated with bilateral polycystic ovaries. </w:t>
      </w:r>
      <w:r w:rsidRPr="008C51C9">
        <w:rPr>
          <w:rFonts w:ascii="Times New Roman" w:hAnsi="Times New Roman" w:cs="Times New Roman"/>
          <w:i/>
          <w:iCs/>
          <w:sz w:val="24"/>
          <w:szCs w:val="24"/>
        </w:rPr>
        <w:t>Am. J. Obstet. Gynecol.</w:t>
      </w:r>
      <w:r w:rsidR="00275974" w:rsidRPr="008C51C9">
        <w:rPr>
          <w:rFonts w:ascii="Times New Roman" w:hAnsi="Times New Roman" w:cs="Times New Roman"/>
          <w:sz w:val="24"/>
          <w:szCs w:val="24"/>
        </w:rPr>
        <w:t xml:space="preserve"> 1935; </w:t>
      </w:r>
      <w:r w:rsidRPr="008C51C9">
        <w:rPr>
          <w:rFonts w:ascii="Times New Roman" w:hAnsi="Times New Roman" w:cs="Times New Roman"/>
          <w:b/>
          <w:bCs/>
          <w:sz w:val="24"/>
          <w:szCs w:val="24"/>
        </w:rPr>
        <w:t>29</w:t>
      </w:r>
      <w:r w:rsidR="00275974"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181–191.</w:t>
      </w:r>
    </w:p>
    <w:p w14:paraId="53DDEBA3"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8.</w:t>
      </w:r>
      <w:r w:rsidRPr="008C51C9">
        <w:rPr>
          <w:rFonts w:ascii="Times New Roman" w:hAnsi="Times New Roman" w:cs="Times New Roman"/>
          <w:sz w:val="24"/>
          <w:szCs w:val="24"/>
        </w:rPr>
        <w:tab/>
      </w:r>
      <w:proofErr w:type="spellStart"/>
      <w:r w:rsidRPr="008C51C9">
        <w:rPr>
          <w:rFonts w:ascii="Times New Roman" w:hAnsi="Times New Roman" w:cs="Times New Roman"/>
          <w:sz w:val="24"/>
          <w:szCs w:val="24"/>
        </w:rPr>
        <w:t>Balen</w:t>
      </w:r>
      <w:proofErr w:type="spellEnd"/>
      <w:r w:rsidRPr="008C51C9">
        <w:rPr>
          <w:rFonts w:ascii="Times New Roman" w:hAnsi="Times New Roman" w:cs="Times New Roman"/>
          <w:sz w:val="24"/>
          <w:szCs w:val="24"/>
        </w:rPr>
        <w:t xml:space="preserve"> A</w:t>
      </w:r>
      <w:r w:rsidR="00275974" w:rsidRPr="008C51C9">
        <w:rPr>
          <w:rFonts w:ascii="Times New Roman" w:hAnsi="Times New Roman" w:cs="Times New Roman"/>
          <w:sz w:val="24"/>
          <w:szCs w:val="24"/>
        </w:rPr>
        <w:t>,</w:t>
      </w:r>
      <w:r w:rsidRPr="008C51C9">
        <w:rPr>
          <w:rFonts w:ascii="Times New Roman" w:hAnsi="Times New Roman" w:cs="Times New Roman"/>
          <w:sz w:val="24"/>
          <w:szCs w:val="24"/>
        </w:rPr>
        <w:t xml:space="preserve"> </w:t>
      </w:r>
      <w:proofErr w:type="spellStart"/>
      <w:r w:rsidRPr="008C51C9">
        <w:rPr>
          <w:rFonts w:ascii="Times New Roman" w:hAnsi="Times New Roman" w:cs="Times New Roman"/>
          <w:sz w:val="24"/>
          <w:szCs w:val="24"/>
        </w:rPr>
        <w:t>Rajkowha</w:t>
      </w:r>
      <w:proofErr w:type="spellEnd"/>
      <w:r w:rsidRPr="008C51C9">
        <w:rPr>
          <w:rFonts w:ascii="Times New Roman" w:hAnsi="Times New Roman" w:cs="Times New Roman"/>
          <w:sz w:val="24"/>
          <w:szCs w:val="24"/>
        </w:rPr>
        <w:t xml:space="preserve"> M. Polycystic ovary syndrome-a systemic disorder? </w:t>
      </w:r>
      <w:r w:rsidRPr="008C51C9">
        <w:rPr>
          <w:rFonts w:ascii="Times New Roman" w:hAnsi="Times New Roman" w:cs="Times New Roman"/>
          <w:i/>
          <w:iCs/>
          <w:sz w:val="24"/>
          <w:szCs w:val="24"/>
        </w:rPr>
        <w:t xml:space="preserve">Best </w:t>
      </w:r>
      <w:proofErr w:type="spellStart"/>
      <w:r w:rsidRPr="008C51C9">
        <w:rPr>
          <w:rFonts w:ascii="Times New Roman" w:hAnsi="Times New Roman" w:cs="Times New Roman"/>
          <w:i/>
          <w:iCs/>
          <w:sz w:val="24"/>
          <w:szCs w:val="24"/>
        </w:rPr>
        <w:t>Pract</w:t>
      </w:r>
      <w:proofErr w:type="spellEnd"/>
      <w:r w:rsidRPr="008C51C9">
        <w:rPr>
          <w:rFonts w:ascii="Times New Roman" w:hAnsi="Times New Roman" w:cs="Times New Roman"/>
          <w:i/>
          <w:iCs/>
          <w:sz w:val="24"/>
          <w:szCs w:val="24"/>
        </w:rPr>
        <w:t xml:space="preserve">. Res. Clin. Obstet. </w:t>
      </w:r>
      <w:proofErr w:type="spellStart"/>
      <w:r w:rsidRPr="008C51C9">
        <w:rPr>
          <w:rFonts w:ascii="Times New Roman" w:hAnsi="Times New Roman" w:cs="Times New Roman"/>
          <w:i/>
          <w:iCs/>
          <w:sz w:val="24"/>
          <w:szCs w:val="24"/>
        </w:rPr>
        <w:t>Gynaecol</w:t>
      </w:r>
      <w:proofErr w:type="spellEnd"/>
      <w:r w:rsidRPr="008C51C9">
        <w:rPr>
          <w:rFonts w:ascii="Times New Roman" w:hAnsi="Times New Roman" w:cs="Times New Roman"/>
          <w:i/>
          <w:iCs/>
          <w:sz w:val="24"/>
          <w:szCs w:val="24"/>
        </w:rPr>
        <w:t>.</w:t>
      </w:r>
      <w:r w:rsidR="00275974" w:rsidRPr="008C51C9">
        <w:rPr>
          <w:rFonts w:ascii="Times New Roman" w:hAnsi="Times New Roman" w:cs="Times New Roman"/>
          <w:sz w:val="24"/>
          <w:szCs w:val="24"/>
        </w:rPr>
        <w:t xml:space="preserve"> 2003; </w:t>
      </w:r>
      <w:r w:rsidRPr="008C51C9">
        <w:rPr>
          <w:rFonts w:ascii="Times New Roman" w:hAnsi="Times New Roman" w:cs="Times New Roman"/>
          <w:b/>
          <w:bCs/>
          <w:sz w:val="24"/>
          <w:szCs w:val="24"/>
        </w:rPr>
        <w:t>17</w:t>
      </w:r>
      <w:r w:rsidR="00275974" w:rsidRPr="008C51C9">
        <w:rPr>
          <w:rFonts w:ascii="Times New Roman" w:hAnsi="Times New Roman" w:cs="Times New Roman"/>
          <w:b/>
          <w:bCs/>
          <w:sz w:val="24"/>
          <w:szCs w:val="24"/>
        </w:rPr>
        <w:t>:</w:t>
      </w:r>
      <w:r w:rsidRPr="008C51C9">
        <w:rPr>
          <w:rFonts w:ascii="Times New Roman" w:hAnsi="Times New Roman" w:cs="Times New Roman"/>
          <w:sz w:val="24"/>
          <w:szCs w:val="24"/>
        </w:rPr>
        <w:t>263–274.</w:t>
      </w:r>
    </w:p>
    <w:p w14:paraId="03A5B9B0"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9.</w:t>
      </w:r>
      <w:r w:rsidRPr="008C51C9">
        <w:rPr>
          <w:rFonts w:ascii="Times New Roman" w:hAnsi="Times New Roman" w:cs="Times New Roman"/>
          <w:sz w:val="24"/>
          <w:szCs w:val="24"/>
        </w:rPr>
        <w:tab/>
      </w:r>
      <w:proofErr w:type="spellStart"/>
      <w:r w:rsidR="000D1B31" w:rsidRPr="008C51C9">
        <w:rPr>
          <w:rFonts w:ascii="Times New Roman" w:hAnsi="Times New Roman" w:cs="Times New Roman"/>
          <w:sz w:val="24"/>
          <w:szCs w:val="24"/>
        </w:rPr>
        <w:t>Lizneva</w:t>
      </w:r>
      <w:proofErr w:type="spellEnd"/>
      <w:r w:rsidR="000D1B31" w:rsidRPr="008C51C9">
        <w:rPr>
          <w:rFonts w:ascii="Times New Roman" w:hAnsi="Times New Roman" w:cs="Times New Roman"/>
          <w:sz w:val="24"/>
          <w:szCs w:val="24"/>
        </w:rPr>
        <w:t xml:space="preserve"> D, </w:t>
      </w:r>
      <w:proofErr w:type="spellStart"/>
      <w:r w:rsidR="000D1B31" w:rsidRPr="008C51C9">
        <w:rPr>
          <w:rFonts w:ascii="Times New Roman" w:hAnsi="Times New Roman" w:cs="Times New Roman"/>
          <w:sz w:val="24"/>
          <w:szCs w:val="24"/>
        </w:rPr>
        <w:t>Suturina</w:t>
      </w:r>
      <w:proofErr w:type="spellEnd"/>
      <w:r w:rsidR="000D1B31" w:rsidRPr="008C51C9">
        <w:rPr>
          <w:rFonts w:ascii="Times New Roman" w:hAnsi="Times New Roman" w:cs="Times New Roman"/>
          <w:sz w:val="24"/>
          <w:szCs w:val="24"/>
        </w:rPr>
        <w:t xml:space="preserve"> L, Walker W, et al. </w:t>
      </w:r>
      <w:r w:rsidRPr="008C51C9">
        <w:rPr>
          <w:rFonts w:ascii="Times New Roman" w:hAnsi="Times New Roman" w:cs="Times New Roman"/>
          <w:sz w:val="24"/>
          <w:szCs w:val="24"/>
        </w:rPr>
        <w:t xml:space="preserve">Criteria, prevalence, and phenotypes of polycystic ovary syndrome. </w:t>
      </w:r>
      <w:proofErr w:type="spellStart"/>
      <w:r w:rsidRPr="008C51C9">
        <w:rPr>
          <w:rFonts w:ascii="Times New Roman" w:hAnsi="Times New Roman" w:cs="Times New Roman"/>
          <w:i/>
          <w:iCs/>
          <w:sz w:val="24"/>
          <w:szCs w:val="24"/>
        </w:rPr>
        <w:t>Fertil</w:t>
      </w:r>
      <w:proofErr w:type="spellEnd"/>
      <w:r w:rsidRPr="008C51C9">
        <w:rPr>
          <w:rFonts w:ascii="Times New Roman" w:hAnsi="Times New Roman" w:cs="Times New Roman"/>
          <w:i/>
          <w:iCs/>
          <w:sz w:val="24"/>
          <w:szCs w:val="24"/>
        </w:rPr>
        <w:t xml:space="preserve">. </w:t>
      </w:r>
      <w:proofErr w:type="spellStart"/>
      <w:r w:rsidRPr="008C51C9">
        <w:rPr>
          <w:rFonts w:ascii="Times New Roman" w:hAnsi="Times New Roman" w:cs="Times New Roman"/>
          <w:i/>
          <w:iCs/>
          <w:sz w:val="24"/>
          <w:szCs w:val="24"/>
        </w:rPr>
        <w:t>Steril</w:t>
      </w:r>
      <w:proofErr w:type="spellEnd"/>
      <w:r w:rsidRPr="008C51C9">
        <w:rPr>
          <w:rFonts w:ascii="Times New Roman" w:hAnsi="Times New Roman" w:cs="Times New Roman"/>
          <w:i/>
          <w:iCs/>
          <w:sz w:val="24"/>
          <w:szCs w:val="24"/>
        </w:rPr>
        <w:t>.</w:t>
      </w:r>
      <w:r w:rsidR="000D1B31" w:rsidRPr="008C51C9">
        <w:rPr>
          <w:rFonts w:ascii="Times New Roman" w:hAnsi="Times New Roman" w:cs="Times New Roman"/>
          <w:sz w:val="24"/>
          <w:szCs w:val="24"/>
        </w:rPr>
        <w:t xml:space="preserve"> 2016; </w:t>
      </w:r>
      <w:r w:rsidRPr="008C51C9">
        <w:rPr>
          <w:rFonts w:ascii="Times New Roman" w:hAnsi="Times New Roman" w:cs="Times New Roman"/>
          <w:b/>
          <w:bCs/>
          <w:sz w:val="24"/>
          <w:szCs w:val="24"/>
        </w:rPr>
        <w:t>106</w:t>
      </w:r>
      <w:r w:rsidR="000D1B31"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6–15.</w:t>
      </w:r>
    </w:p>
    <w:p w14:paraId="07D156E1"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lastRenderedPageBreak/>
        <w:t>10.</w:t>
      </w:r>
      <w:r w:rsidRPr="008C51C9">
        <w:rPr>
          <w:rFonts w:ascii="Times New Roman" w:hAnsi="Times New Roman" w:cs="Times New Roman"/>
          <w:sz w:val="24"/>
          <w:szCs w:val="24"/>
        </w:rPr>
        <w:tab/>
      </w:r>
      <w:hyperlink r:id="rId8" w:history="1">
        <w:proofErr w:type="spellStart"/>
        <w:r w:rsidR="00A238EE" w:rsidRPr="008C51C9">
          <w:rPr>
            <w:rFonts w:ascii="Times New Roman" w:eastAsia="Times New Roman" w:hAnsi="Times New Roman" w:cs="Times New Roman"/>
            <w:sz w:val="24"/>
            <w:szCs w:val="24"/>
          </w:rPr>
          <w:t>Mykhalchenko</w:t>
        </w:r>
        <w:proofErr w:type="spellEnd"/>
        <w:r w:rsidR="00A238EE" w:rsidRPr="008C51C9">
          <w:rPr>
            <w:rFonts w:ascii="Times New Roman" w:eastAsia="Times New Roman" w:hAnsi="Times New Roman" w:cs="Times New Roman"/>
            <w:sz w:val="24"/>
            <w:szCs w:val="24"/>
          </w:rPr>
          <w:t xml:space="preserve"> K</w:t>
        </w:r>
      </w:hyperlink>
      <w:r w:rsidR="00A238EE" w:rsidRPr="008C51C9">
        <w:rPr>
          <w:rFonts w:ascii="Times New Roman" w:eastAsia="Times New Roman" w:hAnsi="Times New Roman" w:cs="Times New Roman"/>
          <w:sz w:val="24"/>
          <w:szCs w:val="24"/>
        </w:rPr>
        <w:t>, </w:t>
      </w:r>
      <w:proofErr w:type="spellStart"/>
      <w:r w:rsidR="00B95928">
        <w:fldChar w:fldCharType="begin"/>
      </w:r>
      <w:r w:rsidR="00B95928">
        <w:instrText xml:space="preserve"> HYPERLINK "https://www.ncbi.nlm.nih.gov/pubmed/?term=Lizneva%20D%5BAuthor%5D&amp;cauthor=true&amp;cauthor_uid=28602111" </w:instrText>
      </w:r>
      <w:r w:rsidR="00B95928">
        <w:fldChar w:fldCharType="separate"/>
      </w:r>
      <w:r w:rsidR="00A238EE" w:rsidRPr="008C51C9">
        <w:rPr>
          <w:rFonts w:ascii="Times New Roman" w:eastAsia="Times New Roman" w:hAnsi="Times New Roman" w:cs="Times New Roman"/>
          <w:sz w:val="24"/>
          <w:szCs w:val="24"/>
        </w:rPr>
        <w:t>Lizneva</w:t>
      </w:r>
      <w:proofErr w:type="spellEnd"/>
      <w:r w:rsidR="00A238EE" w:rsidRPr="008C51C9">
        <w:rPr>
          <w:rFonts w:ascii="Times New Roman" w:eastAsia="Times New Roman" w:hAnsi="Times New Roman" w:cs="Times New Roman"/>
          <w:sz w:val="24"/>
          <w:szCs w:val="24"/>
        </w:rPr>
        <w:t xml:space="preserve"> D</w:t>
      </w:r>
      <w:r w:rsidR="00B95928">
        <w:rPr>
          <w:rFonts w:ascii="Times New Roman" w:eastAsia="Times New Roman" w:hAnsi="Times New Roman" w:cs="Times New Roman"/>
          <w:sz w:val="24"/>
          <w:szCs w:val="24"/>
        </w:rPr>
        <w:fldChar w:fldCharType="end"/>
      </w:r>
      <w:r w:rsidR="00A238EE" w:rsidRPr="008C51C9">
        <w:rPr>
          <w:rFonts w:ascii="Times New Roman" w:eastAsia="Times New Roman" w:hAnsi="Times New Roman" w:cs="Times New Roman"/>
          <w:sz w:val="24"/>
          <w:szCs w:val="24"/>
        </w:rPr>
        <w:t>, </w:t>
      </w:r>
      <w:proofErr w:type="spellStart"/>
      <w:r w:rsidR="00B95928">
        <w:fldChar w:fldCharType="begin"/>
      </w:r>
      <w:r w:rsidR="00B95928">
        <w:instrText xml:space="preserve"> HYPERLINK "https://www.ncbi.nlm.nih.gov/pubmed/?term=Trofimova%20T%5BAuthor%5D&amp;cauthor=true&amp;cauthor_uid=28602111" </w:instrText>
      </w:r>
      <w:r w:rsidR="00B95928">
        <w:fldChar w:fldCharType="separate"/>
      </w:r>
      <w:r w:rsidR="00A238EE" w:rsidRPr="008C51C9">
        <w:rPr>
          <w:rFonts w:ascii="Times New Roman" w:eastAsia="Times New Roman" w:hAnsi="Times New Roman" w:cs="Times New Roman"/>
          <w:sz w:val="24"/>
          <w:szCs w:val="24"/>
        </w:rPr>
        <w:t>Trofimova</w:t>
      </w:r>
      <w:proofErr w:type="spellEnd"/>
      <w:r w:rsidR="00A238EE" w:rsidRPr="008C51C9">
        <w:rPr>
          <w:rFonts w:ascii="Times New Roman" w:eastAsia="Times New Roman" w:hAnsi="Times New Roman" w:cs="Times New Roman"/>
          <w:sz w:val="24"/>
          <w:szCs w:val="24"/>
        </w:rPr>
        <w:t xml:space="preserve"> T</w:t>
      </w:r>
      <w:r w:rsidR="00B95928">
        <w:rPr>
          <w:rFonts w:ascii="Times New Roman" w:eastAsia="Times New Roman" w:hAnsi="Times New Roman" w:cs="Times New Roman"/>
          <w:sz w:val="24"/>
          <w:szCs w:val="24"/>
        </w:rPr>
        <w:fldChar w:fldCharType="end"/>
      </w:r>
      <w:r w:rsidR="00A238EE" w:rsidRPr="008C51C9">
        <w:rPr>
          <w:rFonts w:ascii="Times New Roman" w:eastAsia="Times New Roman" w:hAnsi="Times New Roman" w:cs="Times New Roman"/>
          <w:sz w:val="24"/>
          <w:szCs w:val="24"/>
        </w:rPr>
        <w:t xml:space="preserve">, et al. </w:t>
      </w:r>
      <w:r w:rsidRPr="008C51C9">
        <w:rPr>
          <w:rFonts w:ascii="Times New Roman" w:hAnsi="Times New Roman" w:cs="Times New Roman"/>
          <w:sz w:val="24"/>
          <w:szCs w:val="24"/>
        </w:rPr>
        <w:t xml:space="preserve">Genetics of polycystic ovary syndrome. </w:t>
      </w:r>
      <w:r w:rsidRPr="008C51C9">
        <w:rPr>
          <w:rFonts w:ascii="Times New Roman" w:hAnsi="Times New Roman" w:cs="Times New Roman"/>
          <w:i/>
          <w:iCs/>
          <w:sz w:val="24"/>
          <w:szCs w:val="24"/>
        </w:rPr>
        <w:t>Expert Rev. Mol. Diagn.</w:t>
      </w:r>
      <w:r w:rsidR="00A238EE" w:rsidRPr="008C51C9">
        <w:rPr>
          <w:rFonts w:ascii="Times New Roman" w:hAnsi="Times New Roman" w:cs="Times New Roman"/>
          <w:sz w:val="24"/>
          <w:szCs w:val="24"/>
        </w:rPr>
        <w:t xml:space="preserve"> 2017; </w:t>
      </w:r>
      <w:r w:rsidRPr="008C51C9">
        <w:rPr>
          <w:rFonts w:ascii="Times New Roman" w:hAnsi="Times New Roman" w:cs="Times New Roman"/>
          <w:b/>
          <w:bCs/>
          <w:sz w:val="24"/>
          <w:szCs w:val="24"/>
        </w:rPr>
        <w:t>17</w:t>
      </w:r>
      <w:r w:rsidR="00A238EE"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723–733.</w:t>
      </w:r>
    </w:p>
    <w:p w14:paraId="04FEA339"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11</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Boyle JA, Cunningham J, O’Dea K, Dunbar T</w:t>
      </w:r>
      <w:r w:rsidR="00B05D11"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Norman RJ. Prevalence of polycystic ovary syndrome in a sample of Indigenous women in Darwin, Australia. </w:t>
      </w:r>
      <w:r w:rsidR="00D44DD1" w:rsidRPr="008C51C9">
        <w:rPr>
          <w:rFonts w:ascii="Times New Roman" w:hAnsi="Times New Roman" w:cs="Times New Roman"/>
          <w:i/>
          <w:iCs/>
          <w:sz w:val="24"/>
          <w:szCs w:val="24"/>
        </w:rPr>
        <w:t>Med. J. Aust.</w:t>
      </w:r>
      <w:r w:rsidR="00B05D11" w:rsidRPr="008C51C9">
        <w:rPr>
          <w:rFonts w:ascii="Times New Roman" w:hAnsi="Times New Roman" w:cs="Times New Roman"/>
          <w:sz w:val="24"/>
          <w:szCs w:val="24"/>
        </w:rPr>
        <w:t xml:space="preserve"> 2012; </w:t>
      </w:r>
      <w:r w:rsidR="00D44DD1" w:rsidRPr="008C51C9">
        <w:rPr>
          <w:rFonts w:ascii="Times New Roman" w:hAnsi="Times New Roman" w:cs="Times New Roman"/>
          <w:b/>
          <w:bCs/>
          <w:sz w:val="24"/>
          <w:szCs w:val="24"/>
        </w:rPr>
        <w:t>196</w:t>
      </w:r>
      <w:r w:rsidR="00B05D11"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62–66.</w:t>
      </w:r>
    </w:p>
    <w:p w14:paraId="37C87F00"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12</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proofErr w:type="spellStart"/>
      <w:r w:rsidR="00D44DD1" w:rsidRPr="008C51C9">
        <w:rPr>
          <w:rFonts w:ascii="Times New Roman" w:hAnsi="Times New Roman" w:cs="Times New Roman"/>
          <w:sz w:val="24"/>
          <w:szCs w:val="24"/>
        </w:rPr>
        <w:t>Gabrielli</w:t>
      </w:r>
      <w:proofErr w:type="spellEnd"/>
      <w:r w:rsidR="00D44DD1" w:rsidRPr="008C51C9">
        <w:rPr>
          <w:rFonts w:ascii="Times New Roman" w:hAnsi="Times New Roman" w:cs="Times New Roman"/>
          <w:sz w:val="24"/>
          <w:szCs w:val="24"/>
        </w:rPr>
        <w:t xml:space="preserve"> L</w:t>
      </w:r>
      <w:r w:rsidR="00633F54"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Aquino EM. Polycystic ovary syndrome in Salvador, Brazil: a prevalence study in primary healthcare. </w:t>
      </w:r>
      <w:proofErr w:type="spellStart"/>
      <w:r w:rsidR="00D44DD1" w:rsidRPr="008C51C9">
        <w:rPr>
          <w:rFonts w:ascii="Times New Roman" w:hAnsi="Times New Roman" w:cs="Times New Roman"/>
          <w:i/>
          <w:iCs/>
          <w:sz w:val="24"/>
          <w:szCs w:val="24"/>
        </w:rPr>
        <w:t>Reprod</w:t>
      </w:r>
      <w:proofErr w:type="spellEnd"/>
      <w:r w:rsidR="00D44DD1" w:rsidRPr="008C51C9">
        <w:rPr>
          <w:rFonts w:ascii="Times New Roman" w:hAnsi="Times New Roman" w:cs="Times New Roman"/>
          <w:i/>
          <w:iCs/>
          <w:sz w:val="24"/>
          <w:szCs w:val="24"/>
        </w:rPr>
        <w:t>. Biol. Endocrinol.</w:t>
      </w:r>
      <w:r w:rsidR="00633F54" w:rsidRPr="008C51C9">
        <w:rPr>
          <w:rFonts w:ascii="Times New Roman" w:hAnsi="Times New Roman" w:cs="Times New Roman"/>
          <w:sz w:val="24"/>
          <w:szCs w:val="24"/>
        </w:rPr>
        <w:t xml:space="preserve"> 2012; </w:t>
      </w:r>
      <w:r w:rsidR="00D44DD1" w:rsidRPr="008C51C9">
        <w:rPr>
          <w:rFonts w:ascii="Times New Roman" w:hAnsi="Times New Roman" w:cs="Times New Roman"/>
          <w:b/>
          <w:bCs/>
          <w:sz w:val="24"/>
          <w:szCs w:val="24"/>
        </w:rPr>
        <w:t>10</w:t>
      </w:r>
      <w:r w:rsidR="00633F54"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96.</w:t>
      </w:r>
    </w:p>
    <w:p w14:paraId="21BCECCE"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13</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r w:rsidR="00CC4555" w:rsidRPr="008C51C9">
        <w:rPr>
          <w:rFonts w:ascii="Times New Roman" w:hAnsi="Times New Roman" w:cs="Times New Roman"/>
          <w:sz w:val="24"/>
          <w:szCs w:val="24"/>
        </w:rPr>
        <w:t>Zhuang J, Liu Y, Xu L, Zhou L, et al.</w:t>
      </w:r>
      <w:r w:rsidR="00D44DD1" w:rsidRPr="008C51C9">
        <w:rPr>
          <w:rFonts w:ascii="Times New Roman" w:hAnsi="Times New Roman" w:cs="Times New Roman"/>
          <w:sz w:val="24"/>
          <w:szCs w:val="24"/>
        </w:rPr>
        <w:t xml:space="preserve"> Prevalence of the </w:t>
      </w:r>
      <w:r w:rsidR="00CC4555"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olycystic </w:t>
      </w:r>
      <w:r w:rsidR="00CC4555"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vary </w:t>
      </w:r>
      <w:r w:rsidR="00CC4555" w:rsidRPr="008C51C9">
        <w:rPr>
          <w:rFonts w:ascii="Times New Roman" w:hAnsi="Times New Roman" w:cs="Times New Roman"/>
          <w:sz w:val="24"/>
          <w:szCs w:val="24"/>
        </w:rPr>
        <w:t>s</w:t>
      </w:r>
      <w:r w:rsidR="00D44DD1" w:rsidRPr="008C51C9">
        <w:rPr>
          <w:rFonts w:ascii="Times New Roman" w:hAnsi="Times New Roman" w:cs="Times New Roman"/>
          <w:sz w:val="24"/>
          <w:szCs w:val="24"/>
        </w:rPr>
        <w:t xml:space="preserve">yndrome in </w:t>
      </w:r>
      <w:r w:rsidR="00CC4555" w:rsidRPr="008C51C9">
        <w:rPr>
          <w:rFonts w:ascii="Times New Roman" w:hAnsi="Times New Roman" w:cs="Times New Roman"/>
          <w:sz w:val="24"/>
          <w:szCs w:val="24"/>
        </w:rPr>
        <w:t>f</w:t>
      </w:r>
      <w:r w:rsidR="00D44DD1" w:rsidRPr="008C51C9">
        <w:rPr>
          <w:rFonts w:ascii="Times New Roman" w:hAnsi="Times New Roman" w:cs="Times New Roman"/>
          <w:sz w:val="24"/>
          <w:szCs w:val="24"/>
        </w:rPr>
        <w:t xml:space="preserve">emale </w:t>
      </w:r>
      <w:r w:rsidR="00CC4555" w:rsidRPr="008C51C9">
        <w:rPr>
          <w:rFonts w:ascii="Times New Roman" w:hAnsi="Times New Roman" w:cs="Times New Roman"/>
          <w:sz w:val="24"/>
          <w:szCs w:val="24"/>
        </w:rPr>
        <w:t>r</w:t>
      </w:r>
      <w:r w:rsidR="00D44DD1" w:rsidRPr="008C51C9">
        <w:rPr>
          <w:rFonts w:ascii="Times New Roman" w:hAnsi="Times New Roman" w:cs="Times New Roman"/>
          <w:sz w:val="24"/>
          <w:szCs w:val="24"/>
        </w:rPr>
        <w:t xml:space="preserve">esidents of Chengdu, China. </w:t>
      </w:r>
      <w:r w:rsidR="00D44DD1" w:rsidRPr="008C51C9">
        <w:rPr>
          <w:rFonts w:ascii="Times New Roman" w:hAnsi="Times New Roman" w:cs="Times New Roman"/>
          <w:i/>
          <w:iCs/>
          <w:sz w:val="24"/>
          <w:szCs w:val="24"/>
        </w:rPr>
        <w:t>Gynecol. Obstet. Invest.</w:t>
      </w:r>
      <w:r w:rsidR="00CC4555"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77</w:t>
      </w:r>
      <w:r w:rsidR="00CC4555"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217–223.</w:t>
      </w:r>
    </w:p>
    <w:p w14:paraId="67D57173"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14</w:t>
      </w:r>
      <w:r w:rsidR="00D82CC8" w:rsidRPr="008C51C9">
        <w:rPr>
          <w:rFonts w:ascii="Times New Roman" w:hAnsi="Times New Roman" w:cs="Times New Roman"/>
          <w:sz w:val="24"/>
          <w:szCs w:val="24"/>
        </w:rPr>
        <w:t>.</w:t>
      </w:r>
      <w:r w:rsidR="00D44DD1" w:rsidRPr="008C51C9">
        <w:rPr>
          <w:rFonts w:ascii="Times New Roman" w:hAnsi="Times New Roman" w:cs="Times New Roman"/>
          <w:sz w:val="24"/>
          <w:szCs w:val="24"/>
        </w:rPr>
        <w:tab/>
        <w:t xml:space="preserve">Tehrani FR, </w:t>
      </w:r>
      <w:proofErr w:type="spellStart"/>
      <w:r w:rsidR="00D44DD1" w:rsidRPr="008C51C9">
        <w:rPr>
          <w:rFonts w:ascii="Times New Roman" w:hAnsi="Times New Roman" w:cs="Times New Roman"/>
          <w:sz w:val="24"/>
          <w:szCs w:val="24"/>
        </w:rPr>
        <w:t>Khomami</w:t>
      </w:r>
      <w:proofErr w:type="spellEnd"/>
      <w:r w:rsidR="00D44DD1" w:rsidRPr="008C51C9">
        <w:rPr>
          <w:rFonts w:ascii="Times New Roman" w:hAnsi="Times New Roman" w:cs="Times New Roman"/>
          <w:sz w:val="24"/>
          <w:szCs w:val="24"/>
        </w:rPr>
        <w:t xml:space="preserve"> MB, </w:t>
      </w:r>
      <w:proofErr w:type="spellStart"/>
      <w:r w:rsidR="00D44DD1" w:rsidRPr="008C51C9">
        <w:rPr>
          <w:rFonts w:ascii="Times New Roman" w:hAnsi="Times New Roman" w:cs="Times New Roman"/>
          <w:sz w:val="24"/>
          <w:szCs w:val="24"/>
        </w:rPr>
        <w:t>Tohidi</w:t>
      </w:r>
      <w:proofErr w:type="spellEnd"/>
      <w:r w:rsidR="00D44DD1" w:rsidRPr="008C51C9">
        <w:rPr>
          <w:rFonts w:ascii="Times New Roman" w:hAnsi="Times New Roman" w:cs="Times New Roman"/>
          <w:sz w:val="24"/>
          <w:szCs w:val="24"/>
        </w:rPr>
        <w:t xml:space="preserve"> M</w:t>
      </w:r>
      <w:r w:rsidR="00D82CC8"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Azizi F. The prevalence of metabolic disorders in various phenotypes of polycystic ovary syndrome: a </w:t>
      </w:r>
      <w:proofErr w:type="gramStart"/>
      <w:r w:rsidR="00D44DD1" w:rsidRPr="008C51C9">
        <w:rPr>
          <w:rFonts w:ascii="Times New Roman" w:hAnsi="Times New Roman" w:cs="Times New Roman"/>
          <w:sz w:val="24"/>
          <w:szCs w:val="24"/>
        </w:rPr>
        <w:t>community based</w:t>
      </w:r>
      <w:proofErr w:type="gramEnd"/>
      <w:r w:rsidR="00D44DD1" w:rsidRPr="008C51C9">
        <w:rPr>
          <w:rFonts w:ascii="Times New Roman" w:hAnsi="Times New Roman" w:cs="Times New Roman"/>
          <w:sz w:val="24"/>
          <w:szCs w:val="24"/>
        </w:rPr>
        <w:t xml:space="preserve"> study in Southwest of Iran. </w:t>
      </w:r>
      <w:proofErr w:type="spellStart"/>
      <w:r w:rsidR="00D44DD1" w:rsidRPr="008C51C9">
        <w:rPr>
          <w:rFonts w:ascii="Times New Roman" w:hAnsi="Times New Roman" w:cs="Times New Roman"/>
          <w:i/>
          <w:iCs/>
          <w:sz w:val="24"/>
          <w:szCs w:val="24"/>
        </w:rPr>
        <w:t>Reprod</w:t>
      </w:r>
      <w:proofErr w:type="spellEnd"/>
      <w:r w:rsidR="00D44DD1" w:rsidRPr="008C51C9">
        <w:rPr>
          <w:rFonts w:ascii="Times New Roman" w:hAnsi="Times New Roman" w:cs="Times New Roman"/>
          <w:i/>
          <w:iCs/>
          <w:sz w:val="24"/>
          <w:szCs w:val="24"/>
        </w:rPr>
        <w:t xml:space="preserve">. Biol. Endocrinol. </w:t>
      </w:r>
      <w:r w:rsidR="00D44DD1" w:rsidRPr="008C51C9">
        <w:rPr>
          <w:rFonts w:ascii="Times New Roman" w:hAnsi="Times New Roman" w:cs="Times New Roman"/>
          <w:sz w:val="24"/>
          <w:szCs w:val="24"/>
        </w:rPr>
        <w:t>RBE</w:t>
      </w:r>
      <w:r w:rsidR="00D82CC8"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12</w:t>
      </w:r>
      <w:r w:rsidR="00D82CC8"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89.</w:t>
      </w:r>
    </w:p>
    <w:p w14:paraId="026E4816"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15</w:t>
      </w:r>
      <w:r w:rsidR="002C1C7D"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9" w:history="1">
        <w:r w:rsidR="002C1C7D" w:rsidRPr="008C51C9">
          <w:rPr>
            <w:rFonts w:ascii="Times New Roman" w:eastAsia="Times New Roman" w:hAnsi="Times New Roman" w:cs="Times New Roman"/>
            <w:sz w:val="24"/>
            <w:szCs w:val="24"/>
          </w:rPr>
          <w:t>Moran C</w:t>
        </w:r>
      </w:hyperlink>
      <w:r w:rsidR="002C1C7D" w:rsidRPr="008C51C9">
        <w:rPr>
          <w:rFonts w:ascii="Times New Roman" w:eastAsia="Times New Roman" w:hAnsi="Times New Roman" w:cs="Times New Roman"/>
          <w:sz w:val="24"/>
          <w:szCs w:val="24"/>
        </w:rPr>
        <w:t>, </w:t>
      </w:r>
      <w:hyperlink r:id="rId10" w:history="1">
        <w:r w:rsidR="002C1C7D" w:rsidRPr="008C51C9">
          <w:rPr>
            <w:rFonts w:ascii="Times New Roman" w:eastAsia="Times New Roman" w:hAnsi="Times New Roman" w:cs="Times New Roman"/>
            <w:sz w:val="24"/>
            <w:szCs w:val="24"/>
          </w:rPr>
          <w:t>Tena G</w:t>
        </w:r>
      </w:hyperlink>
      <w:r w:rsidR="002C1C7D" w:rsidRPr="008C51C9">
        <w:rPr>
          <w:rFonts w:ascii="Times New Roman" w:eastAsia="Times New Roman" w:hAnsi="Times New Roman" w:cs="Times New Roman"/>
          <w:sz w:val="24"/>
          <w:szCs w:val="24"/>
        </w:rPr>
        <w:t>, </w:t>
      </w:r>
      <w:hyperlink r:id="rId11" w:history="1">
        <w:r w:rsidR="002C1C7D" w:rsidRPr="008C51C9">
          <w:rPr>
            <w:rFonts w:ascii="Times New Roman" w:eastAsia="Times New Roman" w:hAnsi="Times New Roman" w:cs="Times New Roman"/>
            <w:sz w:val="24"/>
            <w:szCs w:val="24"/>
          </w:rPr>
          <w:t>Moran S</w:t>
        </w:r>
      </w:hyperlink>
      <w:r w:rsidR="002C1C7D" w:rsidRPr="008C51C9">
        <w:rPr>
          <w:rFonts w:ascii="Times New Roman" w:eastAsia="Times New Roman" w:hAnsi="Times New Roman" w:cs="Times New Roman"/>
          <w:sz w:val="24"/>
          <w:szCs w:val="24"/>
        </w:rPr>
        <w:t>, </w:t>
      </w:r>
      <w:hyperlink r:id="rId12" w:history="1">
        <w:r w:rsidR="002C1C7D" w:rsidRPr="008C51C9">
          <w:rPr>
            <w:rFonts w:ascii="Times New Roman" w:eastAsia="Times New Roman" w:hAnsi="Times New Roman" w:cs="Times New Roman"/>
            <w:sz w:val="24"/>
            <w:szCs w:val="24"/>
          </w:rPr>
          <w:t>Ruiz P</w:t>
        </w:r>
      </w:hyperlink>
      <w:r w:rsidR="002C1C7D" w:rsidRPr="008C51C9">
        <w:rPr>
          <w:rFonts w:ascii="Times New Roman" w:eastAsia="Times New Roman" w:hAnsi="Times New Roman" w:cs="Times New Roman"/>
          <w:sz w:val="24"/>
          <w:szCs w:val="24"/>
        </w:rPr>
        <w:t>, </w:t>
      </w:r>
      <w:hyperlink r:id="rId13" w:history="1">
        <w:r w:rsidR="002C1C7D" w:rsidRPr="008C51C9">
          <w:rPr>
            <w:rFonts w:ascii="Times New Roman" w:eastAsia="Times New Roman" w:hAnsi="Times New Roman" w:cs="Times New Roman"/>
            <w:sz w:val="24"/>
            <w:szCs w:val="24"/>
          </w:rPr>
          <w:t>Reyna R</w:t>
        </w:r>
      </w:hyperlink>
      <w:r w:rsidR="002C1C7D" w:rsidRPr="008C51C9">
        <w:rPr>
          <w:rFonts w:ascii="Times New Roman" w:eastAsia="Times New Roman" w:hAnsi="Times New Roman" w:cs="Times New Roman"/>
          <w:sz w:val="24"/>
          <w:szCs w:val="24"/>
        </w:rPr>
        <w:t>, </w:t>
      </w:r>
      <w:hyperlink r:id="rId14" w:history="1">
        <w:r w:rsidR="002C1C7D" w:rsidRPr="008C51C9">
          <w:rPr>
            <w:rFonts w:ascii="Times New Roman" w:eastAsia="Times New Roman" w:hAnsi="Times New Roman" w:cs="Times New Roman"/>
            <w:sz w:val="24"/>
            <w:szCs w:val="24"/>
          </w:rPr>
          <w:t>Duque X</w:t>
        </w:r>
      </w:hyperlink>
      <w:r w:rsidR="00D44DD1" w:rsidRPr="008C51C9">
        <w:rPr>
          <w:rFonts w:ascii="Times New Roman" w:hAnsi="Times New Roman" w:cs="Times New Roman"/>
          <w:i/>
          <w:iCs/>
          <w:sz w:val="24"/>
          <w:szCs w:val="24"/>
        </w:rPr>
        <w:t>.</w:t>
      </w:r>
      <w:r w:rsidR="00D44DD1" w:rsidRPr="008C51C9">
        <w:rPr>
          <w:rFonts w:ascii="Times New Roman" w:hAnsi="Times New Roman" w:cs="Times New Roman"/>
          <w:sz w:val="24"/>
          <w:szCs w:val="24"/>
        </w:rPr>
        <w:t xml:space="preserve"> Prevalence of </w:t>
      </w:r>
      <w:r w:rsidR="00A023BB"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olycystic </w:t>
      </w:r>
      <w:r w:rsidR="00A023BB"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vary </w:t>
      </w:r>
      <w:r w:rsidR="00A023BB" w:rsidRPr="008C51C9">
        <w:rPr>
          <w:rFonts w:ascii="Times New Roman" w:hAnsi="Times New Roman" w:cs="Times New Roman"/>
          <w:sz w:val="24"/>
          <w:szCs w:val="24"/>
        </w:rPr>
        <w:t>s</w:t>
      </w:r>
      <w:r w:rsidR="00D44DD1" w:rsidRPr="008C51C9">
        <w:rPr>
          <w:rFonts w:ascii="Times New Roman" w:hAnsi="Times New Roman" w:cs="Times New Roman"/>
          <w:sz w:val="24"/>
          <w:szCs w:val="24"/>
        </w:rPr>
        <w:t xml:space="preserve">yndrome and </w:t>
      </w:r>
      <w:r w:rsidR="00A023BB" w:rsidRPr="008C51C9">
        <w:rPr>
          <w:rFonts w:ascii="Times New Roman" w:hAnsi="Times New Roman" w:cs="Times New Roman"/>
          <w:sz w:val="24"/>
          <w:szCs w:val="24"/>
        </w:rPr>
        <w:t>r</w:t>
      </w:r>
      <w:r w:rsidR="00D44DD1" w:rsidRPr="008C51C9">
        <w:rPr>
          <w:rFonts w:ascii="Times New Roman" w:hAnsi="Times New Roman" w:cs="Times New Roman"/>
          <w:sz w:val="24"/>
          <w:szCs w:val="24"/>
        </w:rPr>
        <w:t xml:space="preserve">elated </w:t>
      </w:r>
      <w:r w:rsidR="00A023BB" w:rsidRPr="008C51C9">
        <w:rPr>
          <w:rFonts w:ascii="Times New Roman" w:hAnsi="Times New Roman" w:cs="Times New Roman"/>
          <w:sz w:val="24"/>
          <w:szCs w:val="24"/>
        </w:rPr>
        <w:t>d</w:t>
      </w:r>
      <w:r w:rsidR="00D44DD1" w:rsidRPr="008C51C9">
        <w:rPr>
          <w:rFonts w:ascii="Times New Roman" w:hAnsi="Times New Roman" w:cs="Times New Roman"/>
          <w:sz w:val="24"/>
          <w:szCs w:val="24"/>
        </w:rPr>
        <w:t xml:space="preserve">isorders in Mexican </w:t>
      </w:r>
      <w:r w:rsidR="00A023BB" w:rsidRPr="008C51C9">
        <w:rPr>
          <w:rFonts w:ascii="Times New Roman" w:hAnsi="Times New Roman" w:cs="Times New Roman"/>
          <w:sz w:val="24"/>
          <w:szCs w:val="24"/>
        </w:rPr>
        <w:t>w</w:t>
      </w:r>
      <w:r w:rsidR="00D44DD1" w:rsidRPr="008C51C9">
        <w:rPr>
          <w:rFonts w:ascii="Times New Roman" w:hAnsi="Times New Roman" w:cs="Times New Roman"/>
          <w:sz w:val="24"/>
          <w:szCs w:val="24"/>
        </w:rPr>
        <w:t xml:space="preserve">omen. </w:t>
      </w:r>
      <w:r w:rsidR="00D44DD1" w:rsidRPr="008C51C9">
        <w:rPr>
          <w:rFonts w:ascii="Times New Roman" w:hAnsi="Times New Roman" w:cs="Times New Roman"/>
          <w:i/>
          <w:iCs/>
          <w:sz w:val="24"/>
          <w:szCs w:val="24"/>
        </w:rPr>
        <w:t>Gynecol. Obstet. Invest.</w:t>
      </w:r>
      <w:r w:rsidR="002C1C7D" w:rsidRPr="008C51C9">
        <w:rPr>
          <w:rFonts w:ascii="Times New Roman" w:hAnsi="Times New Roman" w:cs="Times New Roman"/>
          <w:sz w:val="24"/>
          <w:szCs w:val="24"/>
        </w:rPr>
        <w:t xml:space="preserve"> 2010; </w:t>
      </w:r>
      <w:r w:rsidR="00D44DD1" w:rsidRPr="008C51C9">
        <w:rPr>
          <w:rFonts w:ascii="Times New Roman" w:hAnsi="Times New Roman" w:cs="Times New Roman"/>
          <w:b/>
          <w:bCs/>
          <w:sz w:val="24"/>
          <w:szCs w:val="24"/>
        </w:rPr>
        <w:t>69</w:t>
      </w:r>
      <w:r w:rsidR="002C1C7D"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274–280.</w:t>
      </w:r>
    </w:p>
    <w:p w14:paraId="5BD01868"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16</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15" w:history="1">
        <w:r w:rsidR="002C1C7D" w:rsidRPr="008C51C9">
          <w:rPr>
            <w:rFonts w:ascii="Times New Roman" w:eastAsia="Times New Roman" w:hAnsi="Times New Roman" w:cs="Times New Roman"/>
            <w:sz w:val="24"/>
            <w:szCs w:val="24"/>
          </w:rPr>
          <w:t>Lauritsen MP</w:t>
        </w:r>
      </w:hyperlink>
      <w:r w:rsidR="002C1C7D" w:rsidRPr="008C51C9">
        <w:rPr>
          <w:rFonts w:ascii="Times New Roman" w:eastAsia="Times New Roman" w:hAnsi="Times New Roman" w:cs="Times New Roman"/>
          <w:sz w:val="24"/>
          <w:szCs w:val="24"/>
        </w:rPr>
        <w:t>, </w:t>
      </w:r>
      <w:proofErr w:type="spellStart"/>
      <w:r w:rsidR="00B95928">
        <w:fldChar w:fldCharType="begin"/>
      </w:r>
      <w:r w:rsidR="00B95928">
        <w:instrText xml:space="preserve"> HYPERLINK "https://www.ncbi.nlm.nih.gov/pubmed/?term=Bentzen%20JG%5BAuthor%5D&amp;cauthor=true&amp;cauthor_uid=24435776" </w:instrText>
      </w:r>
      <w:r w:rsidR="00B95928">
        <w:fldChar w:fldCharType="separate"/>
      </w:r>
      <w:r w:rsidR="002C1C7D" w:rsidRPr="008C51C9">
        <w:rPr>
          <w:rFonts w:ascii="Times New Roman" w:eastAsia="Times New Roman" w:hAnsi="Times New Roman" w:cs="Times New Roman"/>
          <w:sz w:val="24"/>
          <w:szCs w:val="24"/>
        </w:rPr>
        <w:t>Bentzen</w:t>
      </w:r>
      <w:proofErr w:type="spellEnd"/>
      <w:r w:rsidR="002C1C7D" w:rsidRPr="008C51C9">
        <w:rPr>
          <w:rFonts w:ascii="Times New Roman" w:eastAsia="Times New Roman" w:hAnsi="Times New Roman" w:cs="Times New Roman"/>
          <w:sz w:val="24"/>
          <w:szCs w:val="24"/>
        </w:rPr>
        <w:t xml:space="preserve"> JG</w:t>
      </w:r>
      <w:r w:rsidR="00B95928">
        <w:rPr>
          <w:rFonts w:ascii="Times New Roman" w:eastAsia="Times New Roman" w:hAnsi="Times New Roman" w:cs="Times New Roman"/>
          <w:sz w:val="24"/>
          <w:szCs w:val="24"/>
        </w:rPr>
        <w:fldChar w:fldCharType="end"/>
      </w:r>
      <w:r w:rsidR="002C1C7D" w:rsidRPr="008C51C9">
        <w:rPr>
          <w:rFonts w:ascii="Times New Roman" w:eastAsia="Times New Roman" w:hAnsi="Times New Roman" w:cs="Times New Roman"/>
          <w:sz w:val="24"/>
          <w:szCs w:val="24"/>
        </w:rPr>
        <w:t>, </w:t>
      </w:r>
      <w:proofErr w:type="spellStart"/>
      <w:r w:rsidR="00B95928">
        <w:fldChar w:fldCharType="begin"/>
      </w:r>
      <w:r w:rsidR="00B95928">
        <w:instrText xml:space="preserve"> HYPERLINK "https://www.ncbi.nlm.nih.gov/pubmed/?term=Pinborg%20A%5BAuthor%5D&amp;cauthor=true&amp;cauthor_uid=24435776" </w:instrText>
      </w:r>
      <w:r w:rsidR="00B95928">
        <w:fldChar w:fldCharType="separate"/>
      </w:r>
      <w:r w:rsidR="002C1C7D" w:rsidRPr="008C51C9">
        <w:rPr>
          <w:rFonts w:ascii="Times New Roman" w:eastAsia="Times New Roman" w:hAnsi="Times New Roman" w:cs="Times New Roman"/>
          <w:sz w:val="24"/>
          <w:szCs w:val="24"/>
        </w:rPr>
        <w:t>Pinborg</w:t>
      </w:r>
      <w:proofErr w:type="spellEnd"/>
      <w:r w:rsidR="002C1C7D" w:rsidRPr="008C51C9">
        <w:rPr>
          <w:rFonts w:ascii="Times New Roman" w:eastAsia="Times New Roman" w:hAnsi="Times New Roman" w:cs="Times New Roman"/>
          <w:sz w:val="24"/>
          <w:szCs w:val="24"/>
        </w:rPr>
        <w:t xml:space="preserve"> A</w:t>
      </w:r>
      <w:r w:rsidR="00B95928">
        <w:rPr>
          <w:rFonts w:ascii="Times New Roman" w:eastAsia="Times New Roman" w:hAnsi="Times New Roman" w:cs="Times New Roman"/>
          <w:sz w:val="24"/>
          <w:szCs w:val="24"/>
        </w:rPr>
        <w:fldChar w:fldCharType="end"/>
      </w:r>
      <w:r w:rsidR="002C1C7D" w:rsidRPr="008C51C9">
        <w:rPr>
          <w:rFonts w:ascii="Times New Roman" w:eastAsia="Times New Roman" w:hAnsi="Times New Roman" w:cs="Times New Roman"/>
          <w:sz w:val="24"/>
          <w:szCs w:val="24"/>
        </w:rPr>
        <w:t>, </w:t>
      </w:r>
      <w:hyperlink r:id="rId16" w:history="1">
        <w:r w:rsidR="002C1C7D" w:rsidRPr="008C51C9">
          <w:rPr>
            <w:rFonts w:ascii="Times New Roman" w:eastAsia="Times New Roman" w:hAnsi="Times New Roman" w:cs="Times New Roman"/>
            <w:sz w:val="24"/>
            <w:szCs w:val="24"/>
          </w:rPr>
          <w:t>Loft A</w:t>
        </w:r>
      </w:hyperlink>
      <w:r w:rsidR="002C1C7D" w:rsidRPr="008C51C9">
        <w:rPr>
          <w:rFonts w:ascii="Arial" w:eastAsia="Times New Roman" w:hAnsi="Arial" w:cs="Arial"/>
          <w:color w:val="000000"/>
        </w:rPr>
        <w:t>,</w:t>
      </w:r>
      <w:r w:rsidR="00D44DD1" w:rsidRPr="008C51C9">
        <w:rPr>
          <w:rFonts w:ascii="Times New Roman" w:hAnsi="Times New Roman" w:cs="Times New Roman"/>
          <w:sz w:val="24"/>
          <w:szCs w:val="24"/>
        </w:rPr>
        <w:t xml:space="preserve"> et al. The prevalence of polycystic ovary syndrome in a normal population according to the Rotterdam criteria versus revised criteria including anti-Müllerian hormone. </w:t>
      </w:r>
      <w:r w:rsidR="00D44DD1" w:rsidRPr="008C51C9">
        <w:rPr>
          <w:rFonts w:ascii="Times New Roman" w:hAnsi="Times New Roman" w:cs="Times New Roman"/>
          <w:i/>
          <w:iCs/>
          <w:sz w:val="24"/>
          <w:szCs w:val="24"/>
        </w:rPr>
        <w:t xml:space="preserve">Hum. </w:t>
      </w:r>
      <w:proofErr w:type="spellStart"/>
      <w:r w:rsidR="00D44DD1" w:rsidRPr="008C51C9">
        <w:rPr>
          <w:rFonts w:ascii="Times New Roman" w:hAnsi="Times New Roman" w:cs="Times New Roman"/>
          <w:i/>
          <w:iCs/>
          <w:sz w:val="24"/>
          <w:szCs w:val="24"/>
        </w:rPr>
        <w:t>Reprod</w:t>
      </w:r>
      <w:proofErr w:type="spellEnd"/>
      <w:r w:rsidR="00D44DD1" w:rsidRPr="008C51C9">
        <w:rPr>
          <w:rFonts w:ascii="Times New Roman" w:hAnsi="Times New Roman" w:cs="Times New Roman"/>
          <w:i/>
          <w:iCs/>
          <w:sz w:val="24"/>
          <w:szCs w:val="24"/>
        </w:rPr>
        <w:t>.</w:t>
      </w:r>
      <w:r w:rsidR="002C1C7D"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29</w:t>
      </w:r>
      <w:r w:rsidR="002C1C7D"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791–801.</w:t>
      </w:r>
    </w:p>
    <w:p w14:paraId="59453243" w14:textId="77777777" w:rsidR="00C40B52" w:rsidRPr="008C51C9" w:rsidRDefault="00C40B52"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17</w:t>
      </w:r>
      <w:r w:rsidR="00395D29" w:rsidRPr="008C51C9">
        <w:rPr>
          <w:rFonts w:ascii="Times New Roman" w:hAnsi="Times New Roman" w:cs="Times New Roman"/>
          <w:sz w:val="24"/>
          <w:szCs w:val="24"/>
        </w:rPr>
        <w:t>.</w:t>
      </w:r>
      <w:r w:rsidR="00395D29" w:rsidRPr="008C51C9">
        <w:rPr>
          <w:rFonts w:ascii="Times New Roman" w:hAnsi="Times New Roman" w:cs="Times New Roman"/>
          <w:sz w:val="24"/>
          <w:szCs w:val="24"/>
        </w:rPr>
        <w:tab/>
        <w:t xml:space="preserve">Norman RJ, </w:t>
      </w:r>
      <w:proofErr w:type="spellStart"/>
      <w:r w:rsidR="00395D29" w:rsidRPr="008C51C9">
        <w:rPr>
          <w:rFonts w:ascii="Times New Roman" w:hAnsi="Times New Roman" w:cs="Times New Roman"/>
          <w:sz w:val="24"/>
          <w:szCs w:val="24"/>
        </w:rPr>
        <w:t>Dewailly</w:t>
      </w:r>
      <w:proofErr w:type="spellEnd"/>
      <w:r w:rsidR="00395D29" w:rsidRPr="008C51C9">
        <w:rPr>
          <w:rFonts w:ascii="Times New Roman" w:hAnsi="Times New Roman" w:cs="Times New Roman"/>
          <w:sz w:val="24"/>
          <w:szCs w:val="24"/>
        </w:rPr>
        <w:t xml:space="preserve"> D, </w:t>
      </w:r>
      <w:proofErr w:type="spellStart"/>
      <w:r w:rsidR="00395D29" w:rsidRPr="008C51C9">
        <w:rPr>
          <w:rFonts w:ascii="Times New Roman" w:hAnsi="Times New Roman" w:cs="Times New Roman"/>
          <w:sz w:val="24"/>
          <w:szCs w:val="24"/>
        </w:rPr>
        <w:t>Legro</w:t>
      </w:r>
      <w:proofErr w:type="spellEnd"/>
      <w:r w:rsidR="00395D29" w:rsidRPr="008C51C9">
        <w:rPr>
          <w:rFonts w:ascii="Times New Roman" w:hAnsi="Times New Roman" w:cs="Times New Roman"/>
          <w:sz w:val="24"/>
          <w:szCs w:val="24"/>
        </w:rPr>
        <w:t xml:space="preserve"> RS, Hickey TE. Polycystic ovary syndrome. </w:t>
      </w:r>
      <w:r w:rsidRPr="008C51C9">
        <w:rPr>
          <w:rFonts w:ascii="Times New Roman" w:hAnsi="Times New Roman" w:cs="Times New Roman"/>
          <w:i/>
          <w:iCs/>
          <w:sz w:val="24"/>
          <w:szCs w:val="24"/>
        </w:rPr>
        <w:t>Lancet</w:t>
      </w:r>
      <w:r w:rsidR="00395D29" w:rsidRPr="008C51C9">
        <w:rPr>
          <w:rFonts w:ascii="Times New Roman" w:hAnsi="Times New Roman" w:cs="Times New Roman"/>
          <w:sz w:val="24"/>
          <w:szCs w:val="24"/>
        </w:rPr>
        <w:t xml:space="preserve">. 2007; </w:t>
      </w:r>
      <w:r w:rsidR="00395D29" w:rsidRPr="008C51C9">
        <w:rPr>
          <w:rFonts w:ascii="Times New Roman" w:hAnsi="Times New Roman" w:cs="Times New Roman"/>
          <w:b/>
          <w:bCs/>
          <w:sz w:val="24"/>
          <w:szCs w:val="24"/>
        </w:rPr>
        <w:t>370</w:t>
      </w:r>
      <w:r w:rsidR="00395D29" w:rsidRPr="008C51C9">
        <w:rPr>
          <w:rFonts w:ascii="Times New Roman" w:hAnsi="Times New Roman" w:cs="Times New Roman"/>
          <w:sz w:val="24"/>
          <w:szCs w:val="24"/>
        </w:rPr>
        <w:t>(9588): 685-697.</w:t>
      </w:r>
    </w:p>
    <w:p w14:paraId="4EA61512"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w:t>
      </w:r>
      <w:r w:rsidR="00C40B52" w:rsidRPr="008C51C9">
        <w:rPr>
          <w:rFonts w:ascii="Times New Roman" w:hAnsi="Times New Roman" w:cs="Times New Roman"/>
          <w:sz w:val="24"/>
          <w:szCs w:val="24"/>
        </w:rPr>
        <w:t>8</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proofErr w:type="spellStart"/>
      <w:r w:rsidR="00D44DD1" w:rsidRPr="008C51C9">
        <w:rPr>
          <w:rFonts w:ascii="Times New Roman" w:hAnsi="Times New Roman" w:cs="Times New Roman"/>
          <w:sz w:val="24"/>
          <w:szCs w:val="24"/>
        </w:rPr>
        <w:t>Azziz</w:t>
      </w:r>
      <w:proofErr w:type="spellEnd"/>
      <w:r w:rsidR="00D44DD1" w:rsidRPr="008C51C9">
        <w:rPr>
          <w:rFonts w:ascii="Times New Roman" w:hAnsi="Times New Roman" w:cs="Times New Roman"/>
          <w:sz w:val="24"/>
          <w:szCs w:val="24"/>
        </w:rPr>
        <w:t xml:space="preserve"> R, Marin C, </w:t>
      </w:r>
      <w:proofErr w:type="spellStart"/>
      <w:r w:rsidR="00D44DD1" w:rsidRPr="008C51C9">
        <w:rPr>
          <w:rFonts w:ascii="Times New Roman" w:hAnsi="Times New Roman" w:cs="Times New Roman"/>
          <w:sz w:val="24"/>
          <w:szCs w:val="24"/>
        </w:rPr>
        <w:t>Hoq</w:t>
      </w:r>
      <w:proofErr w:type="spellEnd"/>
      <w:r w:rsidR="00D44DD1" w:rsidRPr="008C51C9">
        <w:rPr>
          <w:rFonts w:ascii="Times New Roman" w:hAnsi="Times New Roman" w:cs="Times New Roman"/>
          <w:sz w:val="24"/>
          <w:szCs w:val="24"/>
        </w:rPr>
        <w:t xml:space="preserve"> L, </w:t>
      </w:r>
      <w:proofErr w:type="spellStart"/>
      <w:r w:rsidR="00D44DD1" w:rsidRPr="008C51C9">
        <w:rPr>
          <w:rFonts w:ascii="Times New Roman" w:hAnsi="Times New Roman" w:cs="Times New Roman"/>
          <w:sz w:val="24"/>
          <w:szCs w:val="24"/>
        </w:rPr>
        <w:t>Badamgarav</w:t>
      </w:r>
      <w:proofErr w:type="spellEnd"/>
      <w:r w:rsidR="00D44DD1" w:rsidRPr="008C51C9">
        <w:rPr>
          <w:rFonts w:ascii="Times New Roman" w:hAnsi="Times New Roman" w:cs="Times New Roman"/>
          <w:sz w:val="24"/>
          <w:szCs w:val="24"/>
        </w:rPr>
        <w:t xml:space="preserve"> E</w:t>
      </w:r>
      <w:r w:rsidR="00F619F6"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Song P. Health care-related economic burden of the polycystic ovary syndrome during the reproductive life span. </w:t>
      </w:r>
      <w:r w:rsidR="00D44DD1" w:rsidRPr="008C51C9">
        <w:rPr>
          <w:rFonts w:ascii="Times New Roman" w:hAnsi="Times New Roman" w:cs="Times New Roman"/>
          <w:i/>
          <w:iCs/>
          <w:sz w:val="24"/>
          <w:szCs w:val="24"/>
        </w:rPr>
        <w:t xml:space="preserve">J. Clin. Endocrinol. </w:t>
      </w:r>
      <w:proofErr w:type="spellStart"/>
      <w:r w:rsidR="00D44DD1" w:rsidRPr="008C51C9">
        <w:rPr>
          <w:rFonts w:ascii="Times New Roman" w:hAnsi="Times New Roman" w:cs="Times New Roman"/>
          <w:i/>
          <w:iCs/>
          <w:sz w:val="24"/>
          <w:szCs w:val="24"/>
        </w:rPr>
        <w:t>Metab</w:t>
      </w:r>
      <w:proofErr w:type="spellEnd"/>
      <w:r w:rsidR="00D44DD1" w:rsidRPr="008C51C9">
        <w:rPr>
          <w:rFonts w:ascii="Times New Roman" w:hAnsi="Times New Roman" w:cs="Times New Roman"/>
          <w:i/>
          <w:iCs/>
          <w:sz w:val="24"/>
          <w:szCs w:val="24"/>
        </w:rPr>
        <w:t>.</w:t>
      </w:r>
      <w:r w:rsidR="00F619F6" w:rsidRPr="008C51C9">
        <w:rPr>
          <w:rFonts w:ascii="Times New Roman" w:hAnsi="Times New Roman" w:cs="Times New Roman"/>
          <w:sz w:val="24"/>
          <w:szCs w:val="24"/>
        </w:rPr>
        <w:t xml:space="preserve"> 2005; </w:t>
      </w:r>
      <w:r w:rsidR="00D44DD1" w:rsidRPr="008C51C9">
        <w:rPr>
          <w:rFonts w:ascii="Times New Roman" w:hAnsi="Times New Roman" w:cs="Times New Roman"/>
          <w:b/>
          <w:bCs/>
          <w:sz w:val="24"/>
          <w:szCs w:val="24"/>
        </w:rPr>
        <w:t>90</w:t>
      </w:r>
      <w:r w:rsidR="00F619F6"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4650–4658</w:t>
      </w:r>
      <w:r w:rsidR="00F619F6" w:rsidRPr="008C51C9">
        <w:rPr>
          <w:rFonts w:ascii="Times New Roman" w:hAnsi="Times New Roman" w:cs="Times New Roman"/>
          <w:sz w:val="24"/>
          <w:szCs w:val="24"/>
        </w:rPr>
        <w:t>.</w:t>
      </w:r>
    </w:p>
    <w:p w14:paraId="5483407C"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w:t>
      </w:r>
      <w:r w:rsidR="00C40B52" w:rsidRPr="008C51C9">
        <w:rPr>
          <w:rFonts w:ascii="Times New Roman" w:hAnsi="Times New Roman" w:cs="Times New Roman"/>
          <w:sz w:val="24"/>
          <w:szCs w:val="24"/>
        </w:rPr>
        <w:t>9</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Hart R</w:t>
      </w:r>
      <w:r w:rsidR="00714E23"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Doherty DA. The potential implications of a PCOS diagnosis on a woman’s long-term health using data linkage. </w:t>
      </w:r>
      <w:r w:rsidR="00D44DD1" w:rsidRPr="008C51C9">
        <w:rPr>
          <w:rFonts w:ascii="Times New Roman" w:hAnsi="Times New Roman" w:cs="Times New Roman"/>
          <w:i/>
          <w:iCs/>
          <w:sz w:val="24"/>
          <w:szCs w:val="24"/>
        </w:rPr>
        <w:t xml:space="preserve">J. Clin. Endocrinol. </w:t>
      </w:r>
      <w:proofErr w:type="spellStart"/>
      <w:r w:rsidR="00D44DD1" w:rsidRPr="008C51C9">
        <w:rPr>
          <w:rFonts w:ascii="Times New Roman" w:hAnsi="Times New Roman" w:cs="Times New Roman"/>
          <w:i/>
          <w:iCs/>
          <w:sz w:val="24"/>
          <w:szCs w:val="24"/>
        </w:rPr>
        <w:t>Metab</w:t>
      </w:r>
      <w:proofErr w:type="spellEnd"/>
      <w:r w:rsidR="00D44DD1" w:rsidRPr="008C51C9">
        <w:rPr>
          <w:rFonts w:ascii="Times New Roman" w:hAnsi="Times New Roman" w:cs="Times New Roman"/>
          <w:i/>
          <w:iCs/>
          <w:sz w:val="24"/>
          <w:szCs w:val="24"/>
        </w:rPr>
        <w:t>.</w:t>
      </w:r>
      <w:r w:rsidR="00714E23" w:rsidRPr="008C51C9">
        <w:rPr>
          <w:rFonts w:ascii="Times New Roman" w:hAnsi="Times New Roman" w:cs="Times New Roman"/>
          <w:sz w:val="24"/>
          <w:szCs w:val="24"/>
        </w:rPr>
        <w:t xml:space="preserve"> 2015; </w:t>
      </w:r>
      <w:r w:rsidR="00D44DD1" w:rsidRPr="008C51C9">
        <w:rPr>
          <w:rFonts w:ascii="Times New Roman" w:hAnsi="Times New Roman" w:cs="Times New Roman"/>
          <w:b/>
          <w:bCs/>
          <w:sz w:val="24"/>
          <w:szCs w:val="24"/>
        </w:rPr>
        <w:t>100</w:t>
      </w:r>
      <w:r w:rsidR="00714E23"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911–919.</w:t>
      </w:r>
    </w:p>
    <w:p w14:paraId="4A4DB2EF" w14:textId="77777777" w:rsidR="00D44DD1" w:rsidRPr="008C51C9" w:rsidRDefault="00C40B52"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20</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proofErr w:type="spellStart"/>
      <w:r w:rsidR="00D44DD1" w:rsidRPr="008C51C9">
        <w:rPr>
          <w:rFonts w:ascii="Times New Roman" w:hAnsi="Times New Roman" w:cs="Times New Roman"/>
          <w:sz w:val="24"/>
          <w:szCs w:val="24"/>
        </w:rPr>
        <w:t>Teede</w:t>
      </w:r>
      <w:proofErr w:type="spellEnd"/>
      <w:r w:rsidR="00D44DD1" w:rsidRPr="008C51C9">
        <w:rPr>
          <w:rFonts w:ascii="Times New Roman" w:hAnsi="Times New Roman" w:cs="Times New Roman"/>
          <w:sz w:val="24"/>
          <w:szCs w:val="24"/>
        </w:rPr>
        <w:t xml:space="preserve"> H, </w:t>
      </w:r>
      <w:proofErr w:type="spellStart"/>
      <w:r w:rsidR="00D44DD1" w:rsidRPr="008C51C9">
        <w:rPr>
          <w:rFonts w:ascii="Times New Roman" w:hAnsi="Times New Roman" w:cs="Times New Roman"/>
          <w:sz w:val="24"/>
          <w:szCs w:val="24"/>
        </w:rPr>
        <w:t>Deeks</w:t>
      </w:r>
      <w:proofErr w:type="spellEnd"/>
      <w:r w:rsidR="00D44DD1" w:rsidRPr="008C51C9">
        <w:rPr>
          <w:rFonts w:ascii="Times New Roman" w:hAnsi="Times New Roman" w:cs="Times New Roman"/>
          <w:sz w:val="24"/>
          <w:szCs w:val="24"/>
        </w:rPr>
        <w:t xml:space="preserve"> A</w:t>
      </w:r>
      <w:r w:rsidR="00714E23"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Moran L. Polycystic ovary syndrome: a complex condition with psychological, reproductive and metabolic manifestations that impacts on health across the lifespan. </w:t>
      </w:r>
      <w:r w:rsidR="00D44DD1" w:rsidRPr="008C51C9">
        <w:rPr>
          <w:rFonts w:ascii="Times New Roman" w:hAnsi="Times New Roman" w:cs="Times New Roman"/>
          <w:i/>
          <w:iCs/>
          <w:sz w:val="24"/>
          <w:szCs w:val="24"/>
        </w:rPr>
        <w:t>BMC Med.</w:t>
      </w:r>
      <w:r w:rsidR="00714E23" w:rsidRPr="008C51C9">
        <w:rPr>
          <w:rFonts w:ascii="Times New Roman" w:hAnsi="Times New Roman" w:cs="Times New Roman"/>
          <w:sz w:val="24"/>
          <w:szCs w:val="24"/>
        </w:rPr>
        <w:t xml:space="preserve"> 2010; </w:t>
      </w:r>
      <w:r w:rsidR="00D44DD1" w:rsidRPr="008C51C9">
        <w:rPr>
          <w:rFonts w:ascii="Times New Roman" w:hAnsi="Times New Roman" w:cs="Times New Roman"/>
          <w:b/>
          <w:bCs/>
          <w:sz w:val="24"/>
          <w:szCs w:val="24"/>
        </w:rPr>
        <w:t>8</w:t>
      </w:r>
      <w:r w:rsidR="00714E23"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41.</w:t>
      </w:r>
    </w:p>
    <w:p w14:paraId="21D64528"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1</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proofErr w:type="spellStart"/>
      <w:r w:rsidR="00D44DD1" w:rsidRPr="008C51C9">
        <w:rPr>
          <w:rFonts w:ascii="Times New Roman" w:hAnsi="Times New Roman" w:cs="Times New Roman"/>
          <w:sz w:val="24"/>
          <w:szCs w:val="24"/>
        </w:rPr>
        <w:t>Badawy</w:t>
      </w:r>
      <w:proofErr w:type="spellEnd"/>
      <w:r w:rsidR="00D44DD1" w:rsidRPr="008C51C9">
        <w:rPr>
          <w:rFonts w:ascii="Times New Roman" w:hAnsi="Times New Roman" w:cs="Times New Roman"/>
          <w:sz w:val="24"/>
          <w:szCs w:val="24"/>
        </w:rPr>
        <w:t xml:space="preserve"> A</w:t>
      </w:r>
      <w:r w:rsidR="001D1FBA"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Elnashar</w:t>
      </w:r>
      <w:proofErr w:type="spellEnd"/>
      <w:r w:rsidR="00D44DD1" w:rsidRPr="008C51C9">
        <w:rPr>
          <w:rFonts w:ascii="Times New Roman" w:hAnsi="Times New Roman" w:cs="Times New Roman"/>
          <w:sz w:val="24"/>
          <w:szCs w:val="24"/>
        </w:rPr>
        <w:t xml:space="preserve"> A. Treatment options for polycystic ovary syndrome. </w:t>
      </w:r>
      <w:r w:rsidR="00D44DD1" w:rsidRPr="008C51C9">
        <w:rPr>
          <w:rFonts w:ascii="Times New Roman" w:hAnsi="Times New Roman" w:cs="Times New Roman"/>
          <w:i/>
          <w:iCs/>
          <w:sz w:val="24"/>
          <w:szCs w:val="24"/>
        </w:rPr>
        <w:t xml:space="preserve">Int. J. </w:t>
      </w:r>
      <w:proofErr w:type="spellStart"/>
      <w:r w:rsidR="00D44DD1" w:rsidRPr="008C51C9">
        <w:rPr>
          <w:rFonts w:ascii="Times New Roman" w:hAnsi="Times New Roman" w:cs="Times New Roman"/>
          <w:i/>
          <w:iCs/>
          <w:sz w:val="24"/>
          <w:szCs w:val="24"/>
        </w:rPr>
        <w:t>Womens</w:t>
      </w:r>
      <w:proofErr w:type="spellEnd"/>
      <w:r w:rsidR="00D44DD1" w:rsidRPr="008C51C9">
        <w:rPr>
          <w:rFonts w:ascii="Times New Roman" w:hAnsi="Times New Roman" w:cs="Times New Roman"/>
          <w:i/>
          <w:iCs/>
          <w:sz w:val="24"/>
          <w:szCs w:val="24"/>
        </w:rPr>
        <w:t xml:space="preserve"> </w:t>
      </w:r>
      <w:r w:rsidR="00D44DD1" w:rsidRPr="008C51C9">
        <w:rPr>
          <w:rFonts w:ascii="Times New Roman" w:hAnsi="Times New Roman" w:cs="Times New Roman"/>
          <w:sz w:val="24"/>
          <w:szCs w:val="24"/>
        </w:rPr>
        <w:t>Health</w:t>
      </w:r>
      <w:r w:rsidR="001D1FBA" w:rsidRPr="008C51C9">
        <w:rPr>
          <w:rFonts w:ascii="Times New Roman" w:hAnsi="Times New Roman" w:cs="Times New Roman"/>
          <w:sz w:val="24"/>
          <w:szCs w:val="24"/>
        </w:rPr>
        <w:t xml:space="preserve">. 2011; </w:t>
      </w:r>
      <w:r w:rsidR="00D44DD1" w:rsidRPr="008C51C9">
        <w:rPr>
          <w:rFonts w:ascii="Times New Roman" w:hAnsi="Times New Roman" w:cs="Times New Roman"/>
          <w:b/>
          <w:bCs/>
          <w:sz w:val="24"/>
          <w:szCs w:val="24"/>
        </w:rPr>
        <w:t>3</w:t>
      </w:r>
      <w:r w:rsidR="001D1FBA"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25–35.</w:t>
      </w:r>
    </w:p>
    <w:p w14:paraId="3427CA33"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2</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proofErr w:type="spellStart"/>
      <w:r w:rsidR="00D44DD1" w:rsidRPr="008C51C9">
        <w:rPr>
          <w:rFonts w:ascii="Times New Roman" w:hAnsi="Times New Roman" w:cs="Times New Roman"/>
          <w:sz w:val="24"/>
          <w:szCs w:val="24"/>
        </w:rPr>
        <w:t>Misso</w:t>
      </w:r>
      <w:proofErr w:type="spellEnd"/>
      <w:r w:rsidR="00D44DD1" w:rsidRPr="008C51C9">
        <w:rPr>
          <w:rFonts w:ascii="Times New Roman" w:hAnsi="Times New Roman" w:cs="Times New Roman"/>
          <w:sz w:val="24"/>
          <w:szCs w:val="24"/>
        </w:rPr>
        <w:t xml:space="preserve"> M, Boyle J, Norman R</w:t>
      </w:r>
      <w:r w:rsidR="001D1FBA"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Teede</w:t>
      </w:r>
      <w:proofErr w:type="spellEnd"/>
      <w:r w:rsidR="00D44DD1" w:rsidRPr="008C51C9">
        <w:rPr>
          <w:rFonts w:ascii="Times New Roman" w:hAnsi="Times New Roman" w:cs="Times New Roman"/>
          <w:sz w:val="24"/>
          <w:szCs w:val="24"/>
        </w:rPr>
        <w:t xml:space="preserve"> H. Development of evidenced-based guidelines for PCOS and implications for community health. </w:t>
      </w:r>
      <w:r w:rsidR="00D44DD1" w:rsidRPr="008C51C9">
        <w:rPr>
          <w:rFonts w:ascii="Times New Roman" w:hAnsi="Times New Roman" w:cs="Times New Roman"/>
          <w:i/>
          <w:iCs/>
          <w:sz w:val="24"/>
          <w:szCs w:val="24"/>
        </w:rPr>
        <w:t xml:space="preserve">Semin. </w:t>
      </w:r>
      <w:proofErr w:type="spellStart"/>
      <w:r w:rsidR="00D44DD1" w:rsidRPr="008C51C9">
        <w:rPr>
          <w:rFonts w:ascii="Times New Roman" w:hAnsi="Times New Roman" w:cs="Times New Roman"/>
          <w:i/>
          <w:iCs/>
          <w:sz w:val="24"/>
          <w:szCs w:val="24"/>
        </w:rPr>
        <w:t>Reprod</w:t>
      </w:r>
      <w:proofErr w:type="spellEnd"/>
      <w:r w:rsidR="00D44DD1" w:rsidRPr="008C51C9">
        <w:rPr>
          <w:rFonts w:ascii="Times New Roman" w:hAnsi="Times New Roman" w:cs="Times New Roman"/>
          <w:i/>
          <w:iCs/>
          <w:sz w:val="24"/>
          <w:szCs w:val="24"/>
        </w:rPr>
        <w:t>. Med.</w:t>
      </w:r>
      <w:r w:rsidR="001D1FBA"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32</w:t>
      </w:r>
      <w:r w:rsidR="001D1FBA"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230–240</w:t>
      </w:r>
      <w:r w:rsidR="001D1FBA" w:rsidRPr="008C51C9">
        <w:rPr>
          <w:rFonts w:ascii="Times New Roman" w:hAnsi="Times New Roman" w:cs="Times New Roman"/>
          <w:sz w:val="24"/>
          <w:szCs w:val="24"/>
        </w:rPr>
        <w:t>.</w:t>
      </w:r>
    </w:p>
    <w:p w14:paraId="7584E8FB"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3</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 xml:space="preserve">Costello M, Shrestha B, Eden J, </w:t>
      </w:r>
      <w:proofErr w:type="spellStart"/>
      <w:r w:rsidR="00D44DD1" w:rsidRPr="008C51C9">
        <w:rPr>
          <w:rFonts w:ascii="Times New Roman" w:hAnsi="Times New Roman" w:cs="Times New Roman"/>
          <w:sz w:val="24"/>
          <w:szCs w:val="24"/>
        </w:rPr>
        <w:t>Sjoblom</w:t>
      </w:r>
      <w:proofErr w:type="spellEnd"/>
      <w:r w:rsidR="00D44DD1" w:rsidRPr="008C51C9">
        <w:rPr>
          <w:rFonts w:ascii="Times New Roman" w:hAnsi="Times New Roman" w:cs="Times New Roman"/>
          <w:sz w:val="24"/>
          <w:szCs w:val="24"/>
        </w:rPr>
        <w:t xml:space="preserve"> P</w:t>
      </w:r>
      <w:r w:rsidR="00B7734C" w:rsidRPr="008C51C9">
        <w:rPr>
          <w:rFonts w:ascii="Times New Roman" w:hAnsi="Times New Roman" w:cs="Times New Roman"/>
          <w:sz w:val="24"/>
          <w:szCs w:val="24"/>
        </w:rPr>
        <w:t xml:space="preserve">, </w:t>
      </w:r>
      <w:r w:rsidR="00D44DD1" w:rsidRPr="008C51C9">
        <w:rPr>
          <w:rFonts w:ascii="Times New Roman" w:hAnsi="Times New Roman" w:cs="Times New Roman"/>
          <w:sz w:val="24"/>
          <w:szCs w:val="24"/>
        </w:rPr>
        <w:t xml:space="preserve">Johnson N. Insulin-sensitising drugs versus the combined oral contraceptive pill for hirsutism, acne and risk of diabetes, cardiovascular disease, and endometrial cancer in polycystic ovary syndrome. </w:t>
      </w:r>
      <w:r w:rsidR="00D44DD1" w:rsidRPr="008C51C9">
        <w:rPr>
          <w:rFonts w:ascii="Times New Roman" w:hAnsi="Times New Roman" w:cs="Times New Roman"/>
          <w:i/>
          <w:iCs/>
          <w:sz w:val="24"/>
          <w:szCs w:val="24"/>
        </w:rPr>
        <w:t>Cochrane Database Syst. Rev.</w:t>
      </w:r>
      <w:r w:rsidR="00B7734C" w:rsidRPr="008C51C9">
        <w:rPr>
          <w:rFonts w:ascii="Times New Roman" w:hAnsi="Times New Roman" w:cs="Times New Roman"/>
          <w:sz w:val="24"/>
          <w:szCs w:val="24"/>
        </w:rPr>
        <w:t xml:space="preserve"> 2007; </w:t>
      </w:r>
      <w:r w:rsidR="00142F0C" w:rsidRPr="008C51C9">
        <w:rPr>
          <w:rFonts w:ascii="Times New Roman" w:hAnsi="Times New Roman" w:cs="Times New Roman"/>
          <w:b/>
          <w:bCs/>
          <w:sz w:val="24"/>
          <w:szCs w:val="24"/>
        </w:rPr>
        <w:t>1</w:t>
      </w:r>
      <w:r w:rsidR="00142F0C" w:rsidRPr="008C51C9">
        <w:rPr>
          <w:rFonts w:ascii="Times New Roman" w:hAnsi="Times New Roman" w:cs="Times New Roman"/>
          <w:sz w:val="24"/>
          <w:szCs w:val="24"/>
        </w:rPr>
        <w:t xml:space="preserve">: </w:t>
      </w:r>
      <w:r w:rsidR="00D44DD1" w:rsidRPr="008C51C9">
        <w:rPr>
          <w:rFonts w:ascii="Times New Roman" w:hAnsi="Times New Roman" w:cs="Times New Roman"/>
          <w:sz w:val="24"/>
          <w:szCs w:val="24"/>
        </w:rPr>
        <w:t>CD005552.</w:t>
      </w:r>
    </w:p>
    <w:p w14:paraId="06EAD8F4"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4</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proofErr w:type="spellStart"/>
      <w:r w:rsidR="00D44DD1" w:rsidRPr="008C51C9">
        <w:rPr>
          <w:rFonts w:ascii="Times New Roman" w:hAnsi="Times New Roman" w:cs="Times New Roman"/>
          <w:sz w:val="24"/>
          <w:szCs w:val="24"/>
        </w:rPr>
        <w:t>Yildiz</w:t>
      </w:r>
      <w:proofErr w:type="spellEnd"/>
      <w:r w:rsidR="00D44DD1" w:rsidRPr="008C51C9">
        <w:rPr>
          <w:rFonts w:ascii="Times New Roman" w:hAnsi="Times New Roman" w:cs="Times New Roman"/>
          <w:sz w:val="24"/>
          <w:szCs w:val="24"/>
        </w:rPr>
        <w:t xml:space="preserve"> BO. Approach to the patient: contraception in women with polycystic ovary syndrome. </w:t>
      </w:r>
      <w:r w:rsidR="00D44DD1" w:rsidRPr="008C51C9">
        <w:rPr>
          <w:rFonts w:ascii="Times New Roman" w:hAnsi="Times New Roman" w:cs="Times New Roman"/>
          <w:i/>
          <w:iCs/>
          <w:sz w:val="24"/>
          <w:szCs w:val="24"/>
        </w:rPr>
        <w:t xml:space="preserve">J. Clin. Endocrinol. </w:t>
      </w:r>
      <w:proofErr w:type="spellStart"/>
      <w:r w:rsidR="00D44DD1" w:rsidRPr="008C51C9">
        <w:rPr>
          <w:rFonts w:ascii="Times New Roman" w:hAnsi="Times New Roman" w:cs="Times New Roman"/>
          <w:i/>
          <w:iCs/>
          <w:sz w:val="24"/>
          <w:szCs w:val="24"/>
        </w:rPr>
        <w:t>Metab</w:t>
      </w:r>
      <w:proofErr w:type="spellEnd"/>
      <w:r w:rsidR="00D44DD1" w:rsidRPr="008C51C9">
        <w:rPr>
          <w:rFonts w:ascii="Times New Roman" w:hAnsi="Times New Roman" w:cs="Times New Roman"/>
          <w:i/>
          <w:iCs/>
          <w:sz w:val="24"/>
          <w:szCs w:val="24"/>
        </w:rPr>
        <w:t>.</w:t>
      </w:r>
      <w:r w:rsidR="00CD49DA" w:rsidRPr="008C51C9">
        <w:rPr>
          <w:rFonts w:ascii="Times New Roman" w:hAnsi="Times New Roman" w:cs="Times New Roman"/>
          <w:sz w:val="24"/>
          <w:szCs w:val="24"/>
        </w:rPr>
        <w:t xml:space="preserve"> 2015; </w:t>
      </w:r>
      <w:r w:rsidR="00D44DD1" w:rsidRPr="008C51C9">
        <w:rPr>
          <w:rFonts w:ascii="Times New Roman" w:hAnsi="Times New Roman" w:cs="Times New Roman"/>
          <w:b/>
          <w:bCs/>
          <w:sz w:val="24"/>
          <w:szCs w:val="24"/>
        </w:rPr>
        <w:t>100</w:t>
      </w:r>
      <w:r w:rsidR="00CD49DA"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794–802.</w:t>
      </w:r>
    </w:p>
    <w:p w14:paraId="7A91AE2D"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lastRenderedPageBreak/>
        <w:t>2</w:t>
      </w:r>
      <w:r w:rsidR="00C40B52" w:rsidRPr="008C51C9">
        <w:rPr>
          <w:rFonts w:ascii="Times New Roman" w:hAnsi="Times New Roman" w:cs="Times New Roman"/>
          <w:sz w:val="24"/>
          <w:szCs w:val="24"/>
        </w:rPr>
        <w:t>5</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ACOG Committee on Practice Bulletins--</w:t>
      </w:r>
      <w:proofErr w:type="spellStart"/>
      <w:r w:rsidR="00D44DD1" w:rsidRPr="008C51C9">
        <w:rPr>
          <w:rFonts w:ascii="Times New Roman" w:hAnsi="Times New Roman" w:cs="Times New Roman"/>
          <w:sz w:val="24"/>
          <w:szCs w:val="24"/>
        </w:rPr>
        <w:t>Gynecology</w:t>
      </w:r>
      <w:proofErr w:type="spellEnd"/>
      <w:r w:rsidR="00D44DD1" w:rsidRPr="008C51C9">
        <w:rPr>
          <w:rFonts w:ascii="Times New Roman" w:hAnsi="Times New Roman" w:cs="Times New Roman"/>
          <w:sz w:val="24"/>
          <w:szCs w:val="24"/>
        </w:rPr>
        <w:t xml:space="preserve">. ACOG Practice Bulletin No. 108: Polycystic ovary syndrome. </w:t>
      </w:r>
      <w:r w:rsidR="00D44DD1" w:rsidRPr="008C51C9">
        <w:rPr>
          <w:rFonts w:ascii="Times New Roman" w:hAnsi="Times New Roman" w:cs="Times New Roman"/>
          <w:i/>
          <w:iCs/>
          <w:sz w:val="24"/>
          <w:szCs w:val="24"/>
        </w:rPr>
        <w:t>Obstet. Gynecol.</w:t>
      </w:r>
      <w:r w:rsidR="00CD49DA" w:rsidRPr="008C51C9">
        <w:rPr>
          <w:rFonts w:ascii="Times New Roman" w:hAnsi="Times New Roman" w:cs="Times New Roman"/>
          <w:i/>
          <w:iCs/>
          <w:sz w:val="24"/>
          <w:szCs w:val="24"/>
        </w:rPr>
        <w:t xml:space="preserve"> </w:t>
      </w:r>
      <w:r w:rsidR="00CD49DA" w:rsidRPr="008C51C9">
        <w:rPr>
          <w:rFonts w:ascii="Times New Roman" w:hAnsi="Times New Roman" w:cs="Times New Roman"/>
          <w:sz w:val="24"/>
          <w:szCs w:val="24"/>
        </w:rPr>
        <w:t xml:space="preserve">2009; </w:t>
      </w:r>
      <w:r w:rsidR="00D44DD1" w:rsidRPr="008C51C9">
        <w:rPr>
          <w:rFonts w:ascii="Times New Roman" w:hAnsi="Times New Roman" w:cs="Times New Roman"/>
          <w:b/>
          <w:bCs/>
          <w:sz w:val="24"/>
          <w:szCs w:val="24"/>
        </w:rPr>
        <w:t>114</w:t>
      </w:r>
      <w:r w:rsidR="00CD49DA"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936–949.</w:t>
      </w:r>
    </w:p>
    <w:p w14:paraId="41D3F4A0"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6</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 xml:space="preserve">Thessaloniki ESHRE/ASRM-Sponsored PCOS Consensus Workshop Group. Consensus on infertility treatment related to polycystic ovary syndrome. </w:t>
      </w:r>
      <w:proofErr w:type="spellStart"/>
      <w:r w:rsidR="00D44DD1" w:rsidRPr="008C51C9">
        <w:rPr>
          <w:rFonts w:ascii="Times New Roman" w:hAnsi="Times New Roman" w:cs="Times New Roman"/>
          <w:i/>
          <w:iCs/>
          <w:sz w:val="24"/>
          <w:szCs w:val="24"/>
        </w:rPr>
        <w:t>Fertil</w:t>
      </w:r>
      <w:proofErr w:type="spellEnd"/>
      <w:r w:rsidR="00D44DD1" w:rsidRPr="008C51C9">
        <w:rPr>
          <w:rFonts w:ascii="Times New Roman" w:hAnsi="Times New Roman" w:cs="Times New Roman"/>
          <w:i/>
          <w:iCs/>
          <w:sz w:val="24"/>
          <w:szCs w:val="24"/>
        </w:rPr>
        <w:t xml:space="preserve">. </w:t>
      </w:r>
      <w:proofErr w:type="spellStart"/>
      <w:r w:rsidR="00D44DD1" w:rsidRPr="008C51C9">
        <w:rPr>
          <w:rFonts w:ascii="Times New Roman" w:hAnsi="Times New Roman" w:cs="Times New Roman"/>
          <w:i/>
          <w:iCs/>
          <w:sz w:val="24"/>
          <w:szCs w:val="24"/>
        </w:rPr>
        <w:t>Steril</w:t>
      </w:r>
      <w:proofErr w:type="spellEnd"/>
      <w:r w:rsidR="00D44DD1" w:rsidRPr="008C51C9">
        <w:rPr>
          <w:rFonts w:ascii="Times New Roman" w:hAnsi="Times New Roman" w:cs="Times New Roman"/>
          <w:i/>
          <w:iCs/>
          <w:sz w:val="24"/>
          <w:szCs w:val="24"/>
        </w:rPr>
        <w:t>.</w:t>
      </w:r>
      <w:r w:rsidR="00CD49DA" w:rsidRPr="008C51C9">
        <w:rPr>
          <w:rFonts w:ascii="Times New Roman" w:hAnsi="Times New Roman" w:cs="Times New Roman"/>
          <w:sz w:val="24"/>
          <w:szCs w:val="24"/>
        </w:rPr>
        <w:t xml:space="preserve"> 2008; </w:t>
      </w:r>
      <w:r w:rsidR="00D44DD1" w:rsidRPr="008C51C9">
        <w:rPr>
          <w:rFonts w:ascii="Times New Roman" w:hAnsi="Times New Roman" w:cs="Times New Roman"/>
          <w:b/>
          <w:bCs/>
          <w:sz w:val="24"/>
          <w:szCs w:val="24"/>
        </w:rPr>
        <w:t>89</w:t>
      </w:r>
      <w:r w:rsidR="00CD49DA"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505–522.</w:t>
      </w:r>
    </w:p>
    <w:p w14:paraId="7B5C76C3"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7</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 xml:space="preserve">Raja-Khan N, </w:t>
      </w:r>
      <w:proofErr w:type="spellStart"/>
      <w:r w:rsidR="00D44DD1" w:rsidRPr="008C51C9">
        <w:rPr>
          <w:rFonts w:ascii="Times New Roman" w:hAnsi="Times New Roman" w:cs="Times New Roman"/>
          <w:sz w:val="24"/>
          <w:szCs w:val="24"/>
        </w:rPr>
        <w:t>Stener-Victorin</w:t>
      </w:r>
      <w:proofErr w:type="spellEnd"/>
      <w:r w:rsidR="00D44DD1" w:rsidRPr="008C51C9">
        <w:rPr>
          <w:rFonts w:ascii="Times New Roman" w:hAnsi="Times New Roman" w:cs="Times New Roman"/>
          <w:sz w:val="24"/>
          <w:szCs w:val="24"/>
        </w:rPr>
        <w:t xml:space="preserve"> E, Wu X</w:t>
      </w:r>
      <w:r w:rsidR="003A249E"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Legro</w:t>
      </w:r>
      <w:proofErr w:type="spellEnd"/>
      <w:r w:rsidR="00D44DD1" w:rsidRPr="008C51C9">
        <w:rPr>
          <w:rFonts w:ascii="Times New Roman" w:hAnsi="Times New Roman" w:cs="Times New Roman"/>
          <w:sz w:val="24"/>
          <w:szCs w:val="24"/>
        </w:rPr>
        <w:t xml:space="preserve"> RS. The physiological basis of complementary and alternative medicines for polycystic ovary syndrome. </w:t>
      </w:r>
      <w:r w:rsidR="00D44DD1" w:rsidRPr="008C51C9">
        <w:rPr>
          <w:rFonts w:ascii="Times New Roman" w:hAnsi="Times New Roman" w:cs="Times New Roman"/>
          <w:i/>
          <w:iCs/>
          <w:sz w:val="24"/>
          <w:szCs w:val="24"/>
        </w:rPr>
        <w:t xml:space="preserve">Am. J. Physiol. - Endocrinol. </w:t>
      </w:r>
      <w:proofErr w:type="spellStart"/>
      <w:r w:rsidR="00D44DD1" w:rsidRPr="008C51C9">
        <w:rPr>
          <w:rFonts w:ascii="Times New Roman" w:hAnsi="Times New Roman" w:cs="Times New Roman"/>
          <w:i/>
          <w:iCs/>
          <w:sz w:val="24"/>
          <w:szCs w:val="24"/>
        </w:rPr>
        <w:t>Metab</w:t>
      </w:r>
      <w:proofErr w:type="spellEnd"/>
      <w:r w:rsidR="00D44DD1" w:rsidRPr="008C51C9">
        <w:rPr>
          <w:rFonts w:ascii="Times New Roman" w:hAnsi="Times New Roman" w:cs="Times New Roman"/>
          <w:i/>
          <w:iCs/>
          <w:sz w:val="24"/>
          <w:szCs w:val="24"/>
        </w:rPr>
        <w:t>.</w:t>
      </w:r>
      <w:r w:rsidR="003A249E" w:rsidRPr="008C51C9">
        <w:rPr>
          <w:rFonts w:ascii="Times New Roman" w:hAnsi="Times New Roman" w:cs="Times New Roman"/>
          <w:sz w:val="24"/>
          <w:szCs w:val="24"/>
        </w:rPr>
        <w:t xml:space="preserve"> 2011; </w:t>
      </w:r>
      <w:r w:rsidR="00D44DD1" w:rsidRPr="008C51C9">
        <w:rPr>
          <w:rFonts w:ascii="Times New Roman" w:hAnsi="Times New Roman" w:cs="Times New Roman"/>
          <w:b/>
          <w:bCs/>
          <w:sz w:val="24"/>
          <w:szCs w:val="24"/>
        </w:rPr>
        <w:t>301</w:t>
      </w:r>
      <w:r w:rsidR="003A249E"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E1–E10.</w:t>
      </w:r>
    </w:p>
    <w:p w14:paraId="25451279"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8</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proofErr w:type="spellStart"/>
      <w:r w:rsidR="00D44DD1" w:rsidRPr="008C51C9">
        <w:rPr>
          <w:rFonts w:ascii="Times New Roman" w:hAnsi="Times New Roman" w:cs="Times New Roman"/>
          <w:sz w:val="24"/>
          <w:szCs w:val="24"/>
        </w:rPr>
        <w:t>Lidegaard</w:t>
      </w:r>
      <w:proofErr w:type="spellEnd"/>
      <w:r w:rsidR="00D44DD1" w:rsidRPr="008C51C9">
        <w:rPr>
          <w:rFonts w:ascii="Times New Roman" w:hAnsi="Times New Roman" w:cs="Times New Roman"/>
          <w:sz w:val="24"/>
          <w:szCs w:val="24"/>
        </w:rPr>
        <w:t xml:space="preserve"> Ø, </w:t>
      </w:r>
      <w:proofErr w:type="spellStart"/>
      <w:r w:rsidR="00D44DD1" w:rsidRPr="008C51C9">
        <w:rPr>
          <w:rFonts w:ascii="Times New Roman" w:hAnsi="Times New Roman" w:cs="Times New Roman"/>
          <w:sz w:val="24"/>
          <w:szCs w:val="24"/>
        </w:rPr>
        <w:t>Løkkegaard</w:t>
      </w:r>
      <w:proofErr w:type="spellEnd"/>
      <w:r w:rsidR="00D44DD1" w:rsidRPr="008C51C9">
        <w:rPr>
          <w:rFonts w:ascii="Times New Roman" w:hAnsi="Times New Roman" w:cs="Times New Roman"/>
          <w:sz w:val="24"/>
          <w:szCs w:val="24"/>
        </w:rPr>
        <w:t xml:space="preserve"> E, Jensen A, </w:t>
      </w:r>
      <w:proofErr w:type="spellStart"/>
      <w:r w:rsidR="00D44DD1" w:rsidRPr="008C51C9">
        <w:rPr>
          <w:rFonts w:ascii="Times New Roman" w:hAnsi="Times New Roman" w:cs="Times New Roman"/>
          <w:sz w:val="24"/>
          <w:szCs w:val="24"/>
        </w:rPr>
        <w:t>Skovlund</w:t>
      </w:r>
      <w:proofErr w:type="spellEnd"/>
      <w:r w:rsidR="00D44DD1" w:rsidRPr="008C51C9">
        <w:rPr>
          <w:rFonts w:ascii="Times New Roman" w:hAnsi="Times New Roman" w:cs="Times New Roman"/>
          <w:sz w:val="24"/>
          <w:szCs w:val="24"/>
        </w:rPr>
        <w:t xml:space="preserve"> CW</w:t>
      </w:r>
      <w:r w:rsidR="002D6E49"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Keiding</w:t>
      </w:r>
      <w:proofErr w:type="spellEnd"/>
      <w:r w:rsidR="00D44DD1" w:rsidRPr="008C51C9">
        <w:rPr>
          <w:rFonts w:ascii="Times New Roman" w:hAnsi="Times New Roman" w:cs="Times New Roman"/>
          <w:sz w:val="24"/>
          <w:szCs w:val="24"/>
        </w:rPr>
        <w:t xml:space="preserve"> N. Thrombotic stroke and myocardial infarction with hormonal contraception. </w:t>
      </w:r>
      <w:r w:rsidR="00D44DD1" w:rsidRPr="008C51C9">
        <w:rPr>
          <w:rFonts w:ascii="Times New Roman" w:hAnsi="Times New Roman" w:cs="Times New Roman"/>
          <w:i/>
          <w:iCs/>
          <w:sz w:val="24"/>
          <w:szCs w:val="24"/>
        </w:rPr>
        <w:t>N. Engl. J. Med.</w:t>
      </w:r>
      <w:r w:rsidR="002D6E49" w:rsidRPr="008C51C9">
        <w:rPr>
          <w:rFonts w:ascii="Times New Roman" w:hAnsi="Times New Roman" w:cs="Times New Roman"/>
          <w:sz w:val="24"/>
          <w:szCs w:val="24"/>
        </w:rPr>
        <w:t xml:space="preserve"> 2012</w:t>
      </w:r>
      <w:r w:rsidR="0075440B" w:rsidRPr="008C51C9">
        <w:rPr>
          <w:rFonts w:ascii="Times New Roman" w:hAnsi="Times New Roman" w:cs="Times New Roman"/>
          <w:sz w:val="24"/>
          <w:szCs w:val="24"/>
        </w:rPr>
        <w:t xml:space="preserve">; </w:t>
      </w:r>
      <w:r w:rsidR="00D44DD1" w:rsidRPr="008C51C9">
        <w:rPr>
          <w:rFonts w:ascii="Times New Roman" w:hAnsi="Times New Roman" w:cs="Times New Roman"/>
          <w:b/>
          <w:bCs/>
          <w:sz w:val="24"/>
          <w:szCs w:val="24"/>
        </w:rPr>
        <w:t>366</w:t>
      </w:r>
      <w:r w:rsidR="0075440B"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2257–2266.</w:t>
      </w:r>
    </w:p>
    <w:p w14:paraId="65E27AB4"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9</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proofErr w:type="spellStart"/>
      <w:r w:rsidR="00D44DD1" w:rsidRPr="008C51C9">
        <w:rPr>
          <w:rFonts w:ascii="Times New Roman" w:hAnsi="Times New Roman" w:cs="Times New Roman"/>
          <w:sz w:val="24"/>
          <w:szCs w:val="24"/>
        </w:rPr>
        <w:t>Arentz</w:t>
      </w:r>
      <w:proofErr w:type="spellEnd"/>
      <w:r w:rsidR="00D44DD1" w:rsidRPr="008C51C9">
        <w:rPr>
          <w:rFonts w:ascii="Times New Roman" w:hAnsi="Times New Roman" w:cs="Times New Roman"/>
          <w:sz w:val="24"/>
          <w:szCs w:val="24"/>
        </w:rPr>
        <w:t xml:space="preserve"> S, Abbott JA, Smith CA</w:t>
      </w:r>
      <w:r w:rsidR="0075440B"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Bensoussan</w:t>
      </w:r>
      <w:proofErr w:type="spellEnd"/>
      <w:r w:rsidR="00D44DD1" w:rsidRPr="008C51C9">
        <w:rPr>
          <w:rFonts w:ascii="Times New Roman" w:hAnsi="Times New Roman" w:cs="Times New Roman"/>
          <w:sz w:val="24"/>
          <w:szCs w:val="24"/>
        </w:rPr>
        <w:t xml:space="preserve"> A. Herbal medicine for the management of polycystic ovary syndrome (PCOS) and associated oligo/amenorrhoea and hyperandrogenism; a review of the laboratory evidence for effects with corroborative clinical findings. </w:t>
      </w:r>
      <w:r w:rsidR="00D44DD1" w:rsidRPr="008C51C9">
        <w:rPr>
          <w:rFonts w:ascii="Times New Roman" w:hAnsi="Times New Roman" w:cs="Times New Roman"/>
          <w:i/>
          <w:iCs/>
          <w:sz w:val="24"/>
          <w:szCs w:val="24"/>
        </w:rPr>
        <w:t>BMC Complement. Altern. Med.</w:t>
      </w:r>
      <w:r w:rsidR="0075440B"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14</w:t>
      </w:r>
      <w:r w:rsidR="0075440B"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511.</w:t>
      </w:r>
    </w:p>
    <w:p w14:paraId="3C8A47EC" w14:textId="77777777" w:rsidR="00D44DD1" w:rsidRPr="008C51C9" w:rsidRDefault="00C40B52"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30</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proofErr w:type="spellStart"/>
      <w:r w:rsidR="00D44DD1" w:rsidRPr="008C51C9">
        <w:rPr>
          <w:rFonts w:ascii="Times New Roman" w:hAnsi="Times New Roman" w:cs="Times New Roman"/>
          <w:sz w:val="24"/>
          <w:szCs w:val="24"/>
        </w:rPr>
        <w:t>Dehghan</w:t>
      </w:r>
      <w:proofErr w:type="spellEnd"/>
      <w:r w:rsidR="00D44DD1" w:rsidRPr="008C51C9">
        <w:rPr>
          <w:rFonts w:ascii="Times New Roman" w:hAnsi="Times New Roman" w:cs="Times New Roman"/>
          <w:sz w:val="24"/>
          <w:szCs w:val="24"/>
        </w:rPr>
        <w:t xml:space="preserve"> A, Esfandiari A</w:t>
      </w:r>
      <w:r w:rsidR="00B131E3"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Bigdeli</w:t>
      </w:r>
      <w:proofErr w:type="spellEnd"/>
      <w:r w:rsidR="00D44DD1" w:rsidRPr="008C51C9">
        <w:rPr>
          <w:rFonts w:ascii="Times New Roman" w:hAnsi="Times New Roman" w:cs="Times New Roman"/>
          <w:sz w:val="24"/>
          <w:szCs w:val="24"/>
        </w:rPr>
        <w:t xml:space="preserve"> SM. Alternative treatment of ovarian cysts with Tribulus </w:t>
      </w:r>
      <w:proofErr w:type="spellStart"/>
      <w:r w:rsidR="00D44DD1" w:rsidRPr="008C51C9">
        <w:rPr>
          <w:rFonts w:ascii="Times New Roman" w:hAnsi="Times New Roman" w:cs="Times New Roman"/>
          <w:sz w:val="24"/>
          <w:szCs w:val="24"/>
        </w:rPr>
        <w:t>terrestris</w:t>
      </w:r>
      <w:proofErr w:type="spellEnd"/>
      <w:r w:rsidR="00D44DD1" w:rsidRPr="008C51C9">
        <w:rPr>
          <w:rFonts w:ascii="Times New Roman" w:hAnsi="Times New Roman" w:cs="Times New Roman"/>
          <w:sz w:val="24"/>
          <w:szCs w:val="24"/>
        </w:rPr>
        <w:t xml:space="preserve"> extract: a rat model. </w:t>
      </w:r>
      <w:proofErr w:type="spellStart"/>
      <w:r w:rsidR="00D44DD1" w:rsidRPr="008C51C9">
        <w:rPr>
          <w:rFonts w:ascii="Times New Roman" w:hAnsi="Times New Roman" w:cs="Times New Roman"/>
          <w:i/>
          <w:iCs/>
          <w:sz w:val="24"/>
          <w:szCs w:val="24"/>
        </w:rPr>
        <w:t>Reprod</w:t>
      </w:r>
      <w:proofErr w:type="spellEnd"/>
      <w:r w:rsidR="00D44DD1" w:rsidRPr="008C51C9">
        <w:rPr>
          <w:rFonts w:ascii="Times New Roman" w:hAnsi="Times New Roman" w:cs="Times New Roman"/>
          <w:i/>
          <w:iCs/>
          <w:sz w:val="24"/>
          <w:szCs w:val="24"/>
        </w:rPr>
        <w:t xml:space="preserve">. </w:t>
      </w:r>
      <w:proofErr w:type="spellStart"/>
      <w:r w:rsidR="00D44DD1" w:rsidRPr="008C51C9">
        <w:rPr>
          <w:rFonts w:ascii="Times New Roman" w:hAnsi="Times New Roman" w:cs="Times New Roman"/>
          <w:i/>
          <w:iCs/>
          <w:sz w:val="24"/>
          <w:szCs w:val="24"/>
        </w:rPr>
        <w:t>Domest</w:t>
      </w:r>
      <w:proofErr w:type="spellEnd"/>
      <w:r w:rsidR="00D44DD1" w:rsidRPr="008C51C9">
        <w:rPr>
          <w:rFonts w:ascii="Times New Roman" w:hAnsi="Times New Roman" w:cs="Times New Roman"/>
          <w:i/>
          <w:iCs/>
          <w:sz w:val="24"/>
          <w:szCs w:val="24"/>
        </w:rPr>
        <w:t xml:space="preserve">. Anim. </w:t>
      </w:r>
      <w:proofErr w:type="spellStart"/>
      <w:r w:rsidR="00D44DD1" w:rsidRPr="008C51C9">
        <w:rPr>
          <w:rFonts w:ascii="Times New Roman" w:hAnsi="Times New Roman" w:cs="Times New Roman"/>
          <w:i/>
          <w:iCs/>
          <w:sz w:val="24"/>
          <w:szCs w:val="24"/>
        </w:rPr>
        <w:t>Zuchthyg</w:t>
      </w:r>
      <w:proofErr w:type="spellEnd"/>
      <w:r w:rsidR="00D44DD1" w:rsidRPr="008C51C9">
        <w:rPr>
          <w:rFonts w:ascii="Times New Roman" w:hAnsi="Times New Roman" w:cs="Times New Roman"/>
          <w:i/>
          <w:iCs/>
          <w:sz w:val="24"/>
          <w:szCs w:val="24"/>
        </w:rPr>
        <w:t>.</w:t>
      </w:r>
      <w:r w:rsidR="00B131E3" w:rsidRPr="008C51C9">
        <w:rPr>
          <w:rFonts w:ascii="Times New Roman" w:hAnsi="Times New Roman" w:cs="Times New Roman"/>
          <w:sz w:val="24"/>
          <w:szCs w:val="24"/>
        </w:rPr>
        <w:t xml:space="preserve"> 2012; </w:t>
      </w:r>
      <w:r w:rsidR="00D44DD1" w:rsidRPr="008C51C9">
        <w:rPr>
          <w:rFonts w:ascii="Times New Roman" w:hAnsi="Times New Roman" w:cs="Times New Roman"/>
          <w:b/>
          <w:bCs/>
          <w:sz w:val="24"/>
          <w:szCs w:val="24"/>
        </w:rPr>
        <w:t>47</w:t>
      </w:r>
      <w:r w:rsidR="00B131E3"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e12-15.</w:t>
      </w:r>
    </w:p>
    <w:p w14:paraId="1FF5FE3B"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1</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17" w:history="1">
        <w:r w:rsidR="002448B6" w:rsidRPr="008C51C9">
          <w:rPr>
            <w:rFonts w:ascii="Times New Roman" w:eastAsia="Times New Roman" w:hAnsi="Times New Roman" w:cs="Times New Roman"/>
            <w:sz w:val="24"/>
            <w:szCs w:val="24"/>
          </w:rPr>
          <w:t>Wang JG</w:t>
        </w:r>
      </w:hyperlink>
      <w:r w:rsidR="002448B6" w:rsidRPr="008C51C9">
        <w:rPr>
          <w:rFonts w:ascii="Times New Roman" w:eastAsia="Times New Roman" w:hAnsi="Times New Roman" w:cs="Times New Roman"/>
          <w:sz w:val="24"/>
          <w:szCs w:val="24"/>
        </w:rPr>
        <w:t>, </w:t>
      </w:r>
      <w:hyperlink r:id="rId18" w:history="1">
        <w:r w:rsidR="002448B6" w:rsidRPr="008C51C9">
          <w:rPr>
            <w:rFonts w:ascii="Times New Roman" w:eastAsia="Times New Roman" w:hAnsi="Times New Roman" w:cs="Times New Roman"/>
            <w:sz w:val="24"/>
            <w:szCs w:val="24"/>
          </w:rPr>
          <w:t>Anderson RA</w:t>
        </w:r>
      </w:hyperlink>
      <w:r w:rsidR="002448B6" w:rsidRPr="008C51C9">
        <w:rPr>
          <w:rFonts w:ascii="Times New Roman" w:eastAsia="Times New Roman" w:hAnsi="Times New Roman" w:cs="Times New Roman"/>
          <w:sz w:val="24"/>
          <w:szCs w:val="24"/>
        </w:rPr>
        <w:t>, </w:t>
      </w:r>
      <w:hyperlink r:id="rId19" w:history="1">
        <w:r w:rsidR="002448B6" w:rsidRPr="008C51C9">
          <w:rPr>
            <w:rFonts w:ascii="Times New Roman" w:eastAsia="Times New Roman" w:hAnsi="Times New Roman" w:cs="Times New Roman"/>
            <w:sz w:val="24"/>
            <w:szCs w:val="24"/>
          </w:rPr>
          <w:t>Graham GM 3rd</w:t>
        </w:r>
      </w:hyperlink>
      <w:r w:rsidR="002448B6" w:rsidRPr="008C51C9">
        <w:rPr>
          <w:rFonts w:ascii="Times New Roman" w:eastAsia="Times New Roman" w:hAnsi="Times New Roman" w:cs="Times New Roman"/>
          <w:sz w:val="24"/>
          <w:szCs w:val="24"/>
        </w:rPr>
        <w:t>, </w:t>
      </w:r>
      <w:hyperlink r:id="rId20" w:history="1">
        <w:r w:rsidR="002448B6" w:rsidRPr="008C51C9">
          <w:rPr>
            <w:rFonts w:ascii="Times New Roman" w:eastAsia="Times New Roman" w:hAnsi="Times New Roman" w:cs="Times New Roman"/>
            <w:sz w:val="24"/>
            <w:szCs w:val="24"/>
          </w:rPr>
          <w:t>Chu MC</w:t>
        </w:r>
      </w:hyperlink>
      <w:r w:rsidR="002448B6" w:rsidRPr="008C51C9">
        <w:rPr>
          <w:rFonts w:ascii="Times New Roman" w:eastAsia="Times New Roman" w:hAnsi="Times New Roman" w:cs="Times New Roman"/>
          <w:sz w:val="24"/>
          <w:szCs w:val="24"/>
        </w:rPr>
        <w:t xml:space="preserve">, et al. </w:t>
      </w:r>
      <w:r w:rsidR="00D44DD1" w:rsidRPr="008C51C9">
        <w:rPr>
          <w:rFonts w:ascii="Times New Roman" w:hAnsi="Times New Roman" w:cs="Times New Roman"/>
          <w:sz w:val="24"/>
          <w:szCs w:val="24"/>
        </w:rPr>
        <w:t xml:space="preserve">The effect of cinnamon extract on insulin resistance parameters in polycystic ovary syndrome: a pilot study. </w:t>
      </w:r>
      <w:proofErr w:type="spellStart"/>
      <w:r w:rsidR="00D44DD1" w:rsidRPr="008C51C9">
        <w:rPr>
          <w:rFonts w:ascii="Times New Roman" w:hAnsi="Times New Roman" w:cs="Times New Roman"/>
          <w:i/>
          <w:iCs/>
          <w:sz w:val="24"/>
          <w:szCs w:val="24"/>
        </w:rPr>
        <w:t>Fertil</w:t>
      </w:r>
      <w:proofErr w:type="spellEnd"/>
      <w:r w:rsidR="00D44DD1" w:rsidRPr="008C51C9">
        <w:rPr>
          <w:rFonts w:ascii="Times New Roman" w:hAnsi="Times New Roman" w:cs="Times New Roman"/>
          <w:i/>
          <w:iCs/>
          <w:sz w:val="24"/>
          <w:szCs w:val="24"/>
        </w:rPr>
        <w:t xml:space="preserve">. </w:t>
      </w:r>
      <w:proofErr w:type="spellStart"/>
      <w:r w:rsidR="00D44DD1" w:rsidRPr="008C51C9">
        <w:rPr>
          <w:rFonts w:ascii="Times New Roman" w:hAnsi="Times New Roman" w:cs="Times New Roman"/>
          <w:i/>
          <w:iCs/>
          <w:sz w:val="24"/>
          <w:szCs w:val="24"/>
        </w:rPr>
        <w:t>Steril</w:t>
      </w:r>
      <w:proofErr w:type="spellEnd"/>
      <w:r w:rsidR="00D44DD1" w:rsidRPr="008C51C9">
        <w:rPr>
          <w:rFonts w:ascii="Times New Roman" w:hAnsi="Times New Roman" w:cs="Times New Roman"/>
          <w:i/>
          <w:iCs/>
          <w:sz w:val="24"/>
          <w:szCs w:val="24"/>
        </w:rPr>
        <w:t>.</w:t>
      </w:r>
      <w:r w:rsidR="002448B6" w:rsidRPr="008C51C9">
        <w:rPr>
          <w:rFonts w:ascii="Times New Roman" w:hAnsi="Times New Roman" w:cs="Times New Roman"/>
          <w:sz w:val="24"/>
          <w:szCs w:val="24"/>
        </w:rPr>
        <w:t xml:space="preserve"> 2007; </w:t>
      </w:r>
      <w:r w:rsidR="00D44DD1" w:rsidRPr="008C51C9">
        <w:rPr>
          <w:rFonts w:ascii="Times New Roman" w:hAnsi="Times New Roman" w:cs="Times New Roman"/>
          <w:b/>
          <w:bCs/>
          <w:sz w:val="24"/>
          <w:szCs w:val="24"/>
        </w:rPr>
        <w:t>88</w:t>
      </w:r>
      <w:r w:rsidR="002448B6"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240–243.</w:t>
      </w:r>
    </w:p>
    <w:p w14:paraId="3B26DA93"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2</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 xml:space="preserve">Sadeghi AM, </w:t>
      </w:r>
      <w:proofErr w:type="spellStart"/>
      <w:r w:rsidR="00D44DD1" w:rsidRPr="008C51C9">
        <w:rPr>
          <w:rFonts w:ascii="Times New Roman" w:hAnsi="Times New Roman" w:cs="Times New Roman"/>
          <w:sz w:val="24"/>
          <w:szCs w:val="24"/>
        </w:rPr>
        <w:t>Alaee</w:t>
      </w:r>
      <w:proofErr w:type="spellEnd"/>
      <w:r w:rsidR="00D44DD1" w:rsidRPr="008C51C9">
        <w:rPr>
          <w:rFonts w:ascii="Times New Roman" w:hAnsi="Times New Roman" w:cs="Times New Roman"/>
          <w:sz w:val="24"/>
          <w:szCs w:val="24"/>
        </w:rPr>
        <w:t xml:space="preserve"> S, Bagheri MJ</w:t>
      </w:r>
      <w:r w:rsidR="005A60F6"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Bahmanpoor</w:t>
      </w:r>
      <w:proofErr w:type="spellEnd"/>
      <w:r w:rsidR="00D44DD1" w:rsidRPr="008C51C9">
        <w:rPr>
          <w:rFonts w:ascii="Times New Roman" w:hAnsi="Times New Roman" w:cs="Times New Roman"/>
          <w:sz w:val="24"/>
          <w:szCs w:val="24"/>
        </w:rPr>
        <w:t xml:space="preserve"> S. Role of </w:t>
      </w:r>
      <w:r w:rsidR="00A023BB" w:rsidRPr="008C51C9">
        <w:rPr>
          <w:rFonts w:ascii="Times New Roman" w:hAnsi="Times New Roman" w:cs="Times New Roman"/>
          <w:sz w:val="24"/>
          <w:szCs w:val="24"/>
        </w:rPr>
        <w:t>e</w:t>
      </w:r>
      <w:r w:rsidR="00D44DD1" w:rsidRPr="008C51C9">
        <w:rPr>
          <w:rFonts w:ascii="Times New Roman" w:hAnsi="Times New Roman" w:cs="Times New Roman"/>
          <w:sz w:val="24"/>
          <w:szCs w:val="24"/>
        </w:rPr>
        <w:t xml:space="preserve">ssential </w:t>
      </w:r>
      <w:r w:rsidR="00A023BB"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il of Mentha Spicata (Spearmint) in </w:t>
      </w:r>
      <w:r w:rsidR="00A023BB" w:rsidRPr="008C51C9">
        <w:rPr>
          <w:rFonts w:ascii="Times New Roman" w:hAnsi="Times New Roman" w:cs="Times New Roman"/>
          <w:sz w:val="24"/>
          <w:szCs w:val="24"/>
        </w:rPr>
        <w:t>a</w:t>
      </w:r>
      <w:r w:rsidR="00D44DD1" w:rsidRPr="008C51C9">
        <w:rPr>
          <w:rFonts w:ascii="Times New Roman" w:hAnsi="Times New Roman" w:cs="Times New Roman"/>
          <w:sz w:val="24"/>
          <w:szCs w:val="24"/>
        </w:rPr>
        <w:t xml:space="preserve">ddressing </w:t>
      </w:r>
      <w:r w:rsidR="00A023BB" w:rsidRPr="008C51C9">
        <w:rPr>
          <w:rFonts w:ascii="Times New Roman" w:hAnsi="Times New Roman" w:cs="Times New Roman"/>
          <w:sz w:val="24"/>
          <w:szCs w:val="24"/>
        </w:rPr>
        <w:t>r</w:t>
      </w:r>
      <w:r w:rsidR="00D44DD1" w:rsidRPr="008C51C9">
        <w:rPr>
          <w:rFonts w:ascii="Times New Roman" w:hAnsi="Times New Roman" w:cs="Times New Roman"/>
          <w:sz w:val="24"/>
          <w:szCs w:val="24"/>
        </w:rPr>
        <w:t xml:space="preserve">everse </w:t>
      </w:r>
      <w:r w:rsidR="00A023BB" w:rsidRPr="008C51C9">
        <w:rPr>
          <w:rFonts w:ascii="Times New Roman" w:hAnsi="Times New Roman" w:cs="Times New Roman"/>
          <w:sz w:val="24"/>
          <w:szCs w:val="24"/>
        </w:rPr>
        <w:t>h</w:t>
      </w:r>
      <w:r w:rsidR="00D44DD1" w:rsidRPr="008C51C9">
        <w:rPr>
          <w:rFonts w:ascii="Times New Roman" w:hAnsi="Times New Roman" w:cs="Times New Roman"/>
          <w:sz w:val="24"/>
          <w:szCs w:val="24"/>
        </w:rPr>
        <w:t xml:space="preserve">ormonal and </w:t>
      </w:r>
      <w:proofErr w:type="spellStart"/>
      <w:r w:rsidR="00A023BB" w:rsidRPr="008C51C9">
        <w:rPr>
          <w:rFonts w:ascii="Times New Roman" w:hAnsi="Times New Roman" w:cs="Times New Roman"/>
          <w:sz w:val="24"/>
          <w:szCs w:val="24"/>
        </w:rPr>
        <w:t>f</w:t>
      </w:r>
      <w:r w:rsidR="00D44DD1" w:rsidRPr="008C51C9">
        <w:rPr>
          <w:rFonts w:ascii="Times New Roman" w:hAnsi="Times New Roman" w:cs="Times New Roman"/>
          <w:sz w:val="24"/>
          <w:szCs w:val="24"/>
        </w:rPr>
        <w:t>olliculogenesis</w:t>
      </w:r>
      <w:proofErr w:type="spellEnd"/>
      <w:r w:rsidR="00D44DD1" w:rsidRPr="008C51C9">
        <w:rPr>
          <w:rFonts w:ascii="Times New Roman" w:hAnsi="Times New Roman" w:cs="Times New Roman"/>
          <w:sz w:val="24"/>
          <w:szCs w:val="24"/>
        </w:rPr>
        <w:t xml:space="preserve"> </w:t>
      </w:r>
      <w:r w:rsidR="00A023BB" w:rsidRPr="008C51C9">
        <w:rPr>
          <w:rFonts w:ascii="Times New Roman" w:hAnsi="Times New Roman" w:cs="Times New Roman"/>
          <w:sz w:val="24"/>
          <w:szCs w:val="24"/>
        </w:rPr>
        <w:t>d</w:t>
      </w:r>
      <w:r w:rsidR="00D44DD1" w:rsidRPr="008C51C9">
        <w:rPr>
          <w:rFonts w:ascii="Times New Roman" w:hAnsi="Times New Roman" w:cs="Times New Roman"/>
          <w:sz w:val="24"/>
          <w:szCs w:val="24"/>
        </w:rPr>
        <w:t xml:space="preserve">isturbances in a </w:t>
      </w:r>
      <w:r w:rsidR="00A023BB"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olycystic </w:t>
      </w:r>
      <w:r w:rsidR="00A023BB"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varian </w:t>
      </w:r>
      <w:r w:rsidR="00A023BB" w:rsidRPr="008C51C9">
        <w:rPr>
          <w:rFonts w:ascii="Times New Roman" w:hAnsi="Times New Roman" w:cs="Times New Roman"/>
          <w:sz w:val="24"/>
          <w:szCs w:val="24"/>
        </w:rPr>
        <w:t>s</w:t>
      </w:r>
      <w:r w:rsidR="00D44DD1" w:rsidRPr="008C51C9">
        <w:rPr>
          <w:rFonts w:ascii="Times New Roman" w:hAnsi="Times New Roman" w:cs="Times New Roman"/>
          <w:sz w:val="24"/>
          <w:szCs w:val="24"/>
        </w:rPr>
        <w:t xml:space="preserve">yndrome in a </w:t>
      </w:r>
      <w:r w:rsidR="00A023BB" w:rsidRPr="008C51C9">
        <w:rPr>
          <w:rFonts w:ascii="Times New Roman" w:hAnsi="Times New Roman" w:cs="Times New Roman"/>
          <w:sz w:val="24"/>
          <w:szCs w:val="24"/>
        </w:rPr>
        <w:t>r</w:t>
      </w:r>
      <w:r w:rsidR="00D44DD1" w:rsidRPr="008C51C9">
        <w:rPr>
          <w:rFonts w:ascii="Times New Roman" w:hAnsi="Times New Roman" w:cs="Times New Roman"/>
          <w:sz w:val="24"/>
          <w:szCs w:val="24"/>
        </w:rPr>
        <w:t xml:space="preserve">at </w:t>
      </w:r>
      <w:r w:rsidR="00A023BB" w:rsidRPr="008C51C9">
        <w:rPr>
          <w:rFonts w:ascii="Times New Roman" w:hAnsi="Times New Roman" w:cs="Times New Roman"/>
          <w:sz w:val="24"/>
          <w:szCs w:val="24"/>
        </w:rPr>
        <w:t>m</w:t>
      </w:r>
      <w:r w:rsidR="00D44DD1" w:rsidRPr="008C51C9">
        <w:rPr>
          <w:rFonts w:ascii="Times New Roman" w:hAnsi="Times New Roman" w:cs="Times New Roman"/>
          <w:sz w:val="24"/>
          <w:szCs w:val="24"/>
        </w:rPr>
        <w:t xml:space="preserve">odel. </w:t>
      </w:r>
      <w:r w:rsidR="00D44DD1" w:rsidRPr="008C51C9">
        <w:rPr>
          <w:rFonts w:ascii="Times New Roman" w:hAnsi="Times New Roman" w:cs="Times New Roman"/>
          <w:i/>
          <w:iCs/>
          <w:sz w:val="24"/>
          <w:szCs w:val="24"/>
        </w:rPr>
        <w:t>Adv. Pharm. Bull.</w:t>
      </w:r>
      <w:r w:rsidR="005A60F6" w:rsidRPr="008C51C9">
        <w:rPr>
          <w:rFonts w:ascii="Times New Roman" w:hAnsi="Times New Roman" w:cs="Times New Roman"/>
          <w:sz w:val="24"/>
          <w:szCs w:val="24"/>
        </w:rPr>
        <w:t xml:space="preserve"> 2017; </w:t>
      </w:r>
      <w:r w:rsidR="00D44DD1" w:rsidRPr="008C51C9">
        <w:rPr>
          <w:rFonts w:ascii="Times New Roman" w:hAnsi="Times New Roman" w:cs="Times New Roman"/>
          <w:b/>
          <w:bCs/>
          <w:sz w:val="24"/>
          <w:szCs w:val="24"/>
        </w:rPr>
        <w:t>7</w:t>
      </w:r>
      <w:r w:rsidR="005A60F6"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651–654.</w:t>
      </w:r>
    </w:p>
    <w:p w14:paraId="5C9C1BA2"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3</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21" w:anchor="!" w:history="1">
        <w:r w:rsidR="003C36AE" w:rsidRPr="008C51C9">
          <w:rPr>
            <w:rFonts w:ascii="Times New Roman" w:eastAsia="Times New Roman" w:hAnsi="Times New Roman" w:cs="Times New Roman"/>
            <w:sz w:val="24"/>
            <w:szCs w:val="24"/>
          </w:rPr>
          <w:t>Ali</w:t>
        </w:r>
      </w:hyperlink>
      <w:r w:rsidR="003C36AE" w:rsidRPr="008C51C9">
        <w:rPr>
          <w:rFonts w:ascii="Times New Roman" w:eastAsia="Times New Roman" w:hAnsi="Times New Roman" w:cs="Times New Roman"/>
          <w:sz w:val="24"/>
          <w:szCs w:val="24"/>
        </w:rPr>
        <w:t xml:space="preserve"> B, </w:t>
      </w:r>
      <w:hyperlink r:id="rId22" w:anchor="!" w:history="1">
        <w:r w:rsidR="003C36AE" w:rsidRPr="008C51C9">
          <w:rPr>
            <w:rFonts w:ascii="Times New Roman" w:eastAsia="Times New Roman" w:hAnsi="Times New Roman" w:cs="Times New Roman"/>
            <w:sz w:val="24"/>
            <w:szCs w:val="24"/>
          </w:rPr>
          <w:t>Al-</w:t>
        </w:r>
        <w:proofErr w:type="spellStart"/>
        <w:r w:rsidR="003C36AE" w:rsidRPr="008C51C9">
          <w:rPr>
            <w:rFonts w:ascii="Times New Roman" w:eastAsia="Times New Roman" w:hAnsi="Times New Roman" w:cs="Times New Roman"/>
            <w:sz w:val="24"/>
            <w:szCs w:val="24"/>
          </w:rPr>
          <w:t>Wabel</w:t>
        </w:r>
        <w:proofErr w:type="spellEnd"/>
      </w:hyperlink>
      <w:r w:rsidR="003C36AE" w:rsidRPr="008C51C9">
        <w:rPr>
          <w:rFonts w:ascii="Times New Roman" w:eastAsia="Times New Roman" w:hAnsi="Times New Roman" w:cs="Times New Roman"/>
          <w:sz w:val="24"/>
          <w:szCs w:val="24"/>
        </w:rPr>
        <w:t xml:space="preserve"> NA, </w:t>
      </w:r>
      <w:hyperlink r:id="rId23" w:anchor="!" w:history="1">
        <w:r w:rsidR="003C36AE" w:rsidRPr="008C51C9">
          <w:rPr>
            <w:rFonts w:ascii="Times New Roman" w:eastAsia="Times New Roman" w:hAnsi="Times New Roman" w:cs="Times New Roman"/>
            <w:sz w:val="24"/>
            <w:szCs w:val="24"/>
          </w:rPr>
          <w:t>Shams</w:t>
        </w:r>
      </w:hyperlink>
      <w:r w:rsidR="003C36AE" w:rsidRPr="008C51C9">
        <w:rPr>
          <w:rFonts w:ascii="Times New Roman" w:eastAsia="Times New Roman" w:hAnsi="Times New Roman" w:cs="Times New Roman"/>
          <w:sz w:val="24"/>
          <w:szCs w:val="24"/>
        </w:rPr>
        <w:t xml:space="preserve"> S, </w:t>
      </w:r>
      <w:hyperlink r:id="rId24" w:anchor="!" w:history="1">
        <w:proofErr w:type="spellStart"/>
        <w:r w:rsidR="003C36AE" w:rsidRPr="008C51C9">
          <w:rPr>
            <w:rFonts w:ascii="Times New Roman" w:eastAsia="Times New Roman" w:hAnsi="Times New Roman" w:cs="Times New Roman"/>
            <w:sz w:val="24"/>
            <w:szCs w:val="24"/>
          </w:rPr>
          <w:t>Ahamad</w:t>
        </w:r>
        <w:proofErr w:type="spellEnd"/>
        <w:r w:rsidR="003C36AE" w:rsidRPr="008C51C9">
          <w:rPr>
            <w:rFonts w:ascii="Times New Roman" w:eastAsia="Times New Roman" w:hAnsi="Times New Roman" w:cs="Times New Roman"/>
            <w:sz w:val="24"/>
            <w:szCs w:val="24"/>
          </w:rPr>
          <w:t xml:space="preserve"> A</w:t>
        </w:r>
      </w:hyperlink>
      <w:r w:rsidR="003C36AE" w:rsidRPr="008C51C9">
        <w:rPr>
          <w:rFonts w:ascii="Times New Roman" w:eastAsia="Times New Roman" w:hAnsi="Times New Roman" w:cs="Times New Roman"/>
          <w:sz w:val="24"/>
          <w:szCs w:val="24"/>
        </w:rPr>
        <w:t xml:space="preserve">, et al. </w:t>
      </w:r>
      <w:r w:rsidR="00D44DD1" w:rsidRPr="008C51C9">
        <w:rPr>
          <w:rFonts w:ascii="Times New Roman" w:hAnsi="Times New Roman" w:cs="Times New Roman"/>
          <w:sz w:val="24"/>
          <w:szCs w:val="24"/>
        </w:rPr>
        <w:t xml:space="preserve">Essential oils used in aromatherapy: </w:t>
      </w:r>
      <w:r w:rsidR="00A023BB" w:rsidRPr="008C51C9">
        <w:rPr>
          <w:rFonts w:ascii="Times New Roman" w:hAnsi="Times New Roman" w:cs="Times New Roman"/>
          <w:sz w:val="24"/>
          <w:szCs w:val="24"/>
        </w:rPr>
        <w:t>a</w:t>
      </w:r>
      <w:r w:rsidR="00D44DD1" w:rsidRPr="008C51C9">
        <w:rPr>
          <w:rFonts w:ascii="Times New Roman" w:hAnsi="Times New Roman" w:cs="Times New Roman"/>
          <w:sz w:val="24"/>
          <w:szCs w:val="24"/>
        </w:rPr>
        <w:t xml:space="preserve"> systemic review. </w:t>
      </w:r>
      <w:r w:rsidR="00D44DD1" w:rsidRPr="008C51C9">
        <w:rPr>
          <w:rFonts w:ascii="Times New Roman" w:hAnsi="Times New Roman" w:cs="Times New Roman"/>
          <w:i/>
          <w:iCs/>
          <w:sz w:val="24"/>
          <w:szCs w:val="24"/>
        </w:rPr>
        <w:t>Asian Pac. J. Trop. Biomed.</w:t>
      </w:r>
      <w:r w:rsidR="003C36AE" w:rsidRPr="008C51C9">
        <w:rPr>
          <w:rFonts w:ascii="Times New Roman" w:hAnsi="Times New Roman" w:cs="Times New Roman"/>
          <w:sz w:val="24"/>
          <w:szCs w:val="24"/>
        </w:rPr>
        <w:t xml:space="preserve"> 2015; </w:t>
      </w:r>
      <w:r w:rsidR="00D44DD1" w:rsidRPr="008C51C9">
        <w:rPr>
          <w:rFonts w:ascii="Times New Roman" w:hAnsi="Times New Roman" w:cs="Times New Roman"/>
          <w:b/>
          <w:bCs/>
          <w:sz w:val="24"/>
          <w:szCs w:val="24"/>
        </w:rPr>
        <w:t>5</w:t>
      </w:r>
      <w:r w:rsidR="003C36AE"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601–611.</w:t>
      </w:r>
    </w:p>
    <w:p w14:paraId="6BDCF4B5"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4</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proofErr w:type="spellStart"/>
      <w:r w:rsidR="003C36AE" w:rsidRPr="008C51C9">
        <w:rPr>
          <w:rFonts w:ascii="Times New Roman" w:hAnsi="Times New Roman" w:cs="Times New Roman"/>
          <w:sz w:val="24"/>
          <w:szCs w:val="24"/>
        </w:rPr>
        <w:t>Medling</w:t>
      </w:r>
      <w:proofErr w:type="spellEnd"/>
      <w:r w:rsidR="003C36AE" w:rsidRPr="008C51C9">
        <w:rPr>
          <w:rFonts w:ascii="Times New Roman" w:hAnsi="Times New Roman" w:cs="Times New Roman"/>
          <w:sz w:val="24"/>
          <w:szCs w:val="24"/>
        </w:rPr>
        <w:t xml:space="preserve"> A. </w:t>
      </w:r>
      <w:r w:rsidR="00D44DD1" w:rsidRPr="008C51C9">
        <w:rPr>
          <w:rFonts w:ascii="Times New Roman" w:hAnsi="Times New Roman" w:cs="Times New Roman"/>
          <w:sz w:val="24"/>
          <w:szCs w:val="24"/>
        </w:rPr>
        <w:t xml:space="preserve">Top 5 </w:t>
      </w:r>
      <w:r w:rsidR="00A023BB" w:rsidRPr="008C51C9">
        <w:rPr>
          <w:rFonts w:ascii="Times New Roman" w:hAnsi="Times New Roman" w:cs="Times New Roman"/>
          <w:sz w:val="24"/>
          <w:szCs w:val="24"/>
        </w:rPr>
        <w:t>e</w:t>
      </w:r>
      <w:r w:rsidR="00D44DD1" w:rsidRPr="008C51C9">
        <w:rPr>
          <w:rFonts w:ascii="Times New Roman" w:hAnsi="Times New Roman" w:cs="Times New Roman"/>
          <w:sz w:val="24"/>
          <w:szCs w:val="24"/>
        </w:rPr>
        <w:t xml:space="preserve">ssential </w:t>
      </w:r>
      <w:r w:rsidR="00A023BB"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ils for PCOS. </w:t>
      </w:r>
      <w:r w:rsidR="00D44DD1" w:rsidRPr="008C51C9">
        <w:rPr>
          <w:rFonts w:ascii="Times New Roman" w:hAnsi="Times New Roman" w:cs="Times New Roman"/>
          <w:i/>
          <w:iCs/>
          <w:sz w:val="24"/>
          <w:szCs w:val="24"/>
        </w:rPr>
        <w:t>PCOS Diva</w:t>
      </w:r>
      <w:r w:rsidR="003C36AE" w:rsidRPr="008C51C9">
        <w:rPr>
          <w:rFonts w:ascii="Times New Roman" w:hAnsi="Times New Roman" w:cs="Times New Roman"/>
          <w:sz w:val="24"/>
          <w:szCs w:val="24"/>
        </w:rPr>
        <w:t xml:space="preserve">. </w:t>
      </w:r>
      <w:r w:rsidR="00D44DD1" w:rsidRPr="008C51C9">
        <w:rPr>
          <w:rFonts w:ascii="Times New Roman" w:hAnsi="Times New Roman" w:cs="Times New Roman"/>
          <w:sz w:val="24"/>
          <w:szCs w:val="24"/>
        </w:rPr>
        <w:t>2017.  https://pcosdiva.com/2017/01/top-5-essential-oils-for-pcos/. (</w:t>
      </w:r>
      <w:r w:rsidR="003C36AE" w:rsidRPr="008C51C9">
        <w:rPr>
          <w:rFonts w:ascii="Times New Roman" w:hAnsi="Times New Roman" w:cs="Times New Roman"/>
          <w:sz w:val="24"/>
          <w:szCs w:val="24"/>
        </w:rPr>
        <w:t>a</w:t>
      </w:r>
      <w:r w:rsidR="00D44DD1" w:rsidRPr="008C51C9">
        <w:rPr>
          <w:rFonts w:ascii="Times New Roman" w:hAnsi="Times New Roman" w:cs="Times New Roman"/>
          <w:sz w:val="24"/>
          <w:szCs w:val="24"/>
        </w:rPr>
        <w:t>ccessed Feb</w:t>
      </w:r>
      <w:r w:rsidR="003C36AE" w:rsidRPr="008C51C9">
        <w:rPr>
          <w:rFonts w:ascii="Times New Roman" w:hAnsi="Times New Roman" w:cs="Times New Roman"/>
          <w:sz w:val="24"/>
          <w:szCs w:val="24"/>
        </w:rPr>
        <w:t xml:space="preserve"> 25,</w:t>
      </w:r>
      <w:r w:rsidR="00D44DD1" w:rsidRPr="008C51C9">
        <w:rPr>
          <w:rFonts w:ascii="Times New Roman" w:hAnsi="Times New Roman" w:cs="Times New Roman"/>
          <w:sz w:val="24"/>
          <w:szCs w:val="24"/>
        </w:rPr>
        <w:t xml:space="preserve"> 2018)</w:t>
      </w:r>
    </w:p>
    <w:p w14:paraId="16A4C250" w14:textId="77777777" w:rsidR="00D44DD1" w:rsidRPr="008C51C9" w:rsidRDefault="00434581" w:rsidP="00393D67">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5</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25" w:history="1">
        <w:proofErr w:type="spellStart"/>
        <w:r w:rsidR="00C5280D" w:rsidRPr="008C51C9">
          <w:rPr>
            <w:rFonts w:ascii="Times New Roman" w:eastAsia="Times New Roman" w:hAnsi="Times New Roman" w:cs="Times New Roman"/>
            <w:sz w:val="24"/>
            <w:szCs w:val="24"/>
          </w:rPr>
          <w:t>Küpeli</w:t>
        </w:r>
        <w:proofErr w:type="spellEnd"/>
        <w:r w:rsidR="00C5280D" w:rsidRPr="008C51C9">
          <w:rPr>
            <w:rFonts w:ascii="Times New Roman" w:eastAsia="Times New Roman" w:hAnsi="Times New Roman" w:cs="Times New Roman"/>
            <w:sz w:val="24"/>
            <w:szCs w:val="24"/>
          </w:rPr>
          <w:t xml:space="preserve"> AE</w:t>
        </w:r>
      </w:hyperlink>
      <w:r w:rsidR="00C5280D" w:rsidRPr="008C51C9">
        <w:rPr>
          <w:rFonts w:ascii="Times New Roman" w:eastAsia="Times New Roman" w:hAnsi="Times New Roman" w:cs="Times New Roman"/>
          <w:sz w:val="24"/>
          <w:szCs w:val="24"/>
        </w:rPr>
        <w:t>, </w:t>
      </w:r>
      <w:hyperlink r:id="rId26" w:history="1">
        <w:r w:rsidR="00C5280D" w:rsidRPr="008C51C9">
          <w:rPr>
            <w:rFonts w:ascii="Times New Roman" w:eastAsia="Times New Roman" w:hAnsi="Times New Roman" w:cs="Times New Roman"/>
            <w:sz w:val="24"/>
            <w:szCs w:val="24"/>
          </w:rPr>
          <w:t>İlhan M</w:t>
        </w:r>
      </w:hyperlink>
      <w:r w:rsidR="00C5280D" w:rsidRPr="008C51C9">
        <w:rPr>
          <w:rFonts w:ascii="Times New Roman" w:eastAsia="Times New Roman" w:hAnsi="Times New Roman" w:cs="Times New Roman"/>
          <w:sz w:val="24"/>
          <w:szCs w:val="24"/>
        </w:rPr>
        <w:t>, </w:t>
      </w:r>
      <w:hyperlink r:id="rId27" w:history="1">
        <w:r w:rsidR="00C5280D" w:rsidRPr="008C51C9">
          <w:rPr>
            <w:rFonts w:ascii="Times New Roman" w:eastAsia="Times New Roman" w:hAnsi="Times New Roman" w:cs="Times New Roman"/>
            <w:sz w:val="24"/>
            <w:szCs w:val="24"/>
          </w:rPr>
          <w:t>Ayşe DM</w:t>
        </w:r>
      </w:hyperlink>
      <w:r w:rsidR="00C5280D" w:rsidRPr="008C51C9">
        <w:rPr>
          <w:rFonts w:ascii="Times New Roman" w:eastAsia="Times New Roman" w:hAnsi="Times New Roman" w:cs="Times New Roman"/>
          <w:sz w:val="24"/>
          <w:szCs w:val="24"/>
        </w:rPr>
        <w:t>, </w:t>
      </w:r>
      <w:proofErr w:type="spellStart"/>
      <w:r w:rsidR="00B95928">
        <w:fldChar w:fldCharType="begin"/>
      </w:r>
      <w:r w:rsidR="00B95928">
        <w:instrText xml:space="preserve"> HYPERLINK "https://www.ncbi.nlm.nih.gov/pubmed/?term=Kele%C5%9F%20H%5BAuthor%5D&amp;cauthor=true&amp;cauthor_uid=25818694" </w:instrText>
      </w:r>
      <w:r w:rsidR="00B95928">
        <w:fldChar w:fldCharType="separate"/>
      </w:r>
      <w:r w:rsidR="00C5280D" w:rsidRPr="008C51C9">
        <w:rPr>
          <w:rFonts w:ascii="Times New Roman" w:eastAsia="Times New Roman" w:hAnsi="Times New Roman" w:cs="Times New Roman"/>
          <w:sz w:val="24"/>
          <w:szCs w:val="24"/>
        </w:rPr>
        <w:t>Keleş</w:t>
      </w:r>
      <w:proofErr w:type="spellEnd"/>
      <w:r w:rsidR="00C5280D" w:rsidRPr="008C51C9">
        <w:rPr>
          <w:rFonts w:ascii="Times New Roman" w:eastAsia="Times New Roman" w:hAnsi="Times New Roman" w:cs="Times New Roman"/>
          <w:sz w:val="24"/>
          <w:szCs w:val="24"/>
        </w:rPr>
        <w:t xml:space="preserve"> H</w:t>
      </w:r>
      <w:r w:rsidR="00B95928">
        <w:rPr>
          <w:rFonts w:ascii="Times New Roman" w:eastAsia="Times New Roman" w:hAnsi="Times New Roman" w:cs="Times New Roman"/>
          <w:sz w:val="24"/>
          <w:szCs w:val="24"/>
        </w:rPr>
        <w:fldChar w:fldCharType="end"/>
      </w:r>
      <w:r w:rsidR="00C5280D" w:rsidRPr="008C51C9">
        <w:rPr>
          <w:rFonts w:ascii="Times New Roman" w:eastAsia="Times New Roman" w:hAnsi="Times New Roman" w:cs="Times New Roman"/>
          <w:sz w:val="24"/>
          <w:szCs w:val="24"/>
        </w:rPr>
        <w:t>, et al.</w:t>
      </w:r>
      <w:r w:rsidR="00D44DD1"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Thuja</w:t>
      </w:r>
      <w:proofErr w:type="spellEnd"/>
      <w:r w:rsidR="00D44DD1"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occidentalis</w:t>
      </w:r>
      <w:proofErr w:type="spellEnd"/>
      <w:r w:rsidR="00D44DD1" w:rsidRPr="008C51C9">
        <w:rPr>
          <w:rFonts w:ascii="Times New Roman" w:hAnsi="Times New Roman" w:cs="Times New Roman"/>
          <w:sz w:val="24"/>
          <w:szCs w:val="24"/>
        </w:rPr>
        <w:t xml:space="preserve"> L. and its active compound, α-thujone: </w:t>
      </w:r>
      <w:r w:rsidR="00C5280D"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romising effects in the treatment of polycystic ovary syndrome without inducing osteoporosis. </w:t>
      </w:r>
      <w:r w:rsidR="00D44DD1" w:rsidRPr="008C51C9">
        <w:rPr>
          <w:rFonts w:ascii="Times New Roman" w:hAnsi="Times New Roman" w:cs="Times New Roman"/>
          <w:i/>
          <w:iCs/>
          <w:sz w:val="24"/>
          <w:szCs w:val="24"/>
        </w:rPr>
        <w:t xml:space="preserve">J. </w:t>
      </w:r>
      <w:proofErr w:type="spellStart"/>
      <w:r w:rsidR="00D44DD1" w:rsidRPr="008C51C9">
        <w:rPr>
          <w:rFonts w:ascii="Times New Roman" w:hAnsi="Times New Roman" w:cs="Times New Roman"/>
          <w:i/>
          <w:iCs/>
          <w:sz w:val="24"/>
          <w:szCs w:val="24"/>
        </w:rPr>
        <w:t>Ethnopharmacol</w:t>
      </w:r>
      <w:proofErr w:type="spellEnd"/>
      <w:r w:rsidR="00D44DD1" w:rsidRPr="008C51C9">
        <w:rPr>
          <w:rFonts w:ascii="Times New Roman" w:hAnsi="Times New Roman" w:cs="Times New Roman"/>
          <w:i/>
          <w:iCs/>
          <w:sz w:val="24"/>
          <w:szCs w:val="24"/>
        </w:rPr>
        <w:t>.</w:t>
      </w:r>
      <w:r w:rsidR="00C5280D" w:rsidRPr="008C51C9">
        <w:rPr>
          <w:rFonts w:ascii="Times New Roman" w:hAnsi="Times New Roman" w:cs="Times New Roman"/>
          <w:sz w:val="24"/>
          <w:szCs w:val="24"/>
        </w:rPr>
        <w:t xml:space="preserve"> 2015; </w:t>
      </w:r>
      <w:r w:rsidR="00D44DD1" w:rsidRPr="008C51C9">
        <w:rPr>
          <w:rFonts w:ascii="Times New Roman" w:hAnsi="Times New Roman" w:cs="Times New Roman"/>
          <w:b/>
          <w:bCs/>
          <w:sz w:val="24"/>
          <w:szCs w:val="24"/>
        </w:rPr>
        <w:t>168</w:t>
      </w:r>
      <w:r w:rsidR="00C5280D"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25–30.</w:t>
      </w:r>
    </w:p>
    <w:p w14:paraId="49BF2298" w14:textId="77777777" w:rsidR="00D44DD1" w:rsidRPr="008C51C9" w:rsidRDefault="00434581" w:rsidP="00393D67">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6</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proofErr w:type="spellStart"/>
      <w:r w:rsidR="00D44DD1" w:rsidRPr="008C51C9">
        <w:rPr>
          <w:rFonts w:ascii="Times New Roman" w:hAnsi="Times New Roman" w:cs="Times New Roman"/>
          <w:sz w:val="24"/>
          <w:szCs w:val="24"/>
        </w:rPr>
        <w:t>Zangeneh</w:t>
      </w:r>
      <w:proofErr w:type="spellEnd"/>
      <w:r w:rsidR="00D44DD1" w:rsidRPr="008C51C9">
        <w:rPr>
          <w:rFonts w:ascii="Times New Roman" w:hAnsi="Times New Roman" w:cs="Times New Roman"/>
          <w:sz w:val="24"/>
          <w:szCs w:val="24"/>
        </w:rPr>
        <w:t xml:space="preserve"> F</w:t>
      </w:r>
      <w:r w:rsidR="00BC7F98" w:rsidRPr="008C51C9">
        <w:rPr>
          <w:rFonts w:ascii="Times New Roman" w:hAnsi="Times New Roman" w:cs="Times New Roman"/>
          <w:sz w:val="24"/>
          <w:szCs w:val="24"/>
        </w:rPr>
        <w:t>Z</w:t>
      </w:r>
      <w:r w:rsidR="00D44DD1"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Minaee</w:t>
      </w:r>
      <w:proofErr w:type="spellEnd"/>
      <w:r w:rsidR="00D44DD1" w:rsidRPr="008C51C9">
        <w:rPr>
          <w:rFonts w:ascii="Times New Roman" w:hAnsi="Times New Roman" w:cs="Times New Roman"/>
          <w:sz w:val="24"/>
          <w:szCs w:val="24"/>
        </w:rPr>
        <w:t xml:space="preserve"> B, </w:t>
      </w:r>
      <w:proofErr w:type="spellStart"/>
      <w:r w:rsidR="00D44DD1" w:rsidRPr="008C51C9">
        <w:rPr>
          <w:rFonts w:ascii="Times New Roman" w:hAnsi="Times New Roman" w:cs="Times New Roman"/>
          <w:sz w:val="24"/>
          <w:szCs w:val="24"/>
        </w:rPr>
        <w:t>Amirzargar</w:t>
      </w:r>
      <w:proofErr w:type="spellEnd"/>
      <w:r w:rsidR="00D44DD1" w:rsidRPr="008C51C9">
        <w:rPr>
          <w:rFonts w:ascii="Times New Roman" w:hAnsi="Times New Roman" w:cs="Times New Roman"/>
          <w:sz w:val="24"/>
          <w:szCs w:val="24"/>
        </w:rPr>
        <w:t xml:space="preserve"> A, </w:t>
      </w:r>
      <w:proofErr w:type="spellStart"/>
      <w:r w:rsidR="00D44DD1" w:rsidRPr="008C51C9">
        <w:rPr>
          <w:rFonts w:ascii="Times New Roman" w:hAnsi="Times New Roman" w:cs="Times New Roman"/>
          <w:sz w:val="24"/>
          <w:szCs w:val="24"/>
        </w:rPr>
        <w:t>Ahangarpour</w:t>
      </w:r>
      <w:proofErr w:type="spellEnd"/>
      <w:r w:rsidR="00D44DD1" w:rsidRPr="008C51C9">
        <w:rPr>
          <w:rFonts w:ascii="Times New Roman" w:hAnsi="Times New Roman" w:cs="Times New Roman"/>
          <w:sz w:val="24"/>
          <w:szCs w:val="24"/>
        </w:rPr>
        <w:t xml:space="preserve"> A</w:t>
      </w:r>
      <w:r w:rsidR="005405D8"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Mousavizadeh</w:t>
      </w:r>
      <w:proofErr w:type="spellEnd"/>
      <w:r w:rsidR="00D44DD1" w:rsidRPr="008C51C9">
        <w:rPr>
          <w:rFonts w:ascii="Times New Roman" w:hAnsi="Times New Roman" w:cs="Times New Roman"/>
          <w:sz w:val="24"/>
          <w:szCs w:val="24"/>
        </w:rPr>
        <w:t xml:space="preserve"> K. Effects of Chamomile </w:t>
      </w:r>
      <w:r w:rsidR="00A023BB" w:rsidRPr="008C51C9">
        <w:rPr>
          <w:rFonts w:ascii="Times New Roman" w:hAnsi="Times New Roman" w:cs="Times New Roman"/>
          <w:sz w:val="24"/>
          <w:szCs w:val="24"/>
        </w:rPr>
        <w:t>e</w:t>
      </w:r>
      <w:r w:rsidR="00D44DD1" w:rsidRPr="008C51C9">
        <w:rPr>
          <w:rFonts w:ascii="Times New Roman" w:hAnsi="Times New Roman" w:cs="Times New Roman"/>
          <w:sz w:val="24"/>
          <w:szCs w:val="24"/>
        </w:rPr>
        <w:t xml:space="preserve">xtract on </w:t>
      </w:r>
      <w:r w:rsidR="00A023BB" w:rsidRPr="008C51C9">
        <w:rPr>
          <w:rFonts w:ascii="Times New Roman" w:hAnsi="Times New Roman" w:cs="Times New Roman"/>
          <w:sz w:val="24"/>
          <w:szCs w:val="24"/>
        </w:rPr>
        <w:t>b</w:t>
      </w:r>
      <w:r w:rsidR="00D44DD1" w:rsidRPr="008C51C9">
        <w:rPr>
          <w:rFonts w:ascii="Times New Roman" w:hAnsi="Times New Roman" w:cs="Times New Roman"/>
          <w:sz w:val="24"/>
          <w:szCs w:val="24"/>
        </w:rPr>
        <w:t xml:space="preserve">iochemical and </w:t>
      </w:r>
      <w:r w:rsidR="00A023BB" w:rsidRPr="008C51C9">
        <w:rPr>
          <w:rFonts w:ascii="Times New Roman" w:hAnsi="Times New Roman" w:cs="Times New Roman"/>
          <w:sz w:val="24"/>
          <w:szCs w:val="24"/>
        </w:rPr>
        <w:t>c</w:t>
      </w:r>
      <w:r w:rsidR="00D44DD1" w:rsidRPr="008C51C9">
        <w:rPr>
          <w:rFonts w:ascii="Times New Roman" w:hAnsi="Times New Roman" w:cs="Times New Roman"/>
          <w:sz w:val="24"/>
          <w:szCs w:val="24"/>
        </w:rPr>
        <w:t xml:space="preserve">linical </w:t>
      </w:r>
      <w:r w:rsidR="00A023BB"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arameters in a </w:t>
      </w:r>
      <w:r w:rsidR="00A023BB" w:rsidRPr="008C51C9">
        <w:rPr>
          <w:rFonts w:ascii="Times New Roman" w:hAnsi="Times New Roman" w:cs="Times New Roman"/>
          <w:sz w:val="24"/>
          <w:szCs w:val="24"/>
        </w:rPr>
        <w:t>r</w:t>
      </w:r>
      <w:r w:rsidR="00D44DD1" w:rsidRPr="008C51C9">
        <w:rPr>
          <w:rFonts w:ascii="Times New Roman" w:hAnsi="Times New Roman" w:cs="Times New Roman"/>
          <w:sz w:val="24"/>
          <w:szCs w:val="24"/>
        </w:rPr>
        <w:t xml:space="preserve">at </w:t>
      </w:r>
      <w:r w:rsidR="00A023BB" w:rsidRPr="008C51C9">
        <w:rPr>
          <w:rFonts w:ascii="Times New Roman" w:hAnsi="Times New Roman" w:cs="Times New Roman"/>
          <w:sz w:val="24"/>
          <w:szCs w:val="24"/>
        </w:rPr>
        <w:t>m</w:t>
      </w:r>
      <w:r w:rsidR="00D44DD1" w:rsidRPr="008C51C9">
        <w:rPr>
          <w:rFonts w:ascii="Times New Roman" w:hAnsi="Times New Roman" w:cs="Times New Roman"/>
          <w:sz w:val="24"/>
          <w:szCs w:val="24"/>
        </w:rPr>
        <w:t xml:space="preserve">odel of </w:t>
      </w:r>
      <w:r w:rsidR="00A023BB"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olycystic </w:t>
      </w:r>
      <w:r w:rsidR="00A023BB"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vary </w:t>
      </w:r>
      <w:r w:rsidR="00A023BB" w:rsidRPr="008C51C9">
        <w:rPr>
          <w:rFonts w:ascii="Times New Roman" w:hAnsi="Times New Roman" w:cs="Times New Roman"/>
          <w:sz w:val="24"/>
          <w:szCs w:val="24"/>
        </w:rPr>
        <w:t>s</w:t>
      </w:r>
      <w:r w:rsidR="00D44DD1" w:rsidRPr="008C51C9">
        <w:rPr>
          <w:rFonts w:ascii="Times New Roman" w:hAnsi="Times New Roman" w:cs="Times New Roman"/>
          <w:sz w:val="24"/>
          <w:szCs w:val="24"/>
        </w:rPr>
        <w:t xml:space="preserve">yndrome. </w:t>
      </w:r>
      <w:r w:rsidR="00D44DD1" w:rsidRPr="008C51C9">
        <w:rPr>
          <w:rFonts w:ascii="Times New Roman" w:hAnsi="Times New Roman" w:cs="Times New Roman"/>
          <w:i/>
          <w:iCs/>
          <w:sz w:val="24"/>
          <w:szCs w:val="24"/>
        </w:rPr>
        <w:t xml:space="preserve">J. </w:t>
      </w:r>
      <w:proofErr w:type="spellStart"/>
      <w:r w:rsidR="00D44DD1" w:rsidRPr="008C51C9">
        <w:rPr>
          <w:rFonts w:ascii="Times New Roman" w:hAnsi="Times New Roman" w:cs="Times New Roman"/>
          <w:i/>
          <w:iCs/>
          <w:sz w:val="24"/>
          <w:szCs w:val="24"/>
        </w:rPr>
        <w:t>Reprod</w:t>
      </w:r>
      <w:proofErr w:type="spellEnd"/>
      <w:r w:rsidR="00D44DD1" w:rsidRPr="008C51C9">
        <w:rPr>
          <w:rFonts w:ascii="Times New Roman" w:hAnsi="Times New Roman" w:cs="Times New Roman"/>
          <w:i/>
          <w:iCs/>
          <w:sz w:val="24"/>
          <w:szCs w:val="24"/>
        </w:rPr>
        <w:t xml:space="preserve">. </w:t>
      </w:r>
      <w:proofErr w:type="spellStart"/>
      <w:r w:rsidR="00D44DD1" w:rsidRPr="008C51C9">
        <w:rPr>
          <w:rFonts w:ascii="Times New Roman" w:hAnsi="Times New Roman" w:cs="Times New Roman"/>
          <w:i/>
          <w:iCs/>
          <w:sz w:val="24"/>
          <w:szCs w:val="24"/>
        </w:rPr>
        <w:t>Infertil</w:t>
      </w:r>
      <w:proofErr w:type="spellEnd"/>
      <w:r w:rsidR="00D44DD1" w:rsidRPr="008C51C9">
        <w:rPr>
          <w:rFonts w:ascii="Times New Roman" w:hAnsi="Times New Roman" w:cs="Times New Roman"/>
          <w:i/>
          <w:iCs/>
          <w:sz w:val="24"/>
          <w:szCs w:val="24"/>
        </w:rPr>
        <w:t>.</w:t>
      </w:r>
      <w:r w:rsidR="005405D8" w:rsidRPr="008C51C9">
        <w:rPr>
          <w:rFonts w:ascii="Times New Roman" w:hAnsi="Times New Roman" w:cs="Times New Roman"/>
          <w:sz w:val="24"/>
          <w:szCs w:val="24"/>
        </w:rPr>
        <w:t xml:space="preserve"> 2010; </w:t>
      </w:r>
      <w:r w:rsidR="00D44DD1" w:rsidRPr="008C51C9">
        <w:rPr>
          <w:rFonts w:ascii="Times New Roman" w:hAnsi="Times New Roman" w:cs="Times New Roman"/>
          <w:b/>
          <w:bCs/>
          <w:sz w:val="24"/>
          <w:szCs w:val="24"/>
        </w:rPr>
        <w:t>11</w:t>
      </w:r>
      <w:r w:rsidR="005405D8" w:rsidRPr="008C51C9">
        <w:rPr>
          <w:rFonts w:ascii="Times New Roman" w:hAnsi="Times New Roman" w:cs="Times New Roman"/>
          <w:b/>
          <w:bCs/>
          <w:sz w:val="24"/>
          <w:szCs w:val="24"/>
        </w:rPr>
        <w:t xml:space="preserve">: </w:t>
      </w:r>
      <w:r w:rsidR="00D44DD1" w:rsidRPr="008C51C9">
        <w:rPr>
          <w:rFonts w:ascii="Times New Roman" w:hAnsi="Times New Roman" w:cs="Times New Roman"/>
          <w:sz w:val="24"/>
          <w:szCs w:val="24"/>
        </w:rPr>
        <w:t>169–174.</w:t>
      </w:r>
    </w:p>
    <w:p w14:paraId="449F0F83" w14:textId="77777777" w:rsidR="00D44DD1" w:rsidRPr="00D44DD1" w:rsidRDefault="00434581" w:rsidP="00393D67">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7</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28" w:history="1">
        <w:proofErr w:type="spellStart"/>
        <w:r w:rsidR="00687BDE" w:rsidRPr="008C51C9">
          <w:rPr>
            <w:rFonts w:ascii="Times New Roman" w:eastAsia="Times New Roman" w:hAnsi="Times New Roman" w:cs="Times New Roman"/>
            <w:sz w:val="24"/>
            <w:szCs w:val="24"/>
          </w:rPr>
          <w:t>Heidarifar</w:t>
        </w:r>
        <w:proofErr w:type="spellEnd"/>
        <w:r w:rsidR="00687BDE" w:rsidRPr="008C51C9">
          <w:rPr>
            <w:rFonts w:ascii="Times New Roman" w:eastAsia="Times New Roman" w:hAnsi="Times New Roman" w:cs="Times New Roman"/>
            <w:sz w:val="24"/>
            <w:szCs w:val="24"/>
          </w:rPr>
          <w:t xml:space="preserve"> R</w:t>
        </w:r>
      </w:hyperlink>
      <w:r w:rsidR="00687BDE" w:rsidRPr="008C51C9">
        <w:rPr>
          <w:rFonts w:ascii="Times New Roman" w:eastAsia="Times New Roman" w:hAnsi="Times New Roman" w:cs="Times New Roman"/>
          <w:sz w:val="24"/>
          <w:szCs w:val="24"/>
        </w:rPr>
        <w:t>, </w:t>
      </w:r>
      <w:hyperlink r:id="rId29" w:history="1">
        <w:r w:rsidR="00687BDE" w:rsidRPr="008C51C9">
          <w:rPr>
            <w:rFonts w:ascii="Times New Roman" w:eastAsia="Times New Roman" w:hAnsi="Times New Roman" w:cs="Times New Roman"/>
            <w:sz w:val="24"/>
            <w:szCs w:val="24"/>
          </w:rPr>
          <w:t>Mehran N</w:t>
        </w:r>
      </w:hyperlink>
      <w:r w:rsidR="00687BDE" w:rsidRPr="008C51C9">
        <w:rPr>
          <w:rFonts w:ascii="Times New Roman" w:eastAsia="Times New Roman" w:hAnsi="Times New Roman" w:cs="Times New Roman"/>
          <w:sz w:val="24"/>
          <w:szCs w:val="24"/>
        </w:rPr>
        <w:t>, </w:t>
      </w:r>
      <w:proofErr w:type="spellStart"/>
      <w:r w:rsidR="00B95928">
        <w:fldChar w:fldCharType="begin"/>
      </w:r>
      <w:r w:rsidR="00B95928">
        <w:instrText xml:space="preserve"> HYPERLINK "https://www.ncbi.nlm.nih.gov/pubmed/?term=Heidari%20A%5BAuthor%5D&amp;cauthor=true&amp;cauthor_uid=25097605" </w:instrText>
      </w:r>
      <w:r w:rsidR="00B95928">
        <w:fldChar w:fldCharType="separate"/>
      </w:r>
      <w:r w:rsidR="00687BDE" w:rsidRPr="008C51C9">
        <w:rPr>
          <w:rFonts w:ascii="Times New Roman" w:eastAsia="Times New Roman" w:hAnsi="Times New Roman" w:cs="Times New Roman"/>
          <w:sz w:val="24"/>
          <w:szCs w:val="24"/>
        </w:rPr>
        <w:t>Heidari</w:t>
      </w:r>
      <w:proofErr w:type="spellEnd"/>
      <w:r w:rsidR="00687BDE" w:rsidRPr="008C51C9">
        <w:rPr>
          <w:rFonts w:ascii="Times New Roman" w:eastAsia="Times New Roman" w:hAnsi="Times New Roman" w:cs="Times New Roman"/>
          <w:sz w:val="24"/>
          <w:szCs w:val="24"/>
        </w:rPr>
        <w:t xml:space="preserve"> A</w:t>
      </w:r>
      <w:r w:rsidR="00B95928">
        <w:rPr>
          <w:rFonts w:ascii="Times New Roman" w:eastAsia="Times New Roman" w:hAnsi="Times New Roman" w:cs="Times New Roman"/>
          <w:sz w:val="24"/>
          <w:szCs w:val="24"/>
        </w:rPr>
        <w:fldChar w:fldCharType="end"/>
      </w:r>
      <w:r w:rsidR="00687BDE" w:rsidRPr="008C51C9">
        <w:rPr>
          <w:rFonts w:ascii="Times New Roman" w:eastAsia="Times New Roman" w:hAnsi="Times New Roman" w:cs="Times New Roman"/>
          <w:sz w:val="24"/>
          <w:szCs w:val="24"/>
        </w:rPr>
        <w:t>, </w:t>
      </w:r>
      <w:hyperlink r:id="rId30" w:history="1">
        <w:r w:rsidR="00687BDE" w:rsidRPr="008C51C9">
          <w:rPr>
            <w:rFonts w:ascii="Times New Roman" w:eastAsia="Times New Roman" w:hAnsi="Times New Roman" w:cs="Times New Roman"/>
            <w:sz w:val="24"/>
            <w:szCs w:val="24"/>
          </w:rPr>
          <w:t>Tehran HA</w:t>
        </w:r>
      </w:hyperlink>
      <w:r w:rsidR="00687BDE" w:rsidRPr="008C51C9">
        <w:rPr>
          <w:rFonts w:ascii="Times New Roman" w:eastAsia="Times New Roman" w:hAnsi="Times New Roman" w:cs="Times New Roman"/>
          <w:sz w:val="24"/>
          <w:szCs w:val="24"/>
        </w:rPr>
        <w:t xml:space="preserve">, et al. </w:t>
      </w:r>
      <w:r w:rsidR="00D44DD1" w:rsidRPr="008C51C9">
        <w:rPr>
          <w:rFonts w:ascii="Times New Roman" w:hAnsi="Times New Roman" w:cs="Times New Roman"/>
          <w:sz w:val="24"/>
          <w:szCs w:val="24"/>
        </w:rPr>
        <w:t>Effect of Dill (</w:t>
      </w:r>
      <w:proofErr w:type="spellStart"/>
      <w:r w:rsidR="00D44DD1" w:rsidRPr="008C51C9">
        <w:rPr>
          <w:rFonts w:ascii="Times New Roman" w:hAnsi="Times New Roman" w:cs="Times New Roman"/>
          <w:sz w:val="24"/>
          <w:szCs w:val="24"/>
        </w:rPr>
        <w:t>Anethum</w:t>
      </w:r>
      <w:proofErr w:type="spellEnd"/>
      <w:r w:rsidR="00D44DD1" w:rsidRPr="008C51C9">
        <w:rPr>
          <w:rFonts w:ascii="Times New Roman" w:hAnsi="Times New Roman" w:cs="Times New Roman"/>
          <w:sz w:val="24"/>
          <w:szCs w:val="24"/>
        </w:rPr>
        <w:t xml:space="preserve"> </w:t>
      </w:r>
      <w:proofErr w:type="spellStart"/>
      <w:r w:rsidR="00D44DD1" w:rsidRPr="008C51C9">
        <w:rPr>
          <w:rFonts w:ascii="Times New Roman" w:hAnsi="Times New Roman" w:cs="Times New Roman"/>
          <w:sz w:val="24"/>
          <w:szCs w:val="24"/>
        </w:rPr>
        <w:t>graveolens</w:t>
      </w:r>
      <w:proofErr w:type="spellEnd"/>
      <w:r w:rsidR="00D44DD1" w:rsidRPr="008C51C9">
        <w:rPr>
          <w:rFonts w:ascii="Times New Roman" w:hAnsi="Times New Roman" w:cs="Times New Roman"/>
          <w:sz w:val="24"/>
          <w:szCs w:val="24"/>
        </w:rPr>
        <w:t xml:space="preserve">) on the severity of primary dysmenorrhea in compared with mefenamic acid: </w:t>
      </w:r>
      <w:r w:rsidR="00687BDE" w:rsidRPr="008C51C9">
        <w:rPr>
          <w:rFonts w:ascii="Times New Roman" w:hAnsi="Times New Roman" w:cs="Times New Roman"/>
          <w:sz w:val="24"/>
          <w:szCs w:val="24"/>
        </w:rPr>
        <w:t>a</w:t>
      </w:r>
      <w:r w:rsidR="00D44DD1" w:rsidRPr="008C51C9">
        <w:rPr>
          <w:rFonts w:ascii="Times New Roman" w:hAnsi="Times New Roman" w:cs="Times New Roman"/>
          <w:sz w:val="24"/>
          <w:szCs w:val="24"/>
        </w:rPr>
        <w:t xml:space="preserve"> randomized, double-blind trial. </w:t>
      </w:r>
      <w:r w:rsidR="00D44DD1" w:rsidRPr="008C51C9">
        <w:rPr>
          <w:rFonts w:ascii="Times New Roman" w:hAnsi="Times New Roman" w:cs="Times New Roman"/>
          <w:i/>
          <w:iCs/>
          <w:sz w:val="24"/>
          <w:szCs w:val="24"/>
        </w:rPr>
        <w:t>J. Res. Med. Sci. Off. J. Isfahan Univ. Med. Sci.</w:t>
      </w:r>
      <w:r w:rsidR="00687BDE"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19</w:t>
      </w:r>
      <w:r w:rsidR="00687BDE" w:rsidRPr="008C51C9">
        <w:rPr>
          <w:rFonts w:ascii="Times New Roman" w:hAnsi="Times New Roman" w:cs="Times New Roman"/>
          <w:b/>
          <w:bCs/>
          <w:sz w:val="24"/>
          <w:szCs w:val="24"/>
        </w:rPr>
        <w:t xml:space="preserve">: </w:t>
      </w:r>
      <w:r w:rsidR="00D44DD1" w:rsidRPr="008C51C9">
        <w:rPr>
          <w:rFonts w:ascii="Times New Roman" w:hAnsi="Times New Roman" w:cs="Times New Roman"/>
          <w:sz w:val="24"/>
          <w:szCs w:val="24"/>
        </w:rPr>
        <w:t>326–330.</w:t>
      </w:r>
    </w:p>
    <w:p w14:paraId="2522FCD1" w14:textId="77777777" w:rsidR="005C3BF2" w:rsidRPr="005C3BF2" w:rsidRDefault="005C3BF2" w:rsidP="005C3BF2">
      <w:pPr>
        <w:spacing w:after="0" w:line="240" w:lineRule="auto"/>
        <w:rPr>
          <w:rFonts w:ascii="Times New Roman" w:hAnsi="Times New Roman" w:cs="Times New Roman"/>
          <w:sz w:val="24"/>
          <w:szCs w:val="24"/>
        </w:rPr>
      </w:pPr>
    </w:p>
    <w:sectPr w:rsidR="005C3BF2" w:rsidRPr="005C3BF2">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3A0F4" w14:textId="77777777" w:rsidR="001C5ABD" w:rsidRDefault="001C5ABD" w:rsidP="00E35863">
      <w:pPr>
        <w:spacing w:after="0" w:line="240" w:lineRule="auto"/>
      </w:pPr>
      <w:r>
        <w:separator/>
      </w:r>
    </w:p>
  </w:endnote>
  <w:endnote w:type="continuationSeparator" w:id="0">
    <w:p w14:paraId="52EE71E0" w14:textId="77777777" w:rsidR="001C5ABD" w:rsidRDefault="001C5ABD" w:rsidP="00E35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2623609"/>
      <w:docPartObj>
        <w:docPartGallery w:val="Page Numbers (Bottom of Page)"/>
        <w:docPartUnique/>
      </w:docPartObj>
    </w:sdtPr>
    <w:sdtEndPr>
      <w:rPr>
        <w:noProof/>
      </w:rPr>
    </w:sdtEndPr>
    <w:sdtContent>
      <w:p w14:paraId="0F3FE828" w14:textId="774B89CD" w:rsidR="00D04D65" w:rsidRDefault="00D04D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BD3701" w14:textId="77777777" w:rsidR="00D04D65" w:rsidRDefault="00D04D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5ADC9" w14:textId="77777777" w:rsidR="001C5ABD" w:rsidRDefault="001C5ABD" w:rsidP="00E35863">
      <w:pPr>
        <w:spacing w:after="0" w:line="240" w:lineRule="auto"/>
      </w:pPr>
      <w:r>
        <w:separator/>
      </w:r>
    </w:p>
  </w:footnote>
  <w:footnote w:type="continuationSeparator" w:id="0">
    <w:p w14:paraId="2CE7449E" w14:textId="77777777" w:rsidR="001C5ABD" w:rsidRDefault="001C5ABD" w:rsidP="00E358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B0006"/>
    <w:multiLevelType w:val="hybridMultilevel"/>
    <w:tmpl w:val="2EC22F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4013FD"/>
    <w:multiLevelType w:val="hybridMultilevel"/>
    <w:tmpl w:val="9BE07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804FD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1672BE1"/>
    <w:multiLevelType w:val="hybridMultilevel"/>
    <w:tmpl w:val="4774BE4A"/>
    <w:lvl w:ilvl="0" w:tplc="169A643A">
      <w:start w:val="1"/>
      <w:numFmt w:val="bullet"/>
      <w:lvlText w:val=""/>
      <w:lvlJc w:val="left"/>
      <w:pPr>
        <w:ind w:left="1021"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A566A9"/>
    <w:multiLevelType w:val="hybridMultilevel"/>
    <w:tmpl w:val="269212D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IwNTIwMzAzNDAztrRU0lEKTi0uzszPAykwMq4FABIcL5ctAAAA"/>
  </w:docVars>
  <w:rsids>
    <w:rsidRoot w:val="005C3BF2"/>
    <w:rsid w:val="00003EFB"/>
    <w:rsid w:val="00006B69"/>
    <w:rsid w:val="000127AD"/>
    <w:rsid w:val="00030205"/>
    <w:rsid w:val="0004252C"/>
    <w:rsid w:val="000507F3"/>
    <w:rsid w:val="00052553"/>
    <w:rsid w:val="000528BE"/>
    <w:rsid w:val="00057BBB"/>
    <w:rsid w:val="00066834"/>
    <w:rsid w:val="0007242D"/>
    <w:rsid w:val="000758AB"/>
    <w:rsid w:val="00077488"/>
    <w:rsid w:val="0008010B"/>
    <w:rsid w:val="000822CD"/>
    <w:rsid w:val="000A42B7"/>
    <w:rsid w:val="000A5DC4"/>
    <w:rsid w:val="000B22EE"/>
    <w:rsid w:val="000B42F5"/>
    <w:rsid w:val="000C04C4"/>
    <w:rsid w:val="000C3954"/>
    <w:rsid w:val="000D1B31"/>
    <w:rsid w:val="000D28DD"/>
    <w:rsid w:val="000D47C5"/>
    <w:rsid w:val="000D75DB"/>
    <w:rsid w:val="000D7DA1"/>
    <w:rsid w:val="000F11C1"/>
    <w:rsid w:val="000F4FEC"/>
    <w:rsid w:val="001028A2"/>
    <w:rsid w:val="001062E3"/>
    <w:rsid w:val="001322DF"/>
    <w:rsid w:val="00134291"/>
    <w:rsid w:val="001378DB"/>
    <w:rsid w:val="00140EC1"/>
    <w:rsid w:val="00142F0C"/>
    <w:rsid w:val="0015165D"/>
    <w:rsid w:val="00151A1C"/>
    <w:rsid w:val="00157C18"/>
    <w:rsid w:val="00162123"/>
    <w:rsid w:val="001631E1"/>
    <w:rsid w:val="00165429"/>
    <w:rsid w:val="00176129"/>
    <w:rsid w:val="0017731F"/>
    <w:rsid w:val="00182EDA"/>
    <w:rsid w:val="00191A99"/>
    <w:rsid w:val="001A0F09"/>
    <w:rsid w:val="001A2593"/>
    <w:rsid w:val="001A7991"/>
    <w:rsid w:val="001A7F39"/>
    <w:rsid w:val="001B0828"/>
    <w:rsid w:val="001B6345"/>
    <w:rsid w:val="001C5ABD"/>
    <w:rsid w:val="001C6AEC"/>
    <w:rsid w:val="001D1FBA"/>
    <w:rsid w:val="001E2727"/>
    <w:rsid w:val="001F0E37"/>
    <w:rsid w:val="001F52C5"/>
    <w:rsid w:val="00214C8D"/>
    <w:rsid w:val="00216B54"/>
    <w:rsid w:val="00222236"/>
    <w:rsid w:val="00230B9F"/>
    <w:rsid w:val="00236223"/>
    <w:rsid w:val="00241C08"/>
    <w:rsid w:val="002448B6"/>
    <w:rsid w:val="00262F06"/>
    <w:rsid w:val="00275974"/>
    <w:rsid w:val="00285B89"/>
    <w:rsid w:val="00286E61"/>
    <w:rsid w:val="0029199D"/>
    <w:rsid w:val="00296994"/>
    <w:rsid w:val="002A00DB"/>
    <w:rsid w:val="002A76B9"/>
    <w:rsid w:val="002B250B"/>
    <w:rsid w:val="002B2EB5"/>
    <w:rsid w:val="002B3565"/>
    <w:rsid w:val="002C1C7D"/>
    <w:rsid w:val="002D6E49"/>
    <w:rsid w:val="002D73F3"/>
    <w:rsid w:val="002D7E66"/>
    <w:rsid w:val="002F3415"/>
    <w:rsid w:val="00304226"/>
    <w:rsid w:val="00341750"/>
    <w:rsid w:val="00343A08"/>
    <w:rsid w:val="0034731D"/>
    <w:rsid w:val="003544B9"/>
    <w:rsid w:val="003545FB"/>
    <w:rsid w:val="0036138C"/>
    <w:rsid w:val="0036183E"/>
    <w:rsid w:val="0037384F"/>
    <w:rsid w:val="00380417"/>
    <w:rsid w:val="00381843"/>
    <w:rsid w:val="00382613"/>
    <w:rsid w:val="00393D67"/>
    <w:rsid w:val="00395D29"/>
    <w:rsid w:val="003A249E"/>
    <w:rsid w:val="003B7385"/>
    <w:rsid w:val="003C36AE"/>
    <w:rsid w:val="003C7798"/>
    <w:rsid w:val="003D6D50"/>
    <w:rsid w:val="003D73BA"/>
    <w:rsid w:val="003E1CEB"/>
    <w:rsid w:val="003E7BCB"/>
    <w:rsid w:val="003F3381"/>
    <w:rsid w:val="004051BA"/>
    <w:rsid w:val="00414343"/>
    <w:rsid w:val="00416A2E"/>
    <w:rsid w:val="0042175B"/>
    <w:rsid w:val="00434581"/>
    <w:rsid w:val="004513E5"/>
    <w:rsid w:val="004549E7"/>
    <w:rsid w:val="00456EA8"/>
    <w:rsid w:val="00465811"/>
    <w:rsid w:val="004716D0"/>
    <w:rsid w:val="0049249B"/>
    <w:rsid w:val="00493DD3"/>
    <w:rsid w:val="004976DB"/>
    <w:rsid w:val="004A090A"/>
    <w:rsid w:val="004A1ED5"/>
    <w:rsid w:val="004A2E6E"/>
    <w:rsid w:val="004A70F0"/>
    <w:rsid w:val="004A74CC"/>
    <w:rsid w:val="004B27BC"/>
    <w:rsid w:val="004C4683"/>
    <w:rsid w:val="004C79E3"/>
    <w:rsid w:val="004D56B6"/>
    <w:rsid w:val="004E1BA1"/>
    <w:rsid w:val="004E3497"/>
    <w:rsid w:val="004E7D97"/>
    <w:rsid w:val="004F1784"/>
    <w:rsid w:val="004F4805"/>
    <w:rsid w:val="00505017"/>
    <w:rsid w:val="00507E1D"/>
    <w:rsid w:val="005160C7"/>
    <w:rsid w:val="00533B42"/>
    <w:rsid w:val="0053411B"/>
    <w:rsid w:val="00535E54"/>
    <w:rsid w:val="005405D8"/>
    <w:rsid w:val="00543C27"/>
    <w:rsid w:val="005469B7"/>
    <w:rsid w:val="0055712C"/>
    <w:rsid w:val="00560B82"/>
    <w:rsid w:val="00560BFA"/>
    <w:rsid w:val="0058011A"/>
    <w:rsid w:val="00587F91"/>
    <w:rsid w:val="005930E1"/>
    <w:rsid w:val="005A32F2"/>
    <w:rsid w:val="005A4A13"/>
    <w:rsid w:val="005A60F6"/>
    <w:rsid w:val="005B0486"/>
    <w:rsid w:val="005B2AC8"/>
    <w:rsid w:val="005B79CD"/>
    <w:rsid w:val="005C1491"/>
    <w:rsid w:val="005C3BF2"/>
    <w:rsid w:val="005C3CF6"/>
    <w:rsid w:val="005C5352"/>
    <w:rsid w:val="005C6F26"/>
    <w:rsid w:val="005D7D13"/>
    <w:rsid w:val="005E3346"/>
    <w:rsid w:val="005F7150"/>
    <w:rsid w:val="006048AA"/>
    <w:rsid w:val="00604B28"/>
    <w:rsid w:val="00616123"/>
    <w:rsid w:val="00633F54"/>
    <w:rsid w:val="00633FA1"/>
    <w:rsid w:val="00634CCE"/>
    <w:rsid w:val="00640B9F"/>
    <w:rsid w:val="00652BE0"/>
    <w:rsid w:val="0065449D"/>
    <w:rsid w:val="006574F2"/>
    <w:rsid w:val="00686995"/>
    <w:rsid w:val="00687BDE"/>
    <w:rsid w:val="006A5FC3"/>
    <w:rsid w:val="006B3305"/>
    <w:rsid w:val="006B3B44"/>
    <w:rsid w:val="006B5CFF"/>
    <w:rsid w:val="006C320B"/>
    <w:rsid w:val="006C5AA8"/>
    <w:rsid w:val="006E10CE"/>
    <w:rsid w:val="006E6943"/>
    <w:rsid w:val="00701E47"/>
    <w:rsid w:val="0070436A"/>
    <w:rsid w:val="00704545"/>
    <w:rsid w:val="0071040E"/>
    <w:rsid w:val="007114F1"/>
    <w:rsid w:val="007131BF"/>
    <w:rsid w:val="00714E23"/>
    <w:rsid w:val="00725528"/>
    <w:rsid w:val="00734DF6"/>
    <w:rsid w:val="007451BA"/>
    <w:rsid w:val="00746523"/>
    <w:rsid w:val="007501ED"/>
    <w:rsid w:val="00753C89"/>
    <w:rsid w:val="0075440B"/>
    <w:rsid w:val="007576C1"/>
    <w:rsid w:val="00762AFB"/>
    <w:rsid w:val="007768FB"/>
    <w:rsid w:val="00791D82"/>
    <w:rsid w:val="007C1659"/>
    <w:rsid w:val="007C330E"/>
    <w:rsid w:val="007D6DF6"/>
    <w:rsid w:val="007D7481"/>
    <w:rsid w:val="007E07CF"/>
    <w:rsid w:val="007E228B"/>
    <w:rsid w:val="007E7618"/>
    <w:rsid w:val="007F1FA2"/>
    <w:rsid w:val="007F4FCF"/>
    <w:rsid w:val="00801660"/>
    <w:rsid w:val="00805162"/>
    <w:rsid w:val="00813454"/>
    <w:rsid w:val="00830315"/>
    <w:rsid w:val="00830EB0"/>
    <w:rsid w:val="00834E1C"/>
    <w:rsid w:val="008357F7"/>
    <w:rsid w:val="00843113"/>
    <w:rsid w:val="008454ED"/>
    <w:rsid w:val="00852545"/>
    <w:rsid w:val="00863750"/>
    <w:rsid w:val="008659CA"/>
    <w:rsid w:val="00870185"/>
    <w:rsid w:val="00870191"/>
    <w:rsid w:val="0087061E"/>
    <w:rsid w:val="00873B79"/>
    <w:rsid w:val="00880413"/>
    <w:rsid w:val="00886C53"/>
    <w:rsid w:val="00887515"/>
    <w:rsid w:val="008952F3"/>
    <w:rsid w:val="008B15AD"/>
    <w:rsid w:val="008B5544"/>
    <w:rsid w:val="008B7D78"/>
    <w:rsid w:val="008C51C9"/>
    <w:rsid w:val="008E38CF"/>
    <w:rsid w:val="008F2B02"/>
    <w:rsid w:val="008F71E9"/>
    <w:rsid w:val="009051B8"/>
    <w:rsid w:val="00915E6F"/>
    <w:rsid w:val="00920C4A"/>
    <w:rsid w:val="0092679A"/>
    <w:rsid w:val="009329A6"/>
    <w:rsid w:val="00935F4C"/>
    <w:rsid w:val="0094024C"/>
    <w:rsid w:val="0094533F"/>
    <w:rsid w:val="009471F1"/>
    <w:rsid w:val="009502F3"/>
    <w:rsid w:val="009551E4"/>
    <w:rsid w:val="0095735A"/>
    <w:rsid w:val="00960E8B"/>
    <w:rsid w:val="00981EA8"/>
    <w:rsid w:val="00987E85"/>
    <w:rsid w:val="00992B35"/>
    <w:rsid w:val="009A42C8"/>
    <w:rsid w:val="009B0BB9"/>
    <w:rsid w:val="009B622D"/>
    <w:rsid w:val="009B6BC8"/>
    <w:rsid w:val="009C24BF"/>
    <w:rsid w:val="009D141C"/>
    <w:rsid w:val="009D2E89"/>
    <w:rsid w:val="009D4199"/>
    <w:rsid w:val="009D63D8"/>
    <w:rsid w:val="00A008D7"/>
    <w:rsid w:val="00A023BB"/>
    <w:rsid w:val="00A213BD"/>
    <w:rsid w:val="00A238EE"/>
    <w:rsid w:val="00A23B75"/>
    <w:rsid w:val="00A2731D"/>
    <w:rsid w:val="00A31778"/>
    <w:rsid w:val="00A34012"/>
    <w:rsid w:val="00A41C13"/>
    <w:rsid w:val="00A477D4"/>
    <w:rsid w:val="00A673AB"/>
    <w:rsid w:val="00A67AB3"/>
    <w:rsid w:val="00A7366D"/>
    <w:rsid w:val="00A76E5A"/>
    <w:rsid w:val="00A81A9C"/>
    <w:rsid w:val="00A8228D"/>
    <w:rsid w:val="00A83313"/>
    <w:rsid w:val="00A83361"/>
    <w:rsid w:val="00A86CF6"/>
    <w:rsid w:val="00A9352D"/>
    <w:rsid w:val="00A96722"/>
    <w:rsid w:val="00AA1FF5"/>
    <w:rsid w:val="00AD2028"/>
    <w:rsid w:val="00AF21E7"/>
    <w:rsid w:val="00AF2443"/>
    <w:rsid w:val="00AF4EC2"/>
    <w:rsid w:val="00B05A2A"/>
    <w:rsid w:val="00B05D11"/>
    <w:rsid w:val="00B131E3"/>
    <w:rsid w:val="00B14605"/>
    <w:rsid w:val="00B216FD"/>
    <w:rsid w:val="00B400D8"/>
    <w:rsid w:val="00B526F6"/>
    <w:rsid w:val="00B60CCF"/>
    <w:rsid w:val="00B70210"/>
    <w:rsid w:val="00B72E75"/>
    <w:rsid w:val="00B7421A"/>
    <w:rsid w:val="00B7734C"/>
    <w:rsid w:val="00B81685"/>
    <w:rsid w:val="00B82AA5"/>
    <w:rsid w:val="00B908A8"/>
    <w:rsid w:val="00B912B1"/>
    <w:rsid w:val="00B95135"/>
    <w:rsid w:val="00B95928"/>
    <w:rsid w:val="00BA2237"/>
    <w:rsid w:val="00BA5E68"/>
    <w:rsid w:val="00BA76B0"/>
    <w:rsid w:val="00BB4FAC"/>
    <w:rsid w:val="00BC166F"/>
    <w:rsid w:val="00BC7F98"/>
    <w:rsid w:val="00BD2431"/>
    <w:rsid w:val="00BD5132"/>
    <w:rsid w:val="00BD68F6"/>
    <w:rsid w:val="00BF63BF"/>
    <w:rsid w:val="00C01D4E"/>
    <w:rsid w:val="00C135B0"/>
    <w:rsid w:val="00C13A62"/>
    <w:rsid w:val="00C13C9A"/>
    <w:rsid w:val="00C17C02"/>
    <w:rsid w:val="00C27150"/>
    <w:rsid w:val="00C33095"/>
    <w:rsid w:val="00C40B52"/>
    <w:rsid w:val="00C45531"/>
    <w:rsid w:val="00C46707"/>
    <w:rsid w:val="00C5280D"/>
    <w:rsid w:val="00C574F8"/>
    <w:rsid w:val="00C57B41"/>
    <w:rsid w:val="00C6032C"/>
    <w:rsid w:val="00C65601"/>
    <w:rsid w:val="00C747F9"/>
    <w:rsid w:val="00C96798"/>
    <w:rsid w:val="00C9710D"/>
    <w:rsid w:val="00C97169"/>
    <w:rsid w:val="00CA2E3B"/>
    <w:rsid w:val="00CB2324"/>
    <w:rsid w:val="00CB3065"/>
    <w:rsid w:val="00CB71C1"/>
    <w:rsid w:val="00CC113A"/>
    <w:rsid w:val="00CC3031"/>
    <w:rsid w:val="00CC4555"/>
    <w:rsid w:val="00CD49DA"/>
    <w:rsid w:val="00CD5860"/>
    <w:rsid w:val="00CE11F0"/>
    <w:rsid w:val="00CE278B"/>
    <w:rsid w:val="00CE54D1"/>
    <w:rsid w:val="00D04D65"/>
    <w:rsid w:val="00D07672"/>
    <w:rsid w:val="00D145E2"/>
    <w:rsid w:val="00D17EE5"/>
    <w:rsid w:val="00D226AF"/>
    <w:rsid w:val="00D22810"/>
    <w:rsid w:val="00D23262"/>
    <w:rsid w:val="00D24B26"/>
    <w:rsid w:val="00D354A4"/>
    <w:rsid w:val="00D35D89"/>
    <w:rsid w:val="00D42003"/>
    <w:rsid w:val="00D44DD1"/>
    <w:rsid w:val="00D4693F"/>
    <w:rsid w:val="00D54A2E"/>
    <w:rsid w:val="00D56C15"/>
    <w:rsid w:val="00D65FCB"/>
    <w:rsid w:val="00D7479B"/>
    <w:rsid w:val="00D82CC8"/>
    <w:rsid w:val="00DA0B55"/>
    <w:rsid w:val="00DA2FAD"/>
    <w:rsid w:val="00DA336E"/>
    <w:rsid w:val="00DA41DC"/>
    <w:rsid w:val="00DA535E"/>
    <w:rsid w:val="00DB0E26"/>
    <w:rsid w:val="00DB2577"/>
    <w:rsid w:val="00DB2A5A"/>
    <w:rsid w:val="00DB49FC"/>
    <w:rsid w:val="00DB5128"/>
    <w:rsid w:val="00DB79EE"/>
    <w:rsid w:val="00DD14D8"/>
    <w:rsid w:val="00DE1E59"/>
    <w:rsid w:val="00DE26DD"/>
    <w:rsid w:val="00DE2C76"/>
    <w:rsid w:val="00DF1BC9"/>
    <w:rsid w:val="00DF573A"/>
    <w:rsid w:val="00E067D7"/>
    <w:rsid w:val="00E14DA7"/>
    <w:rsid w:val="00E20141"/>
    <w:rsid w:val="00E26848"/>
    <w:rsid w:val="00E35863"/>
    <w:rsid w:val="00E36778"/>
    <w:rsid w:val="00E45B54"/>
    <w:rsid w:val="00E52EFE"/>
    <w:rsid w:val="00E574CE"/>
    <w:rsid w:val="00E75150"/>
    <w:rsid w:val="00E779C7"/>
    <w:rsid w:val="00E818A6"/>
    <w:rsid w:val="00E879A5"/>
    <w:rsid w:val="00EB1B84"/>
    <w:rsid w:val="00EB665D"/>
    <w:rsid w:val="00EB6AEC"/>
    <w:rsid w:val="00ED2A22"/>
    <w:rsid w:val="00ED2B9B"/>
    <w:rsid w:val="00EE3020"/>
    <w:rsid w:val="00EF2415"/>
    <w:rsid w:val="00EF2A81"/>
    <w:rsid w:val="00F02FB1"/>
    <w:rsid w:val="00F03729"/>
    <w:rsid w:val="00F10032"/>
    <w:rsid w:val="00F21C2F"/>
    <w:rsid w:val="00F362D3"/>
    <w:rsid w:val="00F366BC"/>
    <w:rsid w:val="00F46B6C"/>
    <w:rsid w:val="00F56279"/>
    <w:rsid w:val="00F619F6"/>
    <w:rsid w:val="00F652DE"/>
    <w:rsid w:val="00F663D9"/>
    <w:rsid w:val="00F67D66"/>
    <w:rsid w:val="00F83CE8"/>
    <w:rsid w:val="00F958C5"/>
    <w:rsid w:val="00F97BD7"/>
    <w:rsid w:val="00FC185A"/>
    <w:rsid w:val="00FC296F"/>
    <w:rsid w:val="00FC4339"/>
    <w:rsid w:val="00FD2913"/>
    <w:rsid w:val="00FE0AA2"/>
    <w:rsid w:val="00FF2AAA"/>
    <w:rsid w:val="00FF2EB0"/>
    <w:rsid w:val="00FF3F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677EE"/>
  <w15:chartTrackingRefBased/>
  <w15:docId w15:val="{D4253C7F-EC27-4214-87B0-61F71784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2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5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863"/>
  </w:style>
  <w:style w:type="paragraph" w:styleId="Footer">
    <w:name w:val="footer"/>
    <w:basedOn w:val="Normal"/>
    <w:link w:val="FooterChar"/>
    <w:uiPriority w:val="99"/>
    <w:unhideWhenUsed/>
    <w:rsid w:val="00E35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863"/>
  </w:style>
  <w:style w:type="paragraph" w:styleId="BalloonText">
    <w:name w:val="Balloon Text"/>
    <w:basedOn w:val="Normal"/>
    <w:link w:val="BalloonTextChar"/>
    <w:uiPriority w:val="99"/>
    <w:semiHidden/>
    <w:unhideWhenUsed/>
    <w:rsid w:val="00241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1C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350193">
      <w:bodyDiv w:val="1"/>
      <w:marLeft w:val="0"/>
      <w:marRight w:val="0"/>
      <w:marTop w:val="0"/>
      <w:marBottom w:val="0"/>
      <w:divBdr>
        <w:top w:val="none" w:sz="0" w:space="0" w:color="auto"/>
        <w:left w:val="none" w:sz="0" w:space="0" w:color="auto"/>
        <w:bottom w:val="none" w:sz="0" w:space="0" w:color="auto"/>
        <w:right w:val="none" w:sz="0" w:space="0" w:color="auto"/>
      </w:divBdr>
    </w:div>
    <w:div w:id="313264443">
      <w:bodyDiv w:val="1"/>
      <w:marLeft w:val="0"/>
      <w:marRight w:val="0"/>
      <w:marTop w:val="0"/>
      <w:marBottom w:val="0"/>
      <w:divBdr>
        <w:top w:val="none" w:sz="0" w:space="0" w:color="auto"/>
        <w:left w:val="none" w:sz="0" w:space="0" w:color="auto"/>
        <w:bottom w:val="none" w:sz="0" w:space="0" w:color="auto"/>
        <w:right w:val="none" w:sz="0" w:space="0" w:color="auto"/>
      </w:divBdr>
    </w:div>
    <w:div w:id="619996856">
      <w:bodyDiv w:val="1"/>
      <w:marLeft w:val="0"/>
      <w:marRight w:val="0"/>
      <w:marTop w:val="0"/>
      <w:marBottom w:val="0"/>
      <w:divBdr>
        <w:top w:val="none" w:sz="0" w:space="0" w:color="auto"/>
        <w:left w:val="none" w:sz="0" w:space="0" w:color="auto"/>
        <w:bottom w:val="none" w:sz="0" w:space="0" w:color="auto"/>
        <w:right w:val="none" w:sz="0" w:space="0" w:color="auto"/>
      </w:divBdr>
    </w:div>
    <w:div w:id="1599606861">
      <w:bodyDiv w:val="1"/>
      <w:marLeft w:val="0"/>
      <w:marRight w:val="0"/>
      <w:marTop w:val="0"/>
      <w:marBottom w:val="0"/>
      <w:divBdr>
        <w:top w:val="none" w:sz="0" w:space="0" w:color="auto"/>
        <w:left w:val="none" w:sz="0" w:space="0" w:color="auto"/>
        <w:bottom w:val="none" w:sz="0" w:space="0" w:color="auto"/>
        <w:right w:val="none" w:sz="0" w:space="0" w:color="auto"/>
      </w:divBdr>
    </w:div>
    <w:div w:id="1608926426">
      <w:bodyDiv w:val="1"/>
      <w:marLeft w:val="0"/>
      <w:marRight w:val="0"/>
      <w:marTop w:val="0"/>
      <w:marBottom w:val="0"/>
      <w:divBdr>
        <w:top w:val="none" w:sz="0" w:space="0" w:color="auto"/>
        <w:left w:val="none" w:sz="0" w:space="0" w:color="auto"/>
        <w:bottom w:val="none" w:sz="0" w:space="0" w:color="auto"/>
        <w:right w:val="none" w:sz="0" w:space="0" w:color="auto"/>
      </w:divBdr>
    </w:div>
    <w:div w:id="1650281077">
      <w:bodyDiv w:val="1"/>
      <w:marLeft w:val="0"/>
      <w:marRight w:val="0"/>
      <w:marTop w:val="0"/>
      <w:marBottom w:val="0"/>
      <w:divBdr>
        <w:top w:val="none" w:sz="0" w:space="0" w:color="auto"/>
        <w:left w:val="none" w:sz="0" w:space="0" w:color="auto"/>
        <w:bottom w:val="none" w:sz="0" w:space="0" w:color="auto"/>
        <w:right w:val="none" w:sz="0" w:space="0" w:color="auto"/>
      </w:divBdr>
    </w:div>
    <w:div w:id="1751849503">
      <w:bodyDiv w:val="1"/>
      <w:marLeft w:val="0"/>
      <w:marRight w:val="0"/>
      <w:marTop w:val="0"/>
      <w:marBottom w:val="0"/>
      <w:divBdr>
        <w:top w:val="none" w:sz="0" w:space="0" w:color="auto"/>
        <w:left w:val="none" w:sz="0" w:space="0" w:color="auto"/>
        <w:bottom w:val="none" w:sz="0" w:space="0" w:color="auto"/>
        <w:right w:val="none" w:sz="0" w:space="0" w:color="auto"/>
      </w:divBdr>
    </w:div>
    <w:div w:id="1944219149">
      <w:bodyDiv w:val="1"/>
      <w:marLeft w:val="0"/>
      <w:marRight w:val="0"/>
      <w:marTop w:val="0"/>
      <w:marBottom w:val="0"/>
      <w:divBdr>
        <w:top w:val="none" w:sz="0" w:space="0" w:color="auto"/>
        <w:left w:val="none" w:sz="0" w:space="0" w:color="auto"/>
        <w:bottom w:val="none" w:sz="0" w:space="0" w:color="auto"/>
        <w:right w:val="none" w:sz="0" w:space="0" w:color="auto"/>
      </w:divBdr>
    </w:div>
    <w:div w:id="210025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Mykhalchenko%20K%5BAuthor%5D&amp;cauthor=true&amp;cauthor_uid=28602111" TargetMode="External"/><Relationship Id="rId13" Type="http://schemas.openxmlformats.org/officeDocument/2006/relationships/hyperlink" Target="https://www.ncbi.nlm.nih.gov/pubmed/?term=Reyna%20R%5BAuthor%5D&amp;cauthor=true&amp;cauthor_uid=20110726" TargetMode="External"/><Relationship Id="rId18" Type="http://schemas.openxmlformats.org/officeDocument/2006/relationships/hyperlink" Target="https://www.ncbi.nlm.nih.gov/pubmed/?term=Anderson%20RA%5BAuthor%5D&amp;cauthor=true&amp;cauthor_uid=17296187" TargetMode="External"/><Relationship Id="rId26" Type="http://schemas.openxmlformats.org/officeDocument/2006/relationships/hyperlink" Target="https://www.ncbi.nlm.nih.gov/pubmed/?term=%C4%B0lhan%20M%5BAuthor%5D&amp;cauthor=true&amp;cauthor_uid=25818694" TargetMode="External"/><Relationship Id="rId3" Type="http://schemas.openxmlformats.org/officeDocument/2006/relationships/settings" Target="settings.xml"/><Relationship Id="rId21" Type="http://schemas.openxmlformats.org/officeDocument/2006/relationships/hyperlink" Target="https://www.sciencedirect.com/science/article/pii/S2221169115001033" TargetMode="External"/><Relationship Id="rId7" Type="http://schemas.openxmlformats.org/officeDocument/2006/relationships/image" Target="media/image1.emf"/><Relationship Id="rId12" Type="http://schemas.openxmlformats.org/officeDocument/2006/relationships/hyperlink" Target="https://www.ncbi.nlm.nih.gov/pubmed/?term=Ruiz%20P%5BAuthor%5D&amp;cauthor=true&amp;cauthor_uid=20110726" TargetMode="External"/><Relationship Id="rId17" Type="http://schemas.openxmlformats.org/officeDocument/2006/relationships/hyperlink" Target="https://www.ncbi.nlm.nih.gov/pubmed/?term=Wang%20JG%5BAuthor%5D&amp;cauthor=true&amp;cauthor_uid=17296187" TargetMode="External"/><Relationship Id="rId25" Type="http://schemas.openxmlformats.org/officeDocument/2006/relationships/hyperlink" Target="https://www.ncbi.nlm.nih.gov/pubmed/?term=K%C3%BCpeli%20Akkol%20E%5BAuthor%5D&amp;cauthor=true&amp;cauthor_uid=2581869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cbi.nlm.nih.gov/pubmed/?term=Loft%20A%5BAuthor%5D&amp;cauthor=true&amp;cauthor_uid=24435776" TargetMode="External"/><Relationship Id="rId20" Type="http://schemas.openxmlformats.org/officeDocument/2006/relationships/hyperlink" Target="https://www.ncbi.nlm.nih.gov/pubmed/?term=Chu%20MC%5BAuthor%5D&amp;cauthor=true&amp;cauthor_uid=17296187" TargetMode="External"/><Relationship Id="rId29" Type="http://schemas.openxmlformats.org/officeDocument/2006/relationships/hyperlink" Target="https://www.ncbi.nlm.nih.gov/pubmed/?term=Mehran%20N%5BAuthor%5D&amp;cauthor=true&amp;cauthor_uid=250976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Moran%20S%5BAuthor%5D&amp;cauthor=true&amp;cauthor_uid=20110726" TargetMode="External"/><Relationship Id="rId24" Type="http://schemas.openxmlformats.org/officeDocument/2006/relationships/hyperlink" Target="https://www.sciencedirect.com/science/article/pii/S2221169115001033"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ncbi.nlm.nih.gov/pubmed/?term=Lauritsen%20MP%5BAuthor%5D&amp;cauthor=true&amp;cauthor_uid=24435776" TargetMode="External"/><Relationship Id="rId23" Type="http://schemas.openxmlformats.org/officeDocument/2006/relationships/hyperlink" Target="https://www.sciencedirect.com/science/article/pii/S2221169115001033" TargetMode="External"/><Relationship Id="rId28" Type="http://schemas.openxmlformats.org/officeDocument/2006/relationships/hyperlink" Target="https://www.ncbi.nlm.nih.gov/pubmed/?term=Heidarifar%20R%5BAuthor%5D&amp;cauthor=true&amp;cauthor_uid=25097605" TargetMode="External"/><Relationship Id="rId10" Type="http://schemas.openxmlformats.org/officeDocument/2006/relationships/hyperlink" Target="https://www.ncbi.nlm.nih.gov/pubmed/?term=Tena%20G%5BAuthor%5D&amp;cauthor=true&amp;cauthor_uid=20110726" TargetMode="External"/><Relationship Id="rId19" Type="http://schemas.openxmlformats.org/officeDocument/2006/relationships/hyperlink" Target="https://www.ncbi.nlm.nih.gov/pubmed/?term=Graham%20GM%203rd%5BAuthor%5D&amp;cauthor=true&amp;cauthor_uid=17296187"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ncbi.nlm.nih.gov/pubmed/?term=Moran%20C%5BAuthor%5D&amp;cauthor=true&amp;cauthor_uid=20110726" TargetMode="External"/><Relationship Id="rId14" Type="http://schemas.openxmlformats.org/officeDocument/2006/relationships/hyperlink" Target="https://www.ncbi.nlm.nih.gov/pubmed/?term=Duque%20X%5BAuthor%5D&amp;cauthor=true&amp;cauthor_uid=20110726" TargetMode="External"/><Relationship Id="rId22" Type="http://schemas.openxmlformats.org/officeDocument/2006/relationships/hyperlink" Target="https://www.sciencedirect.com/science/article/pii/S2221169115001033" TargetMode="External"/><Relationship Id="rId27" Type="http://schemas.openxmlformats.org/officeDocument/2006/relationships/hyperlink" Target="https://www.ncbi.nlm.nih.gov/pubmed/?term=Ay%C5%9Fe%20Demirel%20M%5BAuthor%5D&amp;cauthor=true&amp;cauthor_uid=25818694" TargetMode="External"/><Relationship Id="rId30" Type="http://schemas.openxmlformats.org/officeDocument/2006/relationships/hyperlink" Target="https://www.ncbi.nlm.nih.gov/pubmed/?term=Tehran%20HA%5BAuthor%5D&amp;cauthor=true&amp;cauthor_uid=250976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2417</TotalTime>
  <Pages>13</Pages>
  <Words>34240</Words>
  <Characters>195174</Characters>
  <Application>Microsoft Office Word</Application>
  <DocSecurity>0</DocSecurity>
  <Lines>1626</Lines>
  <Paragraphs>457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Prof.Anita Goyal</dc:creator>
  <cp:keywords/>
  <dc:description/>
  <cp:lastModifiedBy>Dell</cp:lastModifiedBy>
  <cp:revision>317</cp:revision>
  <dcterms:created xsi:type="dcterms:W3CDTF">2019-09-04T06:27:00Z</dcterms:created>
  <dcterms:modified xsi:type="dcterms:W3CDTF">2020-05-07T11:20:00Z</dcterms:modified>
</cp:coreProperties>
</file>