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tabs>
          <w:tab w:val="left" w:pos="180"/>
          <w:tab w:val="left" w:pos="270"/>
          <w:tab w:val="left" w:pos="360"/>
          <w:tab w:val="left" w:pos="450"/>
          <w:tab w:val="left" w:pos="720"/>
          <w:tab w:val="left" w:pos="2250"/>
          <w:tab w:val="left" w:pos="7534"/>
          <w:tab w:val="left" w:pos="8190"/>
        </w:tabs>
        <w:spacing w:line="276" w:lineRule="auto"/>
        <w:ind w:left="1440" w:right="1440"/>
        <w:contextualSpacing w:val="on"/>
        <w:jc w:val="center"/>
        <w:rPr>
          <w:rFonts w:ascii="Times New Roman" w:cs="Times New Roman" w:hAnsi="Times New Roman"/>
          <w:b/>
          <w:iCs/>
          <w:sz w:val="32"/>
          <w:szCs w:val="32"/>
        </w:rPr>
      </w:pPr>
      <w:r>
        <w:rPr>
          <w:rFonts w:ascii="Times New Roman" w:cs="Times New Roman" w:hAnsi="Times New Roman"/>
          <w:b/>
          <w:iCs/>
          <w:sz w:val="32"/>
          <w:szCs w:val="32"/>
        </w:rPr>
        <w:t>C</w:t>
      </w:r>
      <w:r>
        <w:rPr>
          <w:rFonts w:ascii="Times New Roman" w:cs="Times New Roman" w:hAnsi="Times New Roman"/>
          <w:b/>
          <w:iCs/>
          <w:sz w:val="32"/>
          <w:szCs w:val="32"/>
        </w:rPr>
        <w:t>linicopathological</w:t>
      </w:r>
      <w:r>
        <w:rPr>
          <w:rFonts w:ascii="Times New Roman" w:cs="Times New Roman" w:hAnsi="Times New Roman"/>
          <w:b/>
          <w:iCs/>
          <w:sz w:val="32"/>
          <w:szCs w:val="32"/>
        </w:rPr>
        <w:t xml:space="preserve"> Study </w:t>
      </w:r>
      <w:r>
        <w:rPr>
          <w:rFonts w:ascii="Times New Roman" w:cs="Times New Roman" w:hAnsi="Times New Roman"/>
          <w:b/>
          <w:iCs/>
          <w:sz w:val="32"/>
          <w:szCs w:val="32"/>
        </w:rPr>
        <w:t>Of</w:t>
      </w:r>
      <w:r>
        <w:rPr>
          <w:rFonts w:ascii="Times New Roman" w:cs="Times New Roman" w:hAnsi="Times New Roman"/>
          <w:b/>
          <w:iCs/>
          <w:sz w:val="32"/>
          <w:szCs w:val="32"/>
        </w:rPr>
        <w:t xml:space="preserve"> </w:t>
      </w:r>
      <w:r>
        <w:rPr>
          <w:rFonts w:ascii="Times New Roman" w:cs="Times New Roman" w:hAnsi="Times New Roman"/>
          <w:b/>
          <w:iCs/>
          <w:sz w:val="32"/>
          <w:szCs w:val="32"/>
        </w:rPr>
        <w:t>Histoid</w:t>
      </w:r>
      <w:r>
        <w:rPr>
          <w:rFonts w:ascii="Times New Roman" w:cs="Times New Roman" w:hAnsi="Times New Roman"/>
          <w:b/>
          <w:iCs/>
          <w:sz w:val="32"/>
          <w:szCs w:val="32"/>
        </w:rPr>
        <w:t xml:space="preserve"> Leprosy In A Tertiary Care Institute </w:t>
      </w:r>
    </w:p>
    <w:p>
      <w:pPr>
        <w:tabs>
          <w:tab w:val="left" w:pos="450"/>
        </w:tabs>
        <w:ind w:left="1440" w:right="14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450"/>
        </w:tabs>
        <w:ind w:left="1440" w:right="14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450"/>
        </w:tabs>
        <w:spacing w:after="0" w:line="360" w:lineRule="auto"/>
        <w:ind w:left="1440" w:right="1440"/>
        <w:contextualSpacing w:val="on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450"/>
        </w:tabs>
        <w:spacing w:after="0" w:line="360" w:lineRule="auto"/>
        <w:ind w:left="1440" w:right="1440"/>
        <w:contextualSpacing w:val="on"/>
        <w:rPr>
          <w:rFonts w:ascii="Times New Roman" w:cs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cs="Times New Roman" w:hAnsi="Times New Roman"/>
          <w:b/>
          <w:sz w:val="24"/>
          <w:szCs w:val="24"/>
        </w:rPr>
        <w:t>A</w:t>
      </w:r>
      <w:r>
        <w:rPr>
          <w:rFonts w:ascii="Times New Roman" w:cs="Times New Roman" w:hAnsi="Times New Roman"/>
          <w:b/>
          <w:sz w:val="24"/>
          <w:szCs w:val="24"/>
        </w:rPr>
        <w:t>BSTRACT</w:t>
      </w:r>
    </w:p>
    <w:p>
      <w:pPr>
        <w:tabs>
          <w:tab w:val="left" w:pos="450"/>
        </w:tabs>
        <w:spacing w:after="0" w:line="360" w:lineRule="auto"/>
        <w:ind w:left="1440" w:right="1440" w:firstLine="4830"/>
        <w:contextualSpacing w:val="on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450"/>
        </w:tabs>
        <w:spacing w:line="360" w:lineRule="auto"/>
        <w:ind w:left="1440" w:right="1440"/>
        <w:contextualSpacing w:val="on"/>
        <w:jc w:val="both"/>
        <w:rPr>
          <w:rFonts w:ascii="Times New Roman" w:cs="Times New Roman" w:hAnsi="Times New Roman"/>
          <w:iCs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Background:</w:t>
      </w:r>
      <w:r>
        <w:rPr>
          <w:rFonts w:ascii="Times New Roman" w:cs="Times New Roman" w:hAnsi="Times New Roman"/>
          <w:iCs/>
          <w:sz w:val="20"/>
          <w:szCs w:val="20"/>
        </w:rPr>
        <w:t xml:space="preserve">  </w:t>
      </w:r>
      <w:r>
        <w:rPr>
          <w:rFonts w:ascii="Times New Roman" w:cs="Times New Roman" w:hAnsi="Times New Roman"/>
          <w:iCs/>
          <w:sz w:val="20"/>
          <w:szCs w:val="20"/>
        </w:rPr>
        <w:t>Histoid</w:t>
      </w:r>
      <w:r>
        <w:rPr>
          <w:rFonts w:ascii="Times New Roman" w:cs="Times New Roman" w:hAnsi="Times New Roman"/>
          <w:iCs/>
          <w:sz w:val="20"/>
          <w:szCs w:val="20"/>
        </w:rPr>
        <w:t xml:space="preserve">  leprosy  was  initially  reported  to  manifest  after  the  failure of  long-term  </w:t>
      </w:r>
      <w:r>
        <w:rPr>
          <w:rFonts w:ascii="Times New Roman" w:cs="Times New Roman" w:hAnsi="Times New Roman"/>
          <w:iCs/>
          <w:sz w:val="20"/>
          <w:szCs w:val="20"/>
        </w:rPr>
        <w:t>dapsone</w:t>
      </w:r>
      <w:r>
        <w:rPr>
          <w:rFonts w:ascii="Times New Roman" w:cs="Times New Roman" w:hAnsi="Times New Roman"/>
          <w:iCs/>
          <w:sz w:val="20"/>
          <w:szCs w:val="20"/>
        </w:rPr>
        <w:t xml:space="preserve">  monotherapy,  irregular  therapy,  or  inadequate  therapy. However,  it  is  now  well  known  that  </w:t>
      </w:r>
      <w:r>
        <w:rPr>
          <w:rFonts w:ascii="Times New Roman" w:cs="Times New Roman" w:hAnsi="Times New Roman"/>
          <w:iCs/>
          <w:sz w:val="20"/>
          <w:szCs w:val="20"/>
        </w:rPr>
        <w:t>histoid</w:t>
      </w:r>
      <w:r>
        <w:rPr>
          <w:rFonts w:ascii="Times New Roman" w:cs="Times New Roman" w:hAnsi="Times New Roman"/>
          <w:iCs/>
          <w:sz w:val="20"/>
          <w:szCs w:val="20"/>
        </w:rPr>
        <w:t xml:space="preserve">  leprosy  develops  </w:t>
      </w:r>
      <w:r>
        <w:rPr>
          <w:rFonts w:ascii="Times New Roman" w:cs="Times New Roman" w:hAnsi="Times New Roman"/>
          <w:i/>
          <w:iCs/>
          <w:sz w:val="20"/>
          <w:szCs w:val="20"/>
        </w:rPr>
        <w:t>de-novo</w:t>
      </w:r>
      <w:r>
        <w:rPr>
          <w:rFonts w:ascii="Times New Roman" w:cs="Times New Roman" w:hAnsi="Times New Roman"/>
          <w:iCs/>
          <w:sz w:val="20"/>
          <w:szCs w:val="20"/>
        </w:rPr>
        <w:t xml:space="preserve">  as  well. </w:t>
      </w:r>
      <w:r>
        <w:rPr>
          <w:rFonts w:ascii="Times New Roman" w:cs="Times New Roman" w:hAnsi="Times New Roman"/>
          <w:sz w:val="20"/>
          <w:szCs w:val="20"/>
        </w:rPr>
        <w:t xml:space="preserve">This  study  was  undertaken  to  know  the  incidence  and  </w:t>
      </w:r>
      <w:r>
        <w:rPr>
          <w:rFonts w:ascii="Times New Roman" w:cs="Times New Roman" w:hAnsi="Times New Roman"/>
          <w:sz w:val="20"/>
          <w:szCs w:val="20"/>
        </w:rPr>
        <w:t>clinicopathological</w:t>
      </w:r>
      <w:r>
        <w:rPr>
          <w:rFonts w:ascii="Times New Roman" w:cs="Times New Roman" w:hAnsi="Times New Roman"/>
          <w:sz w:val="20"/>
          <w:szCs w:val="20"/>
        </w:rPr>
        <w:t xml:space="preserve"> characteristics  of 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leprosy.</w:t>
      </w:r>
    </w:p>
    <w:p>
      <w:pPr>
        <w:tabs>
          <w:tab w:val="left" w:pos="450"/>
        </w:tabs>
        <w:spacing w:line="360" w:lineRule="auto"/>
        <w:ind w:left="1440" w:right="1440" w:hanging="27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Cs/>
          <w:sz w:val="20"/>
          <w:szCs w:val="20"/>
        </w:rPr>
        <w:t xml:space="preserve">   </w:t>
      </w:r>
      <w:r>
        <w:rPr>
          <w:rFonts w:ascii="Times New Roman" w:cs="Times New Roman" w:hAnsi="Times New Roman"/>
          <w:b/>
          <w:iCs/>
          <w:sz w:val="20"/>
          <w:szCs w:val="20"/>
        </w:rPr>
        <w:t xml:space="preserve"> </w:t>
      </w:r>
      <w:r>
        <w:rPr>
          <w:rFonts w:ascii="Times New Roman" w:cs="Times New Roman" w:hAnsi="Times New Roman"/>
          <w:b/>
          <w:iCs/>
          <w:sz w:val="20"/>
          <w:szCs w:val="20"/>
        </w:rPr>
        <w:t xml:space="preserve"> </w:t>
      </w:r>
      <w:r>
        <w:rPr>
          <w:rFonts w:ascii="Times New Roman" w:cs="Times New Roman" w:hAnsi="Times New Roman"/>
          <w:b/>
          <w:sz w:val="20"/>
          <w:szCs w:val="20"/>
        </w:rPr>
        <w:t>Materials &amp; Methods:</w:t>
      </w:r>
      <w:r>
        <w:rPr>
          <w:rFonts w:ascii="Times New Roman" w:cs="Times New Roman" w:hAnsi="Times New Roman"/>
          <w:sz w:val="20"/>
          <w:szCs w:val="20"/>
        </w:rPr>
        <w:t xml:space="preserve"> This  was  both  a  retrospective  and  prospective  study  of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leprosy,  undertaken  in  the  Department  of  Pathology,  Karnataka  Institute of  Medical  Sciences,  Hubballi, Karnataka, India </w:t>
      </w:r>
      <w:r>
        <w:rPr>
          <w:rFonts w:ascii="Times New Roman" w:cs="Times New Roman" w:hAnsi="Times New Roman"/>
          <w:sz w:val="20"/>
          <w:szCs w:val="20"/>
        </w:rPr>
        <w:t>over  a  period  of  42  months  from  January  2013 to  June  2016.</w:t>
      </w:r>
    </w:p>
    <w:p>
      <w:pPr>
        <w:tabs>
          <w:tab w:val="left" w:pos="450"/>
        </w:tabs>
        <w:spacing w:line="360" w:lineRule="auto"/>
        <w:ind w:left="1440" w:right="1440" w:hanging="27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     Results: </w:t>
      </w:r>
      <w:r>
        <w:rPr>
          <w:rFonts w:ascii="Times New Roman" w:cs="Times New Roman" w:hAnsi="Times New Roman"/>
          <w:sz w:val="20"/>
          <w:szCs w:val="20"/>
        </w:rPr>
        <w:t xml:space="preserve">There  were  7(2.5%)  cases  of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  which  was  diagnosed clinically  in  this  study.  </w:t>
      </w:r>
      <w:r>
        <w:rPr>
          <w:rFonts w:ascii="Times New Roman" w:cs="Times New Roman" w:hAnsi="Times New Roman"/>
          <w:sz w:val="20"/>
          <w:szCs w:val="20"/>
        </w:rPr>
        <w:t>Male  to</w:t>
      </w:r>
      <w:r>
        <w:rPr>
          <w:rFonts w:ascii="Times New Roman" w:cs="Times New Roman" w:hAnsi="Times New Roman"/>
          <w:sz w:val="20"/>
          <w:szCs w:val="20"/>
        </w:rPr>
        <w:t xml:space="preserve">  female  ratio  was  6:1.  The  commonest  skin lesions  encountered  were  nodules  in  5  cases  out  of  7(71.42%)  followed  by papules  in  rest  of  2  cases (28.58%).  It  was  seen  that  all  7  patients  were  cases of  </w:t>
      </w:r>
      <w:r>
        <w:rPr>
          <w:rFonts w:ascii="Times New Roman" w:cs="Times New Roman" w:hAnsi="Times New Roman"/>
          <w:i/>
          <w:sz w:val="20"/>
          <w:szCs w:val="20"/>
        </w:rPr>
        <w:t>De- Novo</w:t>
      </w:r>
      <w:r>
        <w:rPr>
          <w:rFonts w:ascii="Times New Roman" w:cs="Times New Roman" w:hAnsi="Times New Roman"/>
          <w:sz w:val="20"/>
          <w:szCs w:val="20"/>
        </w:rPr>
        <w:t xml:space="preserve">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leprosy.  Out  of  seven  clinically  diagnosed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 cases,  4  were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  and  remaining  3  were  </w:t>
      </w:r>
      <w:r>
        <w:rPr>
          <w:rFonts w:ascii="Times New Roman" w:cs="Times New Roman" w:hAnsi="Times New Roman"/>
          <w:sz w:val="20"/>
          <w:szCs w:val="20"/>
        </w:rPr>
        <w:t>lepromatous</w:t>
      </w:r>
      <w:r>
        <w:rPr>
          <w:rFonts w:ascii="Times New Roman" w:cs="Times New Roman" w:hAnsi="Times New Roman"/>
          <w:sz w:val="20"/>
          <w:szCs w:val="20"/>
        </w:rPr>
        <w:t xml:space="preserve">  leprosy  according  to  microscopy.</w:t>
      </w:r>
    </w:p>
    <w:p>
      <w:pPr>
        <w:tabs>
          <w:tab w:val="left" w:pos="450"/>
        </w:tabs>
        <w:spacing w:line="360" w:lineRule="auto"/>
        <w:ind w:left="1440" w:right="1440" w:hanging="27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   </w:t>
      </w:r>
      <w:r>
        <w:rPr>
          <w:rFonts w:ascii="Times New Roman" w:cs="Times New Roman" w:hAnsi="Times New Roman"/>
          <w:b/>
          <w:sz w:val="20"/>
          <w:szCs w:val="20"/>
        </w:rPr>
        <w:t xml:space="preserve"> </w:t>
      </w:r>
      <w:r>
        <w:rPr>
          <w:rFonts w:ascii="Times New Roman" w:cs="Times New Roman" w:hAnsi="Times New Roman"/>
          <w:b/>
          <w:sz w:val="20"/>
          <w:szCs w:val="20"/>
        </w:rPr>
        <w:t xml:space="preserve"> Conclusion:</w:t>
      </w:r>
      <w:r>
        <w:rPr>
          <w:rFonts w:ascii="Times New Roman" w:cs="Times New Roman" w:hAnsi="Times New Roman"/>
          <w:sz w:val="20"/>
          <w:szCs w:val="20"/>
        </w:rPr>
        <w:t xml:space="preserve">  Being  a  rare  entity  patient  presenting  with  sudden  eruption  of multiple  shiny  nodules  and  papules  over  normal  looking  skin  with  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no  history of  taking  anti-leprosy  treatment,  diagnosis  of  “</w:t>
      </w:r>
      <w:r>
        <w:rPr>
          <w:rFonts w:ascii="Times New Roman" w:cs="Times New Roman" w:hAnsi="Times New Roman"/>
          <w:i/>
          <w:sz w:val="20"/>
          <w:szCs w:val="20"/>
        </w:rPr>
        <w:t>de-novo</w:t>
      </w:r>
      <w:r>
        <w:rPr>
          <w:rFonts w:ascii="Times New Roman" w:cs="Times New Roman" w:hAnsi="Times New Roman"/>
          <w:sz w:val="20"/>
          <w:szCs w:val="20"/>
        </w:rPr>
        <w:t xml:space="preserve">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 xml:space="preserve">  leprosy”  should be  kept  in  mind.</w:t>
      </w:r>
    </w:p>
    <w:p>
      <w:pPr>
        <w:tabs>
          <w:tab w:val="left" w:pos="450"/>
        </w:tabs>
        <w:spacing w:line="360" w:lineRule="auto"/>
        <w:ind w:left="1440" w:right="1440" w:hanging="27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   </w:t>
      </w:r>
      <w:r>
        <w:rPr>
          <w:rFonts w:ascii="Times New Roman" w:cs="Times New Roman" w:hAnsi="Times New Roman"/>
          <w:b/>
          <w:sz w:val="20"/>
          <w:szCs w:val="20"/>
        </w:rPr>
        <w:t xml:space="preserve">  </w:t>
      </w:r>
      <w:r>
        <w:rPr>
          <w:rFonts w:ascii="Times New Roman" w:cs="Times New Roman" w:hAnsi="Times New Roman"/>
          <w:b/>
          <w:sz w:val="20"/>
          <w:szCs w:val="20"/>
        </w:rPr>
        <w:t xml:space="preserve"> Keywords:</w:t>
      </w:r>
      <w:r>
        <w:rPr>
          <w:rFonts w:ascii="Times New Roman" w:cs="Times New Roman" w:hAnsi="Times New Roman"/>
          <w:sz w:val="20"/>
          <w:szCs w:val="20"/>
        </w:rPr>
        <w:t xml:space="preserve">  </w:t>
      </w:r>
      <w:r>
        <w:rPr>
          <w:rFonts w:ascii="Times New Roman" w:cs="Times New Roman" w:hAnsi="Times New Roman"/>
          <w:sz w:val="20"/>
          <w:szCs w:val="20"/>
        </w:rPr>
        <w:t>Grenz</w:t>
      </w:r>
      <w:r>
        <w:rPr>
          <w:rFonts w:ascii="Times New Roman" w:cs="Times New Roman" w:hAnsi="Times New Roman"/>
          <w:sz w:val="20"/>
          <w:szCs w:val="20"/>
        </w:rPr>
        <w:t xml:space="preserve"> zone</w:t>
      </w:r>
      <w:r>
        <w:rPr>
          <w:rFonts w:ascii="Times New Roman" w:cs="Times New Roman" w:hAnsi="Times New Roman"/>
          <w:sz w:val="20"/>
          <w:szCs w:val="20"/>
        </w:rPr>
        <w:t xml:space="preserve">,  </w:t>
      </w:r>
      <w:r>
        <w:rPr>
          <w:rFonts w:ascii="Times New Roman" w:cs="Times New Roman" w:hAnsi="Times New Roman"/>
          <w:sz w:val="20"/>
          <w:szCs w:val="20"/>
        </w:rPr>
        <w:t>Histoid</w:t>
      </w:r>
      <w:r>
        <w:rPr>
          <w:rFonts w:ascii="Times New Roman" w:cs="Times New Roman" w:hAnsi="Times New Roman"/>
          <w:sz w:val="20"/>
          <w:szCs w:val="20"/>
        </w:rPr>
        <w:t>,  Histopathology,  Leprosy.</w:t>
      </w:r>
    </w:p>
    <w:p>
      <w:pPr>
        <w:spacing w:line="276" w:lineRule="auto"/>
        <w:ind w:left="1440" w:right="1440"/>
        <w:jc w:val="both"/>
        <w:rPr>
          <w:rFonts w:ascii="Times New Roman" w:cs="Times New Roman" w:eastAsiaTheme="minorEastAsia" w:hAnsi="Times New Roman"/>
          <w:b/>
          <w:color w:val="000000" w:themeColor="text1"/>
          <w:spacing w:val="-1"/>
          <w:sz w:val="20"/>
          <w:szCs w:val="20"/>
        </w:rPr>
      </w:pPr>
    </w:p>
    <w:p>
      <w:pPr>
        <w:tabs>
          <w:tab w:val="left" w:pos="450"/>
        </w:tabs>
        <w:ind w:left="1440" w:right="1440"/>
        <w:jc w:val="both"/>
        <w:rPr>
          <w:rFonts w:ascii="Times New Roman" w:cs="Times New Roman" w:eastAsiaTheme="minorEastAsia" w:hAnsi="Times New Roman"/>
          <w:b/>
          <w:color w:val="000000" w:themeColor="text1"/>
          <w:spacing w:val="-1"/>
          <w:sz w:val="20"/>
          <w:szCs w:val="20"/>
        </w:rPr>
      </w:pPr>
    </w:p>
    <w:p>
      <w:pPr>
        <w:tabs>
          <w:tab w:val="left" w:pos="450"/>
        </w:tabs>
        <w:ind w:right="-360"/>
        <w:jc w:val="both"/>
        <w:rPr>
          <w:rFonts w:ascii="Times New Roman" w:cs="Times New Roman" w:hAnsi="Times New Roman"/>
          <w:b/>
          <w:sz w:val="20"/>
          <w:szCs w:val="20"/>
        </w:rPr>
      </w:pPr>
    </w:p>
    <w:p>
      <w:pPr>
        <w:tabs>
          <w:tab w:val="left" w:pos="450"/>
        </w:tabs>
        <w:ind w:left="1152" w:right="-360"/>
        <w:contextualSpacing w:val="on"/>
        <w:jc w:val="both"/>
        <w:rPr>
          <w:rFonts w:ascii="Times New Roman" w:cs="Times New Roman" w:hAnsi="Times New Roman"/>
          <w:b/>
        </w:rPr>
      </w:pPr>
    </w:p>
    <w:p>
      <w:pPr>
        <w:tabs>
          <w:tab w:val="left" w:pos="450"/>
        </w:tabs>
        <w:ind w:left="1440" w:right="14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450"/>
        </w:tabs>
        <w:ind w:left="1440" w:right="1440"/>
        <w:jc w:val="both"/>
        <w:rPr>
          <w:rFonts w:ascii="Times New Roman" w:cs="Times New Roman" w:hAnsi="Times New Roman"/>
          <w:b/>
          <w:sz w:val="24"/>
          <w:szCs w:val="24"/>
        </w:rPr>
      </w:pPr>
    </w:p>
    <w:p/>
    <w:sectPr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/>
  <w:endnotePr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82"/>
    <w:rsid w:val="007C5FFF"/>
    <w:rsid w:val="00A5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85682-E59C-4458-B470-876AF42031A5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IN" w:bidi="ar-SA" w:eastAsia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Company>HOME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SINDHU</dc:creator>
  <cp:lastModifiedBy>Sindhushree N</cp:lastModifiedBy>
</cp:coreProperties>
</file>