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095256" w:themeColor="accent1"/>
  <w:body>
    <w:p w14:paraId="0173E74A" w14:textId="4BF7FFD8" w:rsidR="00DD7348" w:rsidRDefault="00013DE0">
      <w:bookmarkStart w:id="0" w:name="_GoBack"/>
      <w:bookmarkEnd w:id="0"/>
      <w:r>
        <w:rPr>
          <w:noProof/>
        </w:rPr>
        <mc:AlternateContent>
          <mc:Choice Requires="wps">
            <w:drawing>
              <wp:anchor distT="0" distB="0" distL="114300" distR="114300" simplePos="0" relativeHeight="251673600" behindDoc="0" locked="0" layoutInCell="1" allowOverlap="1" wp14:anchorId="1F2ABEF5" wp14:editId="4036946F">
                <wp:simplePos x="0" y="0"/>
                <wp:positionH relativeFrom="column">
                  <wp:posOffset>2853536</wp:posOffset>
                </wp:positionH>
                <wp:positionV relativeFrom="paragraph">
                  <wp:posOffset>5532886</wp:posOffset>
                </wp:positionV>
                <wp:extent cx="3394075" cy="4057996"/>
                <wp:effectExtent l="12700" t="12700" r="9525" b="19050"/>
                <wp:wrapNone/>
                <wp:docPr id="9" name="Rectangle 9"/>
                <wp:cNvGraphicFramePr/>
                <a:graphic xmlns:a="http://schemas.openxmlformats.org/drawingml/2006/main">
                  <a:graphicData uri="http://schemas.microsoft.com/office/word/2010/wordprocessingShape">
                    <wps:wsp>
                      <wps:cNvSpPr/>
                      <wps:spPr>
                        <a:xfrm>
                          <a:off x="0" y="0"/>
                          <a:ext cx="3394075" cy="4057996"/>
                        </a:xfrm>
                        <a:prstGeom prst="rect">
                          <a:avLst/>
                        </a:prstGeom>
                        <a:solidFill>
                          <a:schemeClr val="accent3"/>
                        </a:solidFill>
                      </wps:spPr>
                      <wps:style>
                        <a:lnRef idx="2">
                          <a:schemeClr val="accent1">
                            <a:shade val="50000"/>
                          </a:schemeClr>
                        </a:lnRef>
                        <a:fillRef idx="1">
                          <a:schemeClr val="accent1"/>
                        </a:fillRef>
                        <a:effectRef idx="0">
                          <a:schemeClr val="accent1"/>
                        </a:effectRef>
                        <a:fontRef idx="minor">
                          <a:schemeClr val="lt1"/>
                        </a:fontRef>
                      </wps:style>
                      <wps:txbx>
                        <w:txbxContent>
                          <w:p w14:paraId="79D2EDB9" w14:textId="77777777" w:rsidR="00013DE0" w:rsidRPr="009E4F4B" w:rsidRDefault="00013DE0" w:rsidP="00013DE0">
                            <w:pPr>
                              <w:rPr>
                                <w:rFonts w:ascii="Century Gothic" w:hAnsi="Century Gothic"/>
                                <w:b/>
                                <w:color w:val="000000" w:themeColor="text1"/>
                              </w:rPr>
                            </w:pPr>
                            <w:r w:rsidRPr="009E4F4B">
                              <w:rPr>
                                <w:rFonts w:ascii="Century Gothic" w:hAnsi="Century Gothic"/>
                                <w:b/>
                                <w:color w:val="000000" w:themeColor="text1"/>
                              </w:rPr>
                              <w:t>References:</w:t>
                            </w:r>
                          </w:p>
                          <w:p w14:paraId="2BF6BC62" w14:textId="77777777" w:rsidR="00013DE0" w:rsidRPr="009E4F4B" w:rsidRDefault="00013DE0" w:rsidP="00013DE0">
                            <w:pPr>
                              <w:rPr>
                                <w:rFonts w:ascii="Century Gothic" w:hAnsi="Century Gothic"/>
                                <w:color w:val="000000" w:themeColor="text1"/>
                              </w:rPr>
                            </w:pPr>
                            <w:r w:rsidRPr="009E4F4B">
                              <w:rPr>
                                <w:rFonts w:ascii="Century Gothic" w:hAnsi="Century Gothic"/>
                                <w:color w:val="000000" w:themeColor="text1"/>
                              </w:rPr>
                              <w:t xml:space="preserve">The Royal College of Pathologists (2020) Available </w:t>
                            </w:r>
                            <w:proofErr w:type="gramStart"/>
                            <w:r w:rsidRPr="009E4F4B">
                              <w:rPr>
                                <w:rFonts w:ascii="Century Gothic" w:hAnsi="Century Gothic"/>
                                <w:color w:val="000000" w:themeColor="text1"/>
                              </w:rPr>
                              <w:t>at:https://www.rcpath.org/discover-pathology/what-is-pathology/information-about-post-mortems</w:t>
                            </w:r>
                            <w:proofErr w:type="gramEnd"/>
                            <w:r w:rsidRPr="009E4F4B">
                              <w:rPr>
                                <w:rFonts w:ascii="Century Gothic" w:hAnsi="Century Gothic"/>
                                <w:color w:val="000000" w:themeColor="text1"/>
                              </w:rPr>
                              <w:t xml:space="preserve"> -or-friends-and-relatives (Accessed: 19</w:t>
                            </w:r>
                            <w:r w:rsidRPr="009E4F4B">
                              <w:rPr>
                                <w:rFonts w:ascii="Century Gothic" w:hAnsi="Century Gothic"/>
                                <w:color w:val="000000" w:themeColor="text1"/>
                                <w:vertAlign w:val="superscript"/>
                              </w:rPr>
                              <w:t>th</w:t>
                            </w:r>
                            <w:r w:rsidRPr="009E4F4B">
                              <w:rPr>
                                <w:rFonts w:ascii="Century Gothic" w:hAnsi="Century Gothic"/>
                                <w:color w:val="000000" w:themeColor="text1"/>
                              </w:rPr>
                              <w:t xml:space="preserve"> May 2022)</w:t>
                            </w:r>
                          </w:p>
                          <w:p w14:paraId="33A5BDEA" w14:textId="77777777" w:rsidR="00013DE0" w:rsidRPr="009E4F4B" w:rsidRDefault="00013DE0" w:rsidP="00013DE0">
                            <w:pPr>
                              <w:rPr>
                                <w:rFonts w:ascii="Century Gothic" w:hAnsi="Century Gothic"/>
                                <w:color w:val="000000" w:themeColor="text1"/>
                              </w:rPr>
                            </w:pPr>
                          </w:p>
                          <w:p w14:paraId="78738A54" w14:textId="77777777" w:rsidR="00013DE0" w:rsidRPr="009E4F4B" w:rsidRDefault="00013DE0" w:rsidP="00013DE0">
                            <w:pPr>
                              <w:rPr>
                                <w:rFonts w:ascii="Century Gothic" w:hAnsi="Century Gothic"/>
                                <w:color w:val="000000" w:themeColor="text1"/>
                              </w:rPr>
                            </w:pPr>
                            <w:r w:rsidRPr="009E4F4B">
                              <w:rPr>
                                <w:rFonts w:ascii="Century Gothic" w:hAnsi="Century Gothic"/>
                                <w:color w:val="000000" w:themeColor="text1"/>
                              </w:rPr>
                              <w:t xml:space="preserve">Godin, A., Kremer, C., </w:t>
                            </w:r>
                            <w:proofErr w:type="spellStart"/>
                            <w:r w:rsidRPr="009E4F4B">
                              <w:rPr>
                                <w:rFonts w:ascii="Century Gothic" w:hAnsi="Century Gothic"/>
                                <w:color w:val="000000" w:themeColor="text1"/>
                              </w:rPr>
                              <w:t>Savageau</w:t>
                            </w:r>
                            <w:proofErr w:type="spellEnd"/>
                            <w:r w:rsidRPr="009E4F4B">
                              <w:rPr>
                                <w:rFonts w:ascii="Century Gothic" w:hAnsi="Century Gothic"/>
                                <w:color w:val="000000" w:themeColor="text1"/>
                              </w:rPr>
                              <w:t xml:space="preserve">, A. (2012) ‘Fracture of the cricoid as a potential pointer to homicide, A 6 retrospective study of neck structures in hanging victims’, </w:t>
                            </w:r>
                            <w:r w:rsidRPr="009E4F4B">
                              <w:rPr>
                                <w:rFonts w:ascii="Century Gothic" w:hAnsi="Century Gothic"/>
                                <w:i/>
                                <w:color w:val="000000" w:themeColor="text1"/>
                              </w:rPr>
                              <w:t xml:space="preserve">The Italian </w:t>
                            </w:r>
                            <w:proofErr w:type="spellStart"/>
                            <w:r w:rsidRPr="009E4F4B">
                              <w:rPr>
                                <w:rFonts w:ascii="Century Gothic" w:hAnsi="Century Gothic"/>
                                <w:i/>
                                <w:color w:val="000000" w:themeColor="text1"/>
                              </w:rPr>
                              <w:t>Jounal</w:t>
                            </w:r>
                            <w:proofErr w:type="spellEnd"/>
                            <w:r w:rsidRPr="009E4F4B">
                              <w:rPr>
                                <w:rFonts w:ascii="Century Gothic" w:hAnsi="Century Gothic"/>
                                <w:i/>
                                <w:color w:val="000000" w:themeColor="text1"/>
                              </w:rPr>
                              <w:t xml:space="preserve"> od Forensic Medicine and Pathology. </w:t>
                            </w:r>
                            <w:r w:rsidRPr="009E4F4B">
                              <w:rPr>
                                <w:rFonts w:ascii="Century Gothic" w:hAnsi="Century Gothic"/>
                                <w:color w:val="000000" w:themeColor="text1"/>
                              </w:rPr>
                              <w:t xml:space="preserve">33(1), pp.4-7. </w:t>
                            </w:r>
                          </w:p>
                          <w:p w14:paraId="038EADEF" w14:textId="77777777" w:rsidR="00013DE0" w:rsidRPr="009E4F4B" w:rsidRDefault="00013DE0" w:rsidP="00013DE0">
                            <w:pPr>
                              <w:rPr>
                                <w:rFonts w:ascii="Century Gothic" w:hAnsi="Century Gothic"/>
                                <w:color w:val="000000" w:themeColor="text1"/>
                              </w:rPr>
                            </w:pPr>
                          </w:p>
                          <w:p w14:paraId="13B34F37" w14:textId="77777777" w:rsidR="00013DE0" w:rsidRPr="009E4F4B" w:rsidRDefault="00013DE0" w:rsidP="00013DE0">
                            <w:pPr>
                              <w:rPr>
                                <w:rFonts w:ascii="Century Gothic" w:hAnsi="Century Gothic"/>
                                <w:color w:val="000000" w:themeColor="text1"/>
                              </w:rPr>
                            </w:pPr>
                            <w:r w:rsidRPr="009E4F4B">
                              <w:rPr>
                                <w:rFonts w:ascii="Century Gothic" w:hAnsi="Century Gothic"/>
                                <w:color w:val="000000" w:themeColor="text1"/>
                              </w:rPr>
                              <w:t xml:space="preserve">Schulze, K., Ebert, L.C., Ruder, T.D., </w:t>
                            </w:r>
                            <w:proofErr w:type="spellStart"/>
                            <w:r w:rsidRPr="009E4F4B">
                              <w:rPr>
                                <w:rFonts w:ascii="Century Gothic" w:hAnsi="Century Gothic"/>
                                <w:color w:val="000000" w:themeColor="text1"/>
                              </w:rPr>
                              <w:t>Fliss</w:t>
                            </w:r>
                            <w:proofErr w:type="spellEnd"/>
                            <w:r w:rsidRPr="009E4F4B">
                              <w:rPr>
                                <w:rFonts w:ascii="Century Gothic" w:hAnsi="Century Gothic"/>
                                <w:color w:val="000000" w:themeColor="text1"/>
                              </w:rPr>
                              <w:t xml:space="preserve"> B., </w:t>
                            </w:r>
                            <w:proofErr w:type="spellStart"/>
                            <w:r w:rsidRPr="009E4F4B">
                              <w:rPr>
                                <w:rFonts w:ascii="Century Gothic" w:hAnsi="Century Gothic"/>
                                <w:color w:val="000000" w:themeColor="text1"/>
                              </w:rPr>
                              <w:t>Poschmann</w:t>
                            </w:r>
                            <w:proofErr w:type="spellEnd"/>
                            <w:r w:rsidRPr="009E4F4B">
                              <w:rPr>
                                <w:rFonts w:ascii="Century Gothic" w:hAnsi="Century Gothic"/>
                                <w:color w:val="000000" w:themeColor="text1"/>
                              </w:rPr>
                              <w:t xml:space="preserve">, S.A, </w:t>
                            </w:r>
                            <w:proofErr w:type="spellStart"/>
                            <w:r w:rsidRPr="009E4F4B">
                              <w:rPr>
                                <w:rFonts w:ascii="Century Gothic" w:hAnsi="Century Gothic"/>
                                <w:color w:val="000000" w:themeColor="text1"/>
                              </w:rPr>
                              <w:t>Gascho</w:t>
                            </w:r>
                            <w:proofErr w:type="spellEnd"/>
                            <w:r w:rsidRPr="009E4F4B">
                              <w:rPr>
                                <w:rFonts w:ascii="Century Gothic" w:hAnsi="Century Gothic"/>
                                <w:color w:val="000000" w:themeColor="text1"/>
                              </w:rPr>
                              <w:t xml:space="preserve">, D., Thali, M.J. and </w:t>
                            </w:r>
                            <w:proofErr w:type="spellStart"/>
                            <w:r w:rsidRPr="009E4F4B">
                              <w:rPr>
                                <w:rFonts w:ascii="Century Gothic" w:hAnsi="Century Gothic"/>
                                <w:color w:val="000000" w:themeColor="text1"/>
                              </w:rPr>
                              <w:t>Flach</w:t>
                            </w:r>
                            <w:proofErr w:type="spellEnd"/>
                            <w:r w:rsidRPr="009E4F4B">
                              <w:rPr>
                                <w:rFonts w:ascii="Century Gothic" w:hAnsi="Century Gothic"/>
                                <w:color w:val="000000" w:themeColor="text1"/>
                              </w:rPr>
                              <w:t>, P.M. (2018) ‘</w:t>
                            </w:r>
                            <w:proofErr w:type="spellStart"/>
                            <w:r w:rsidRPr="009E4F4B">
                              <w:rPr>
                                <w:rFonts w:ascii="Century Gothic" w:hAnsi="Century Gothic"/>
                                <w:color w:val="000000" w:themeColor="text1"/>
                              </w:rPr>
                              <w:t>Tha</w:t>
                            </w:r>
                            <w:proofErr w:type="spellEnd"/>
                            <w:r w:rsidRPr="009E4F4B">
                              <w:rPr>
                                <w:rFonts w:ascii="Century Gothic" w:hAnsi="Century Gothic"/>
                                <w:color w:val="000000" w:themeColor="text1"/>
                              </w:rPr>
                              <w:t xml:space="preserve"> gas bubble sign – a reliable indicator of laryngeal fractures in </w:t>
                            </w:r>
                            <w:proofErr w:type="spellStart"/>
                            <w:r w:rsidRPr="009E4F4B">
                              <w:rPr>
                                <w:rFonts w:ascii="Century Gothic" w:hAnsi="Century Gothic"/>
                                <w:color w:val="000000" w:themeColor="text1"/>
                              </w:rPr>
                              <w:t>haning</w:t>
                            </w:r>
                            <w:proofErr w:type="spellEnd"/>
                            <w:r w:rsidRPr="009E4F4B">
                              <w:rPr>
                                <w:rFonts w:ascii="Century Gothic" w:hAnsi="Century Gothic"/>
                                <w:color w:val="000000" w:themeColor="text1"/>
                              </w:rPr>
                              <w:t xml:space="preserve"> on post mortem CT’. </w:t>
                            </w:r>
                            <w:r w:rsidRPr="009E4F4B">
                              <w:rPr>
                                <w:rFonts w:ascii="Century Gothic" w:hAnsi="Century Gothic"/>
                                <w:i/>
                                <w:color w:val="000000" w:themeColor="text1"/>
                              </w:rPr>
                              <w:t xml:space="preserve">British Institute of Radiology. </w:t>
                            </w:r>
                            <w:r w:rsidRPr="009E4F4B">
                              <w:rPr>
                                <w:rFonts w:ascii="Century Gothic" w:hAnsi="Century Gothic"/>
                                <w:color w:val="000000" w:themeColor="text1"/>
                              </w:rPr>
                              <w:t xml:space="preserve">Pp. 2-10. </w:t>
                            </w:r>
                          </w:p>
                          <w:p w14:paraId="60F2BCF5" w14:textId="77777777" w:rsidR="00013DE0" w:rsidRDefault="00013DE0" w:rsidP="00013DE0">
                            <w:pPr>
                              <w:pStyle w:val="ListParagraph"/>
                            </w:pPr>
                          </w:p>
                          <w:p w14:paraId="5B47E3E3" w14:textId="77777777" w:rsidR="00013DE0" w:rsidRPr="006B046C" w:rsidRDefault="00013DE0" w:rsidP="00013DE0">
                            <w:pPr>
                              <w:pStyle w:val="ListParagraph"/>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F2ABEF5" id="Rectangle 9" o:spid="_x0000_s1026" style="position:absolute;margin-left:224.7pt;margin-top:435.65pt;width:267.25pt;height:319.5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" fillcolor="#efefd0 [3206]" strokecolor="#04282a [1604]" strokeweight="1.5pt">
                <v:stroke endcap="round"/>
                <v:textbox>
                  <w:txbxContent>
                    <w:p w14:paraId="79D2EDB9" w14:textId="77777777" w:rsidR="00013DE0" w:rsidRPr="009E4F4B" w:rsidRDefault="00013DE0" w:rsidP="00013DE0">
                      <w:pPr>
                        <w:rPr>
                          <w:rFonts w:ascii="Century Gothic" w:hAnsi="Century Gothic"/>
                          <w:b/>
                          <w:color w:val="000000" w:themeColor="text1"/>
                        </w:rPr>
                      </w:pPr>
                      <w:r w:rsidRPr="009E4F4B">
                        <w:rPr>
                          <w:rFonts w:ascii="Century Gothic" w:hAnsi="Century Gothic"/>
                          <w:b/>
                          <w:color w:val="000000" w:themeColor="text1"/>
                        </w:rPr>
                        <w:t>References:</w:t>
                      </w:r>
                    </w:p>
                    <w:p w14:paraId="2BF6BC62" w14:textId="77777777" w:rsidR="00013DE0" w:rsidRPr="009E4F4B" w:rsidRDefault="00013DE0" w:rsidP="00013DE0">
                      <w:pPr>
                        <w:rPr>
                          <w:rFonts w:ascii="Century Gothic" w:hAnsi="Century Gothic"/>
                          <w:color w:val="000000" w:themeColor="text1"/>
                        </w:rPr>
                      </w:pPr>
                      <w:r w:rsidRPr="009E4F4B">
                        <w:rPr>
                          <w:rFonts w:ascii="Century Gothic" w:hAnsi="Century Gothic"/>
                          <w:color w:val="000000" w:themeColor="text1"/>
                        </w:rPr>
                        <w:t xml:space="preserve">The Royal College of Pathologists (2020) Available </w:t>
                      </w:r>
                      <w:proofErr w:type="gramStart"/>
                      <w:r w:rsidRPr="009E4F4B">
                        <w:rPr>
                          <w:rFonts w:ascii="Century Gothic" w:hAnsi="Century Gothic"/>
                          <w:color w:val="000000" w:themeColor="text1"/>
                        </w:rPr>
                        <w:t>at:https://www.rcpath.org/discover-pathology/what-is-pathology/information-about-post-mortems</w:t>
                      </w:r>
                      <w:proofErr w:type="gramEnd"/>
                      <w:r w:rsidRPr="009E4F4B">
                        <w:rPr>
                          <w:rFonts w:ascii="Century Gothic" w:hAnsi="Century Gothic"/>
                          <w:color w:val="000000" w:themeColor="text1"/>
                        </w:rPr>
                        <w:t xml:space="preserve"> -or-friends-and-relatives (Accessed: 19</w:t>
                      </w:r>
                      <w:r w:rsidRPr="009E4F4B">
                        <w:rPr>
                          <w:rFonts w:ascii="Century Gothic" w:hAnsi="Century Gothic"/>
                          <w:color w:val="000000" w:themeColor="text1"/>
                          <w:vertAlign w:val="superscript"/>
                        </w:rPr>
                        <w:t>th</w:t>
                      </w:r>
                      <w:r w:rsidRPr="009E4F4B">
                        <w:rPr>
                          <w:rFonts w:ascii="Century Gothic" w:hAnsi="Century Gothic"/>
                          <w:color w:val="000000" w:themeColor="text1"/>
                        </w:rPr>
                        <w:t xml:space="preserve"> May 2022)</w:t>
                      </w:r>
                    </w:p>
                    <w:p w14:paraId="33A5BDEA" w14:textId="77777777" w:rsidR="00013DE0" w:rsidRPr="009E4F4B" w:rsidRDefault="00013DE0" w:rsidP="00013DE0">
                      <w:pPr>
                        <w:rPr>
                          <w:rFonts w:ascii="Century Gothic" w:hAnsi="Century Gothic"/>
                          <w:color w:val="000000" w:themeColor="text1"/>
                        </w:rPr>
                      </w:pPr>
                    </w:p>
                    <w:p w14:paraId="78738A54" w14:textId="77777777" w:rsidR="00013DE0" w:rsidRPr="009E4F4B" w:rsidRDefault="00013DE0" w:rsidP="00013DE0">
                      <w:pPr>
                        <w:rPr>
                          <w:rFonts w:ascii="Century Gothic" w:hAnsi="Century Gothic"/>
                          <w:color w:val="000000" w:themeColor="text1"/>
                        </w:rPr>
                      </w:pPr>
                      <w:r w:rsidRPr="009E4F4B">
                        <w:rPr>
                          <w:rFonts w:ascii="Century Gothic" w:hAnsi="Century Gothic"/>
                          <w:color w:val="000000" w:themeColor="text1"/>
                        </w:rPr>
                        <w:t xml:space="preserve">Godin, A., Kremer, C., </w:t>
                      </w:r>
                      <w:proofErr w:type="spellStart"/>
                      <w:r w:rsidRPr="009E4F4B">
                        <w:rPr>
                          <w:rFonts w:ascii="Century Gothic" w:hAnsi="Century Gothic"/>
                          <w:color w:val="000000" w:themeColor="text1"/>
                        </w:rPr>
                        <w:t>Savageau</w:t>
                      </w:r>
                      <w:proofErr w:type="spellEnd"/>
                      <w:r w:rsidRPr="009E4F4B">
                        <w:rPr>
                          <w:rFonts w:ascii="Century Gothic" w:hAnsi="Century Gothic"/>
                          <w:color w:val="000000" w:themeColor="text1"/>
                        </w:rPr>
                        <w:t xml:space="preserve">, A. (2012) ‘Fracture of the cricoid as a potential pointer to homicide, A 6 retrospective study of neck structures in hanging victims’, </w:t>
                      </w:r>
                      <w:r w:rsidRPr="009E4F4B">
                        <w:rPr>
                          <w:rFonts w:ascii="Century Gothic" w:hAnsi="Century Gothic"/>
                          <w:i/>
                          <w:color w:val="000000" w:themeColor="text1"/>
                        </w:rPr>
                        <w:t xml:space="preserve">The Italian </w:t>
                      </w:r>
                      <w:proofErr w:type="spellStart"/>
                      <w:r w:rsidRPr="009E4F4B">
                        <w:rPr>
                          <w:rFonts w:ascii="Century Gothic" w:hAnsi="Century Gothic"/>
                          <w:i/>
                          <w:color w:val="000000" w:themeColor="text1"/>
                        </w:rPr>
                        <w:t>Jounal</w:t>
                      </w:r>
                      <w:proofErr w:type="spellEnd"/>
                      <w:r w:rsidRPr="009E4F4B">
                        <w:rPr>
                          <w:rFonts w:ascii="Century Gothic" w:hAnsi="Century Gothic"/>
                          <w:i/>
                          <w:color w:val="000000" w:themeColor="text1"/>
                        </w:rPr>
                        <w:t xml:space="preserve"> od Forensic Medicine and Pathology. </w:t>
                      </w:r>
                      <w:r w:rsidRPr="009E4F4B">
                        <w:rPr>
                          <w:rFonts w:ascii="Century Gothic" w:hAnsi="Century Gothic"/>
                          <w:color w:val="000000" w:themeColor="text1"/>
                        </w:rPr>
                        <w:t xml:space="preserve">33(1), pp.4-7. </w:t>
                      </w:r>
                    </w:p>
                    <w:p w14:paraId="038EADEF" w14:textId="77777777" w:rsidR="00013DE0" w:rsidRPr="009E4F4B" w:rsidRDefault="00013DE0" w:rsidP="00013DE0">
                      <w:pPr>
                        <w:rPr>
                          <w:rFonts w:ascii="Century Gothic" w:hAnsi="Century Gothic"/>
                          <w:color w:val="000000" w:themeColor="text1"/>
                        </w:rPr>
                      </w:pPr>
                    </w:p>
                    <w:p w14:paraId="13B34F37" w14:textId="77777777" w:rsidR="00013DE0" w:rsidRPr="009E4F4B" w:rsidRDefault="00013DE0" w:rsidP="00013DE0">
                      <w:pPr>
                        <w:rPr>
                          <w:rFonts w:ascii="Century Gothic" w:hAnsi="Century Gothic"/>
                          <w:color w:val="000000" w:themeColor="text1"/>
                        </w:rPr>
                      </w:pPr>
                      <w:r w:rsidRPr="009E4F4B">
                        <w:rPr>
                          <w:rFonts w:ascii="Century Gothic" w:hAnsi="Century Gothic"/>
                          <w:color w:val="000000" w:themeColor="text1"/>
                        </w:rPr>
                        <w:t xml:space="preserve">Schulze, K., Ebert, L.C., Ruder, T.D., </w:t>
                      </w:r>
                      <w:proofErr w:type="spellStart"/>
                      <w:r w:rsidRPr="009E4F4B">
                        <w:rPr>
                          <w:rFonts w:ascii="Century Gothic" w:hAnsi="Century Gothic"/>
                          <w:color w:val="000000" w:themeColor="text1"/>
                        </w:rPr>
                        <w:t>Fliss</w:t>
                      </w:r>
                      <w:proofErr w:type="spellEnd"/>
                      <w:r w:rsidRPr="009E4F4B">
                        <w:rPr>
                          <w:rFonts w:ascii="Century Gothic" w:hAnsi="Century Gothic"/>
                          <w:color w:val="000000" w:themeColor="text1"/>
                        </w:rPr>
                        <w:t xml:space="preserve"> B., </w:t>
                      </w:r>
                      <w:proofErr w:type="spellStart"/>
                      <w:r w:rsidRPr="009E4F4B">
                        <w:rPr>
                          <w:rFonts w:ascii="Century Gothic" w:hAnsi="Century Gothic"/>
                          <w:color w:val="000000" w:themeColor="text1"/>
                        </w:rPr>
                        <w:t>Poschmann</w:t>
                      </w:r>
                      <w:proofErr w:type="spellEnd"/>
                      <w:r w:rsidRPr="009E4F4B">
                        <w:rPr>
                          <w:rFonts w:ascii="Century Gothic" w:hAnsi="Century Gothic"/>
                          <w:color w:val="000000" w:themeColor="text1"/>
                        </w:rPr>
                        <w:t xml:space="preserve">, S.A, </w:t>
                      </w:r>
                      <w:proofErr w:type="spellStart"/>
                      <w:r w:rsidRPr="009E4F4B">
                        <w:rPr>
                          <w:rFonts w:ascii="Century Gothic" w:hAnsi="Century Gothic"/>
                          <w:color w:val="000000" w:themeColor="text1"/>
                        </w:rPr>
                        <w:t>Gascho</w:t>
                      </w:r>
                      <w:proofErr w:type="spellEnd"/>
                      <w:r w:rsidRPr="009E4F4B">
                        <w:rPr>
                          <w:rFonts w:ascii="Century Gothic" w:hAnsi="Century Gothic"/>
                          <w:color w:val="000000" w:themeColor="text1"/>
                        </w:rPr>
                        <w:t xml:space="preserve">, D., Thali, M.J. and </w:t>
                      </w:r>
                      <w:proofErr w:type="spellStart"/>
                      <w:r w:rsidRPr="009E4F4B">
                        <w:rPr>
                          <w:rFonts w:ascii="Century Gothic" w:hAnsi="Century Gothic"/>
                          <w:color w:val="000000" w:themeColor="text1"/>
                        </w:rPr>
                        <w:t>Flach</w:t>
                      </w:r>
                      <w:proofErr w:type="spellEnd"/>
                      <w:r w:rsidRPr="009E4F4B">
                        <w:rPr>
                          <w:rFonts w:ascii="Century Gothic" w:hAnsi="Century Gothic"/>
                          <w:color w:val="000000" w:themeColor="text1"/>
                        </w:rPr>
                        <w:t>, P.M. (2018) ‘</w:t>
                      </w:r>
                      <w:proofErr w:type="spellStart"/>
                      <w:r w:rsidRPr="009E4F4B">
                        <w:rPr>
                          <w:rFonts w:ascii="Century Gothic" w:hAnsi="Century Gothic"/>
                          <w:color w:val="000000" w:themeColor="text1"/>
                        </w:rPr>
                        <w:t>Tha</w:t>
                      </w:r>
                      <w:proofErr w:type="spellEnd"/>
                      <w:r w:rsidRPr="009E4F4B">
                        <w:rPr>
                          <w:rFonts w:ascii="Century Gothic" w:hAnsi="Century Gothic"/>
                          <w:color w:val="000000" w:themeColor="text1"/>
                        </w:rPr>
                        <w:t xml:space="preserve"> gas bubble sign – a reliable indicator of laryngeal fractures in </w:t>
                      </w:r>
                      <w:proofErr w:type="spellStart"/>
                      <w:r w:rsidRPr="009E4F4B">
                        <w:rPr>
                          <w:rFonts w:ascii="Century Gothic" w:hAnsi="Century Gothic"/>
                          <w:color w:val="000000" w:themeColor="text1"/>
                        </w:rPr>
                        <w:t>haning</w:t>
                      </w:r>
                      <w:proofErr w:type="spellEnd"/>
                      <w:r w:rsidRPr="009E4F4B">
                        <w:rPr>
                          <w:rFonts w:ascii="Century Gothic" w:hAnsi="Century Gothic"/>
                          <w:color w:val="000000" w:themeColor="text1"/>
                        </w:rPr>
                        <w:t xml:space="preserve"> on post mortem CT’. </w:t>
                      </w:r>
                      <w:r w:rsidRPr="009E4F4B">
                        <w:rPr>
                          <w:rFonts w:ascii="Century Gothic" w:hAnsi="Century Gothic"/>
                          <w:i/>
                          <w:color w:val="000000" w:themeColor="text1"/>
                        </w:rPr>
                        <w:t xml:space="preserve">British Institute of Radiology. </w:t>
                      </w:r>
                      <w:r w:rsidRPr="009E4F4B">
                        <w:rPr>
                          <w:rFonts w:ascii="Century Gothic" w:hAnsi="Century Gothic"/>
                          <w:color w:val="000000" w:themeColor="text1"/>
                        </w:rPr>
                        <w:t xml:space="preserve">Pp. 2-10. </w:t>
                      </w:r>
                    </w:p>
                    <w:p w14:paraId="60F2BCF5" w14:textId="77777777" w:rsidR="00013DE0" w:rsidRDefault="00013DE0" w:rsidP="00013DE0">
                      <w:pPr>
                        <w:pStyle w:val="ListParagraph"/>
                      </w:pPr>
                    </w:p>
                    <w:p w14:paraId="5B47E3E3" w14:textId="77777777" w:rsidR="00013DE0" w:rsidRPr="006B046C" w:rsidRDefault="00013DE0" w:rsidP="00013DE0">
                      <w:pPr>
                        <w:pStyle w:val="ListParagraph"/>
                      </w:pPr>
                    </w:p>
                  </w:txbxContent>
                </v:textbox>
              </v:rect>
            </w:pict>
          </mc:Fallback>
        </mc:AlternateContent>
      </w:r>
      <w:r>
        <w:rPr>
          <w:noProof/>
        </w:rPr>
        <mc:AlternateContent>
          <mc:Choice Requires="wps">
            <w:drawing>
              <wp:anchor distT="0" distB="0" distL="114300" distR="114300" simplePos="0" relativeHeight="251669504" behindDoc="0" locked="0" layoutInCell="1" allowOverlap="1" wp14:anchorId="5437C735" wp14:editId="1076AE43">
                <wp:simplePos x="0" y="0"/>
                <wp:positionH relativeFrom="column">
                  <wp:posOffset>-630621</wp:posOffset>
                </wp:positionH>
                <wp:positionV relativeFrom="paragraph">
                  <wp:posOffset>1198179</wp:posOffset>
                </wp:positionV>
                <wp:extent cx="5817476" cy="1108075"/>
                <wp:effectExtent l="12700" t="12700" r="12065" b="9525"/>
                <wp:wrapNone/>
                <wp:docPr id="6" name="Rectangle 6"/>
                <wp:cNvGraphicFramePr/>
                <a:graphic xmlns:a="http://schemas.openxmlformats.org/drawingml/2006/main">
                  <a:graphicData uri="http://schemas.microsoft.com/office/word/2010/wordprocessingShape">
                    <wps:wsp>
                      <wps:cNvSpPr/>
                      <wps:spPr>
                        <a:xfrm>
                          <a:off x="0" y="0"/>
                          <a:ext cx="5817476" cy="1108075"/>
                        </a:xfrm>
                        <a:prstGeom prst="rect">
                          <a:avLst/>
                        </a:prstGeom>
                        <a:solidFill>
                          <a:schemeClr val="accent2"/>
                        </a:solidFill>
                      </wps:spPr>
                      <wps:style>
                        <a:lnRef idx="2">
                          <a:schemeClr val="accent1">
                            <a:shade val="50000"/>
                          </a:schemeClr>
                        </a:lnRef>
                        <a:fillRef idx="1">
                          <a:schemeClr val="accent1"/>
                        </a:fillRef>
                        <a:effectRef idx="0">
                          <a:schemeClr val="accent1"/>
                        </a:effectRef>
                        <a:fontRef idx="minor">
                          <a:schemeClr val="lt1"/>
                        </a:fontRef>
                      </wps:style>
                      <wps:txbx>
                        <w:txbxContent>
                          <w:p w14:paraId="17DF8ABE" w14:textId="6711288D" w:rsidR="00C45336" w:rsidRPr="00714123" w:rsidRDefault="00C45336" w:rsidP="00C45336">
                            <w:pPr>
                              <w:pStyle w:val="xmsonormal"/>
                              <w:spacing w:before="0" w:beforeAutospacing="0" w:after="0" w:afterAutospacing="0"/>
                              <w:rPr>
                                <w:rFonts w:ascii="Century Gothic" w:hAnsi="Century Gothic" w:cstheme="minorHAnsi"/>
                                <w:color w:val="FFFFFF" w:themeColor="background1"/>
                                <w:sz w:val="22"/>
                                <w:szCs w:val="22"/>
                                <w:bdr w:val="none" w:sz="0" w:space="0" w:color="auto" w:frame="1"/>
                              </w:rPr>
                            </w:pPr>
                            <w:r w:rsidRPr="00714123">
                              <w:rPr>
                                <w:rFonts w:ascii="Century Gothic" w:hAnsi="Century Gothic" w:cstheme="minorHAnsi"/>
                                <w:color w:val="FFFFFF" w:themeColor="background1"/>
                                <w:sz w:val="22"/>
                                <w:szCs w:val="22"/>
                                <w:bdr w:val="none" w:sz="0" w:space="0" w:color="auto" w:frame="1"/>
                              </w:rPr>
                              <w:t xml:space="preserve">Chew, </w:t>
                            </w:r>
                            <w:proofErr w:type="gramStart"/>
                            <w:r w:rsidRPr="00714123">
                              <w:rPr>
                                <w:rFonts w:ascii="Century Gothic" w:hAnsi="Century Gothic" w:cstheme="minorHAnsi"/>
                                <w:color w:val="FFFFFF" w:themeColor="background1"/>
                                <w:sz w:val="22"/>
                                <w:szCs w:val="22"/>
                                <w:bdr w:val="none" w:sz="0" w:space="0" w:color="auto" w:frame="1"/>
                              </w:rPr>
                              <w:t>Danielle[</w:t>
                            </w:r>
                            <w:proofErr w:type="gramEnd"/>
                            <w:r w:rsidRPr="00714123">
                              <w:rPr>
                                <w:rFonts w:ascii="Century Gothic" w:hAnsi="Century Gothic" w:cstheme="minorHAnsi"/>
                                <w:color w:val="FFFFFF" w:themeColor="background1"/>
                                <w:sz w:val="22"/>
                                <w:szCs w:val="22"/>
                                <w:bdr w:val="none" w:sz="0" w:space="0" w:color="auto" w:frame="1"/>
                              </w:rPr>
                              <w:t>1], Kralt, Peter[2]., Cassella, John[1,3], Barkley, Andrew. [4]</w:t>
                            </w:r>
                          </w:p>
                          <w:p w14:paraId="561E9259" w14:textId="184D86F6" w:rsidR="00C45336" w:rsidRPr="00714123" w:rsidRDefault="00C45336" w:rsidP="00C45336">
                            <w:pPr>
                              <w:pStyle w:val="xmsonormal"/>
                              <w:spacing w:before="0" w:beforeAutospacing="0" w:after="0" w:afterAutospacing="0"/>
                              <w:rPr>
                                <w:rFonts w:ascii="Century Gothic" w:hAnsi="Century Gothic" w:cstheme="minorHAnsi"/>
                                <w:color w:val="FFFFFF" w:themeColor="background1"/>
                                <w:sz w:val="22"/>
                                <w:szCs w:val="22"/>
                                <w:bdr w:val="none" w:sz="0" w:space="0" w:color="auto" w:frame="1"/>
                              </w:rPr>
                            </w:pPr>
                            <w:r w:rsidRPr="00714123">
                              <w:rPr>
                                <w:rFonts w:ascii="Century Gothic" w:hAnsi="Century Gothic" w:cstheme="minorHAnsi"/>
                                <w:color w:val="FFFFFF" w:themeColor="background1"/>
                                <w:sz w:val="22"/>
                                <w:szCs w:val="22"/>
                                <w:bdr w:val="none" w:sz="0" w:space="0" w:color="auto" w:frame="1"/>
                              </w:rPr>
                              <w:t>[1] School of Law, Policing and Forensics, Staffordshire University, UK.</w:t>
                            </w:r>
                          </w:p>
                          <w:p w14:paraId="218DD517" w14:textId="77777777" w:rsidR="00C45336" w:rsidRPr="00714123" w:rsidRDefault="00C45336" w:rsidP="00C45336">
                            <w:pPr>
                              <w:pStyle w:val="xmsonormal"/>
                              <w:spacing w:before="0" w:beforeAutospacing="0" w:after="0" w:afterAutospacing="0"/>
                              <w:rPr>
                                <w:rFonts w:ascii="Century Gothic" w:hAnsi="Century Gothic" w:cstheme="minorHAnsi"/>
                                <w:color w:val="FFFFFF" w:themeColor="background1"/>
                                <w:sz w:val="22"/>
                                <w:szCs w:val="22"/>
                                <w:bdr w:val="none" w:sz="0" w:space="0" w:color="auto" w:frame="1"/>
                              </w:rPr>
                            </w:pPr>
                            <w:r w:rsidRPr="00714123">
                              <w:rPr>
                                <w:rFonts w:ascii="Century Gothic" w:hAnsi="Century Gothic" w:cstheme="minorHAnsi"/>
                                <w:color w:val="FFFFFF" w:themeColor="background1"/>
                                <w:sz w:val="22"/>
                                <w:szCs w:val="22"/>
                                <w:bdr w:val="none" w:sz="0" w:space="0" w:color="auto" w:frame="1"/>
                              </w:rPr>
                              <w:t xml:space="preserve">[2] iGene London Ltd, Sheffield, UK. </w:t>
                            </w:r>
                          </w:p>
                          <w:p w14:paraId="224A1AEB" w14:textId="77777777" w:rsidR="00C16684" w:rsidRPr="00714123" w:rsidRDefault="00C45336" w:rsidP="00C16684">
                            <w:pPr>
                              <w:pStyle w:val="xmsonormal"/>
                              <w:spacing w:before="0" w:beforeAutospacing="0" w:after="0" w:afterAutospacing="0"/>
                              <w:rPr>
                                <w:rFonts w:ascii="Century Gothic" w:hAnsi="Century Gothic" w:cstheme="minorHAnsi"/>
                                <w:color w:val="FFFFFF" w:themeColor="background1"/>
                                <w:sz w:val="22"/>
                                <w:szCs w:val="22"/>
                                <w:bdr w:val="none" w:sz="0" w:space="0" w:color="auto" w:frame="1"/>
                              </w:rPr>
                            </w:pPr>
                            <w:r w:rsidRPr="00714123">
                              <w:rPr>
                                <w:rFonts w:ascii="Century Gothic" w:hAnsi="Century Gothic" w:cstheme="minorHAnsi"/>
                                <w:color w:val="FFFFFF" w:themeColor="background1"/>
                                <w:sz w:val="22"/>
                                <w:szCs w:val="22"/>
                                <w:bdr w:val="none" w:sz="0" w:space="0" w:color="auto" w:frame="1"/>
                              </w:rPr>
                              <w:t>[3] Forensic Investigation and Analysis, Department of Life Sciences, Faculty of Science, Institute of Technology, Sligo Ireland</w:t>
                            </w:r>
                          </w:p>
                          <w:p w14:paraId="57735873" w14:textId="00464177" w:rsidR="00C45336" w:rsidRPr="00714123" w:rsidRDefault="00C45336" w:rsidP="00C16684">
                            <w:pPr>
                              <w:pStyle w:val="xmsonormal"/>
                              <w:spacing w:before="0" w:beforeAutospacing="0" w:after="0" w:afterAutospacing="0"/>
                              <w:rPr>
                                <w:rFonts w:ascii="Century Gothic" w:hAnsi="Century Gothic" w:cstheme="minorHAnsi"/>
                                <w:color w:val="FFFFFF" w:themeColor="background1"/>
                                <w:sz w:val="22"/>
                                <w:szCs w:val="22"/>
                                <w:bdr w:val="none" w:sz="0" w:space="0" w:color="auto" w:frame="1"/>
                              </w:rPr>
                            </w:pPr>
                            <w:r w:rsidRPr="00714123">
                              <w:rPr>
                                <w:rFonts w:asciiTheme="minorHAnsi" w:hAnsiTheme="minorHAnsi" w:cstheme="minorHAnsi"/>
                                <w:color w:val="FFFFFF" w:themeColor="background1"/>
                                <w:sz w:val="22"/>
                                <w:szCs w:val="22"/>
                                <w:bdr w:val="none" w:sz="0" w:space="0" w:color="auto" w:frame="1"/>
                              </w:rPr>
                              <w:t xml:space="preserve">[4] Her Majesty’s Coroner, Stoke-on-Trent and North Staffordshire, UK. </w:t>
                            </w:r>
                          </w:p>
                          <w:p w14:paraId="09CCE644" w14:textId="7F15169B" w:rsidR="00C45336" w:rsidRDefault="00C45336" w:rsidP="00C45336">
                            <w:pPr>
                              <w:jc w:val="center"/>
                            </w:pPr>
                            <w:r>
                              <w:t>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437C735" id="Rectangle 6" o:spid="_x0000_s1027" style="position:absolute;margin-left:-49.65pt;margin-top:94.35pt;width:458.05pt;height:87.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" fillcolor="#717744 [3205]" strokecolor="#04282a [1604]" strokeweight="1.5pt">
                <v:stroke endcap="round"/>
                <v:textbox>
                  <w:txbxContent>
                    <w:p w14:paraId="17DF8ABE" w14:textId="6711288D" w:rsidR="00C45336" w:rsidRPr="00714123" w:rsidRDefault="00C45336" w:rsidP="00C45336">
                      <w:pPr>
                        <w:pStyle w:val="xmsonormal"/>
                        <w:spacing w:before="0" w:beforeAutospacing="0" w:after="0" w:afterAutospacing="0"/>
                        <w:rPr>
                          <w:rFonts w:ascii="Century Gothic" w:hAnsi="Century Gothic" w:cstheme="minorHAnsi"/>
                          <w:color w:val="FFFFFF" w:themeColor="background1"/>
                          <w:sz w:val="22"/>
                          <w:szCs w:val="22"/>
                          <w:bdr w:val="none" w:sz="0" w:space="0" w:color="auto" w:frame="1"/>
                        </w:rPr>
                      </w:pPr>
                      <w:r w:rsidRPr="00714123">
                        <w:rPr>
                          <w:rFonts w:ascii="Century Gothic" w:hAnsi="Century Gothic" w:cstheme="minorHAnsi"/>
                          <w:color w:val="FFFFFF" w:themeColor="background1"/>
                          <w:sz w:val="22"/>
                          <w:szCs w:val="22"/>
                          <w:bdr w:val="none" w:sz="0" w:space="0" w:color="auto" w:frame="1"/>
                        </w:rPr>
                        <w:t xml:space="preserve">Chew, </w:t>
                      </w:r>
                      <w:proofErr w:type="gramStart"/>
                      <w:r w:rsidRPr="00714123">
                        <w:rPr>
                          <w:rFonts w:ascii="Century Gothic" w:hAnsi="Century Gothic" w:cstheme="minorHAnsi"/>
                          <w:color w:val="FFFFFF" w:themeColor="background1"/>
                          <w:sz w:val="22"/>
                          <w:szCs w:val="22"/>
                          <w:bdr w:val="none" w:sz="0" w:space="0" w:color="auto" w:frame="1"/>
                        </w:rPr>
                        <w:t>Danielle[</w:t>
                      </w:r>
                      <w:proofErr w:type="gramEnd"/>
                      <w:r w:rsidRPr="00714123">
                        <w:rPr>
                          <w:rFonts w:ascii="Century Gothic" w:hAnsi="Century Gothic" w:cstheme="minorHAnsi"/>
                          <w:color w:val="FFFFFF" w:themeColor="background1"/>
                          <w:sz w:val="22"/>
                          <w:szCs w:val="22"/>
                          <w:bdr w:val="none" w:sz="0" w:space="0" w:color="auto" w:frame="1"/>
                        </w:rPr>
                        <w:t>1], Kralt, Peter[2]., Cassella, John[1,3], Barkley, Andrew. [4]</w:t>
                      </w:r>
                    </w:p>
                    <w:p w14:paraId="561E9259" w14:textId="184D86F6" w:rsidR="00C45336" w:rsidRPr="00714123" w:rsidRDefault="00C45336" w:rsidP="00C45336">
                      <w:pPr>
                        <w:pStyle w:val="xmsonormal"/>
                        <w:spacing w:before="0" w:beforeAutospacing="0" w:after="0" w:afterAutospacing="0"/>
                        <w:rPr>
                          <w:rFonts w:ascii="Century Gothic" w:hAnsi="Century Gothic" w:cstheme="minorHAnsi"/>
                          <w:color w:val="FFFFFF" w:themeColor="background1"/>
                          <w:sz w:val="22"/>
                          <w:szCs w:val="22"/>
                          <w:bdr w:val="none" w:sz="0" w:space="0" w:color="auto" w:frame="1"/>
                        </w:rPr>
                      </w:pPr>
                      <w:r w:rsidRPr="00714123">
                        <w:rPr>
                          <w:rFonts w:ascii="Century Gothic" w:hAnsi="Century Gothic" w:cstheme="minorHAnsi"/>
                          <w:color w:val="FFFFFF" w:themeColor="background1"/>
                          <w:sz w:val="22"/>
                          <w:szCs w:val="22"/>
                          <w:bdr w:val="none" w:sz="0" w:space="0" w:color="auto" w:frame="1"/>
                        </w:rPr>
                        <w:t>[1] School of Law, Policing and Forensics, Staffordshire University, UK.</w:t>
                      </w:r>
                    </w:p>
                    <w:p w14:paraId="218DD517" w14:textId="77777777" w:rsidR="00C45336" w:rsidRPr="00714123" w:rsidRDefault="00C45336" w:rsidP="00C45336">
                      <w:pPr>
                        <w:pStyle w:val="xmsonormal"/>
                        <w:spacing w:before="0" w:beforeAutospacing="0" w:after="0" w:afterAutospacing="0"/>
                        <w:rPr>
                          <w:rFonts w:ascii="Century Gothic" w:hAnsi="Century Gothic" w:cstheme="minorHAnsi"/>
                          <w:color w:val="FFFFFF" w:themeColor="background1"/>
                          <w:sz w:val="22"/>
                          <w:szCs w:val="22"/>
                          <w:bdr w:val="none" w:sz="0" w:space="0" w:color="auto" w:frame="1"/>
                        </w:rPr>
                      </w:pPr>
                      <w:r w:rsidRPr="00714123">
                        <w:rPr>
                          <w:rFonts w:ascii="Century Gothic" w:hAnsi="Century Gothic" w:cstheme="minorHAnsi"/>
                          <w:color w:val="FFFFFF" w:themeColor="background1"/>
                          <w:sz w:val="22"/>
                          <w:szCs w:val="22"/>
                          <w:bdr w:val="none" w:sz="0" w:space="0" w:color="auto" w:frame="1"/>
                        </w:rPr>
                        <w:t xml:space="preserve">[2] iGene London Ltd, Sheffield, UK. </w:t>
                      </w:r>
                    </w:p>
                    <w:p w14:paraId="224A1AEB" w14:textId="77777777" w:rsidR="00C16684" w:rsidRPr="00714123" w:rsidRDefault="00C45336" w:rsidP="00C16684">
                      <w:pPr>
                        <w:pStyle w:val="xmsonormal"/>
                        <w:spacing w:before="0" w:beforeAutospacing="0" w:after="0" w:afterAutospacing="0"/>
                        <w:rPr>
                          <w:rFonts w:ascii="Century Gothic" w:hAnsi="Century Gothic" w:cstheme="minorHAnsi"/>
                          <w:color w:val="FFFFFF" w:themeColor="background1"/>
                          <w:sz w:val="22"/>
                          <w:szCs w:val="22"/>
                          <w:bdr w:val="none" w:sz="0" w:space="0" w:color="auto" w:frame="1"/>
                        </w:rPr>
                      </w:pPr>
                      <w:r w:rsidRPr="00714123">
                        <w:rPr>
                          <w:rFonts w:ascii="Century Gothic" w:hAnsi="Century Gothic" w:cstheme="minorHAnsi"/>
                          <w:color w:val="FFFFFF" w:themeColor="background1"/>
                          <w:sz w:val="22"/>
                          <w:szCs w:val="22"/>
                          <w:bdr w:val="none" w:sz="0" w:space="0" w:color="auto" w:frame="1"/>
                        </w:rPr>
                        <w:t>[3] Forensic Investigation and Analysis, Department of Life Sciences, Faculty of Science, Institute of Technology, Sligo Ireland</w:t>
                      </w:r>
                    </w:p>
                    <w:p w14:paraId="57735873" w14:textId="00464177" w:rsidR="00C45336" w:rsidRPr="00714123" w:rsidRDefault="00C45336" w:rsidP="00C16684">
                      <w:pPr>
                        <w:pStyle w:val="xmsonormal"/>
                        <w:spacing w:before="0" w:beforeAutospacing="0" w:after="0" w:afterAutospacing="0"/>
                        <w:rPr>
                          <w:rFonts w:ascii="Century Gothic" w:hAnsi="Century Gothic" w:cstheme="minorHAnsi"/>
                          <w:color w:val="FFFFFF" w:themeColor="background1"/>
                          <w:sz w:val="22"/>
                          <w:szCs w:val="22"/>
                          <w:bdr w:val="none" w:sz="0" w:space="0" w:color="auto" w:frame="1"/>
                        </w:rPr>
                      </w:pPr>
                      <w:r w:rsidRPr="00714123">
                        <w:rPr>
                          <w:rFonts w:asciiTheme="minorHAnsi" w:hAnsiTheme="minorHAnsi" w:cstheme="minorHAnsi"/>
                          <w:color w:val="FFFFFF" w:themeColor="background1"/>
                          <w:sz w:val="22"/>
                          <w:szCs w:val="22"/>
                          <w:bdr w:val="none" w:sz="0" w:space="0" w:color="auto" w:frame="1"/>
                        </w:rPr>
                        <w:t xml:space="preserve">[4] Her Majesty’s Coroner, Stoke-on-Trent and North Staffordshire, UK. </w:t>
                      </w:r>
                    </w:p>
                    <w:p w14:paraId="09CCE644" w14:textId="7F15169B" w:rsidR="00C45336" w:rsidRDefault="00C45336" w:rsidP="00C45336">
                      <w:pPr>
                        <w:jc w:val="center"/>
                      </w:pPr>
                      <w:r>
                        <w:t>d</w:t>
                      </w:r>
                    </w:p>
                  </w:txbxContent>
                </v:textbox>
              </v:rect>
            </w:pict>
          </mc:Fallback>
        </mc:AlternateContent>
      </w:r>
      <w:r>
        <w:rPr>
          <w:noProof/>
        </w:rPr>
        <w:drawing>
          <wp:anchor distT="0" distB="0" distL="114300" distR="114300" simplePos="0" relativeHeight="251674624" behindDoc="1" locked="0" layoutInCell="1" allowOverlap="1" wp14:anchorId="4BF5B4C1" wp14:editId="187D6404">
            <wp:simplePos x="0" y="0"/>
            <wp:positionH relativeFrom="column">
              <wp:posOffset>5359772</wp:posOffset>
            </wp:positionH>
            <wp:positionV relativeFrom="paragraph">
              <wp:posOffset>1213901</wp:posOffset>
            </wp:positionV>
            <wp:extent cx="993140" cy="1041400"/>
            <wp:effectExtent l="0" t="0" r="0" b="0"/>
            <wp:wrapTight wrapText="bothSides">
              <wp:wrapPolygon edited="0">
                <wp:start x="0" y="0"/>
                <wp:lineTo x="0" y="17649"/>
                <wp:lineTo x="3591" y="21337"/>
                <wp:lineTo x="21269" y="21337"/>
                <wp:lineTo x="21269" y="0"/>
                <wp:lineTo x="0" y="0"/>
              </wp:wrapPolygon>
            </wp:wrapTight>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Staffordshire-University-Scholarships.png"/>
                    <pic:cNvPicPr/>
                  </pic:nvPicPr>
                  <pic:blipFill>
                    <a:blip r:embed="rId8">
                      <a:extLst>
                        <a:ext uri="{28A0092B-C50C-407E-A947-70E740481C1C}">
                          <a14:useLocalDpi xmlns:a14="http://schemas.microsoft.com/office/drawing/2010/main" val="0"/>
                        </a:ext>
                      </a:extLst>
                    </a:blip>
                    <a:stretch>
                      <a:fillRect/>
                    </a:stretch>
                  </pic:blipFill>
                  <pic:spPr>
                    <a:xfrm>
                      <a:off x="0" y="0"/>
                      <a:ext cx="993140" cy="104140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67456" behindDoc="0" locked="0" layoutInCell="1" allowOverlap="1" wp14:anchorId="0D7D8A81" wp14:editId="4033AB55">
                <wp:simplePos x="0" y="0"/>
                <wp:positionH relativeFrom="column">
                  <wp:posOffset>-587178</wp:posOffset>
                </wp:positionH>
                <wp:positionV relativeFrom="paragraph">
                  <wp:posOffset>669443</wp:posOffset>
                </wp:positionV>
                <wp:extent cx="7023100" cy="470535"/>
                <wp:effectExtent l="0" t="0" r="25400" b="24765"/>
                <wp:wrapNone/>
                <wp:docPr id="5" name="Rectangle 5"/>
                <wp:cNvGraphicFramePr/>
                <a:graphic xmlns:a="http://schemas.openxmlformats.org/drawingml/2006/main">
                  <a:graphicData uri="http://schemas.microsoft.com/office/word/2010/wordprocessingShape">
                    <wps:wsp>
                      <wps:cNvSpPr/>
                      <wps:spPr>
                        <a:xfrm>
                          <a:off x="0" y="0"/>
                          <a:ext cx="7023100" cy="470535"/>
                        </a:xfrm>
                        <a:prstGeom prst="rect">
                          <a:avLst/>
                        </a:prstGeom>
                        <a:solidFill>
                          <a:schemeClr val="accent2"/>
                        </a:solidFill>
                      </wps:spPr>
                      <wps:style>
                        <a:lnRef idx="2">
                          <a:schemeClr val="accent1">
                            <a:shade val="50000"/>
                          </a:schemeClr>
                        </a:lnRef>
                        <a:fillRef idx="1">
                          <a:schemeClr val="accent1"/>
                        </a:fillRef>
                        <a:effectRef idx="0">
                          <a:schemeClr val="accent1"/>
                        </a:effectRef>
                        <a:fontRef idx="minor">
                          <a:schemeClr val="lt1"/>
                        </a:fontRef>
                      </wps:style>
                      <wps:txbx>
                        <w:txbxContent>
                          <w:p w14:paraId="2D5D1E58" w14:textId="77777777" w:rsidR="00C45336" w:rsidRPr="00714123" w:rsidRDefault="00C45336" w:rsidP="00C45336">
                            <w:pPr>
                              <w:pStyle w:val="xmsonormal"/>
                              <w:spacing w:before="0" w:beforeAutospacing="0" w:after="0" w:afterAutospacing="0"/>
                              <w:jc w:val="center"/>
                              <w:rPr>
                                <w:rFonts w:ascii="Century Gothic" w:hAnsi="Century Gothic" w:cstheme="minorHAnsi"/>
                                <w:b/>
                                <w:color w:val="FFFFFF" w:themeColor="background1"/>
                                <w:sz w:val="22"/>
                                <w:szCs w:val="22"/>
                                <w:bdr w:val="none" w:sz="0" w:space="0" w:color="auto" w:frame="1"/>
                              </w:rPr>
                            </w:pPr>
                            <w:r w:rsidRPr="00D44031">
                              <w:rPr>
                                <w:rFonts w:ascii="Century Gothic" w:hAnsi="Century Gothic" w:cstheme="minorHAnsi"/>
                                <w:b/>
                                <w:color w:val="FFFFFF" w:themeColor="background1"/>
                                <w:sz w:val="22"/>
                                <w:szCs w:val="22"/>
                                <w:bdr w:val="none" w:sz="0" w:space="0" w:color="auto" w:frame="1"/>
                              </w:rPr>
                              <w:t xml:space="preserve">A </w:t>
                            </w:r>
                            <w:r w:rsidRPr="00714123">
                              <w:rPr>
                                <w:rFonts w:ascii="Century Gothic" w:hAnsi="Century Gothic" w:cstheme="minorHAnsi"/>
                                <w:b/>
                                <w:color w:val="FFFFFF" w:themeColor="background1"/>
                                <w:sz w:val="22"/>
                                <w:szCs w:val="22"/>
                                <w:bdr w:val="none" w:sz="0" w:space="0" w:color="auto" w:frame="1"/>
                              </w:rPr>
                              <w:t>Comparison of Post Mortem Computed Tomography and External Examination of</w:t>
                            </w:r>
                          </w:p>
                          <w:p w14:paraId="6861F1C1" w14:textId="77777777" w:rsidR="00C45336" w:rsidRPr="00714123" w:rsidRDefault="00C45336" w:rsidP="00C45336">
                            <w:pPr>
                              <w:pStyle w:val="xmsonormal"/>
                              <w:spacing w:before="0" w:beforeAutospacing="0" w:after="0" w:afterAutospacing="0"/>
                              <w:jc w:val="center"/>
                              <w:rPr>
                                <w:rFonts w:ascii="Century Gothic" w:hAnsi="Century Gothic" w:cstheme="minorHAnsi"/>
                                <w:b/>
                                <w:color w:val="FFFFFF" w:themeColor="background1"/>
                                <w:sz w:val="22"/>
                                <w:szCs w:val="22"/>
                                <w:bdr w:val="none" w:sz="0" w:space="0" w:color="auto" w:frame="1"/>
                              </w:rPr>
                            </w:pPr>
                            <w:r w:rsidRPr="00714123">
                              <w:rPr>
                                <w:rFonts w:ascii="Century Gothic" w:hAnsi="Century Gothic" w:cstheme="minorHAnsi"/>
                                <w:b/>
                                <w:color w:val="FFFFFF" w:themeColor="background1"/>
                                <w:sz w:val="22"/>
                                <w:szCs w:val="22"/>
                                <w:bdr w:val="none" w:sz="0" w:space="0" w:color="auto" w:frame="1"/>
                              </w:rPr>
                              <w:t>the Neck in Suspected Hanging Cases.</w:t>
                            </w:r>
                          </w:p>
                          <w:p w14:paraId="123A6651" w14:textId="77777777" w:rsidR="00C45336" w:rsidRDefault="00C45336" w:rsidP="00C45336">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D7D8A81" id="Rectangle 5" o:spid="_x0000_s1028" style="position:absolute;margin-left:-46.25pt;margin-top:52.7pt;width:553pt;height:37.0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" fillcolor="#717744 [3205]" strokecolor="#04282a [1604]" strokeweight="1.5pt">
                <v:stroke endcap="round"/>
                <v:textbox>
                  <w:txbxContent>
                    <w:p w14:paraId="2D5D1E58" w14:textId="77777777" w:rsidR="00C45336" w:rsidRPr="00714123" w:rsidRDefault="00C45336" w:rsidP="00C45336">
                      <w:pPr>
                        <w:pStyle w:val="xmsonormal"/>
                        <w:spacing w:before="0" w:beforeAutospacing="0" w:after="0" w:afterAutospacing="0"/>
                        <w:jc w:val="center"/>
                        <w:rPr>
                          <w:rFonts w:ascii="Century Gothic" w:hAnsi="Century Gothic" w:cstheme="minorHAnsi"/>
                          <w:b/>
                          <w:color w:val="FFFFFF" w:themeColor="background1"/>
                          <w:sz w:val="22"/>
                          <w:szCs w:val="22"/>
                          <w:bdr w:val="none" w:sz="0" w:space="0" w:color="auto" w:frame="1"/>
                        </w:rPr>
                      </w:pPr>
                      <w:r w:rsidRPr="00D44031">
                        <w:rPr>
                          <w:rFonts w:ascii="Century Gothic" w:hAnsi="Century Gothic" w:cstheme="minorHAnsi"/>
                          <w:b/>
                          <w:color w:val="FFFFFF" w:themeColor="background1"/>
                          <w:sz w:val="22"/>
                          <w:szCs w:val="22"/>
                          <w:bdr w:val="none" w:sz="0" w:space="0" w:color="auto" w:frame="1"/>
                        </w:rPr>
                        <w:t xml:space="preserve">A </w:t>
                      </w:r>
                      <w:r w:rsidRPr="00714123">
                        <w:rPr>
                          <w:rFonts w:ascii="Century Gothic" w:hAnsi="Century Gothic" w:cstheme="minorHAnsi"/>
                          <w:b/>
                          <w:color w:val="FFFFFF" w:themeColor="background1"/>
                          <w:sz w:val="22"/>
                          <w:szCs w:val="22"/>
                          <w:bdr w:val="none" w:sz="0" w:space="0" w:color="auto" w:frame="1"/>
                        </w:rPr>
                        <w:t>Comparison of Post Mortem Computed Tomography and External Examination of</w:t>
                      </w:r>
                    </w:p>
                    <w:p w14:paraId="6861F1C1" w14:textId="77777777" w:rsidR="00C45336" w:rsidRPr="00714123" w:rsidRDefault="00C45336" w:rsidP="00C45336">
                      <w:pPr>
                        <w:pStyle w:val="xmsonormal"/>
                        <w:spacing w:before="0" w:beforeAutospacing="0" w:after="0" w:afterAutospacing="0"/>
                        <w:jc w:val="center"/>
                        <w:rPr>
                          <w:rFonts w:ascii="Century Gothic" w:hAnsi="Century Gothic" w:cstheme="minorHAnsi"/>
                          <w:b/>
                          <w:color w:val="FFFFFF" w:themeColor="background1"/>
                          <w:sz w:val="22"/>
                          <w:szCs w:val="22"/>
                          <w:bdr w:val="none" w:sz="0" w:space="0" w:color="auto" w:frame="1"/>
                        </w:rPr>
                      </w:pPr>
                      <w:r w:rsidRPr="00714123">
                        <w:rPr>
                          <w:rFonts w:ascii="Century Gothic" w:hAnsi="Century Gothic" w:cstheme="minorHAnsi"/>
                          <w:b/>
                          <w:color w:val="FFFFFF" w:themeColor="background1"/>
                          <w:sz w:val="22"/>
                          <w:szCs w:val="22"/>
                          <w:bdr w:val="none" w:sz="0" w:space="0" w:color="auto" w:frame="1"/>
                        </w:rPr>
                        <w:t>the Neck in Suspected Hanging Cases.</w:t>
                      </w:r>
                    </w:p>
                    <w:p w14:paraId="123A6651" w14:textId="77777777" w:rsidR="00C45336" w:rsidRDefault="00C45336" w:rsidP="00C45336">
                      <w:pPr>
                        <w:jc w:val="center"/>
                      </w:pPr>
                    </w:p>
                  </w:txbxContent>
                </v:textbox>
              </v:rect>
            </w:pict>
          </mc:Fallback>
        </mc:AlternateContent>
      </w:r>
      <w:r>
        <w:rPr>
          <w:noProof/>
        </w:rPr>
        <mc:AlternateContent>
          <mc:Choice Requires="wps">
            <w:drawing>
              <wp:anchor distT="0" distB="0" distL="114300" distR="114300" simplePos="0" relativeHeight="251663360" behindDoc="0" locked="0" layoutInCell="1" allowOverlap="1" wp14:anchorId="3D59E584" wp14:editId="0D99AD67">
                <wp:simplePos x="0" y="0"/>
                <wp:positionH relativeFrom="column">
                  <wp:posOffset>2863215</wp:posOffset>
                </wp:positionH>
                <wp:positionV relativeFrom="paragraph">
                  <wp:posOffset>2413744</wp:posOffset>
                </wp:positionV>
                <wp:extent cx="3394075" cy="3005528"/>
                <wp:effectExtent l="0" t="0" r="15875" b="23495"/>
                <wp:wrapNone/>
                <wp:docPr id="3" name="Rectangle 3"/>
                <wp:cNvGraphicFramePr/>
                <a:graphic xmlns:a="http://schemas.openxmlformats.org/drawingml/2006/main">
                  <a:graphicData uri="http://schemas.microsoft.com/office/word/2010/wordprocessingShape">
                    <wps:wsp>
                      <wps:cNvSpPr/>
                      <wps:spPr>
                        <a:xfrm>
                          <a:off x="0" y="0"/>
                          <a:ext cx="3394075" cy="3005528"/>
                        </a:xfrm>
                        <a:prstGeom prst="rect">
                          <a:avLst/>
                        </a:prstGeom>
                        <a:solidFill>
                          <a:schemeClr val="accent3"/>
                        </a:solidFill>
                      </wps:spPr>
                      <wps:style>
                        <a:lnRef idx="2">
                          <a:schemeClr val="accent1">
                            <a:shade val="50000"/>
                          </a:schemeClr>
                        </a:lnRef>
                        <a:fillRef idx="1">
                          <a:schemeClr val="accent1"/>
                        </a:fillRef>
                        <a:effectRef idx="0">
                          <a:schemeClr val="accent1"/>
                        </a:effectRef>
                        <a:fontRef idx="minor">
                          <a:schemeClr val="lt1"/>
                        </a:fontRef>
                      </wps:style>
                      <wps:txbx>
                        <w:txbxContent>
                          <w:p w14:paraId="63B92F7C" w14:textId="21A4F733" w:rsidR="00714123" w:rsidRPr="0045312C" w:rsidRDefault="00714123" w:rsidP="00714123">
                            <w:pPr>
                              <w:jc w:val="center"/>
                              <w:rPr>
                                <w:rFonts w:ascii="Century Gothic" w:hAnsi="Century Gothic"/>
                                <w:b/>
                                <w:color w:val="000000" w:themeColor="text1"/>
                                <w:sz w:val="22"/>
                              </w:rPr>
                            </w:pPr>
                            <w:r w:rsidRPr="0045312C">
                              <w:rPr>
                                <w:rFonts w:ascii="Century Gothic" w:hAnsi="Century Gothic"/>
                                <w:b/>
                                <w:color w:val="000000" w:themeColor="text1"/>
                                <w:sz w:val="22"/>
                              </w:rPr>
                              <w:t xml:space="preserve">Bibliography: </w:t>
                            </w:r>
                          </w:p>
                          <w:p w14:paraId="1CF13C8C" w14:textId="7D52CD2C" w:rsidR="00714123" w:rsidRPr="0045312C" w:rsidRDefault="00CD006C" w:rsidP="006B046C">
                            <w:pPr>
                              <w:rPr>
                                <w:rFonts w:ascii="Century Gothic" w:hAnsi="Century Gothic"/>
                                <w:color w:val="000000" w:themeColor="text1"/>
                                <w:sz w:val="22"/>
                              </w:rPr>
                            </w:pPr>
                            <w:r w:rsidRPr="0045312C">
                              <w:rPr>
                                <w:rFonts w:ascii="Century Gothic" w:hAnsi="Century Gothic"/>
                                <w:color w:val="000000" w:themeColor="text1"/>
                                <w:sz w:val="22"/>
                              </w:rPr>
                              <w:t xml:space="preserve">My name is Danielle Chew and I am a PhD researcher at Staffordshire University. My research focuses on the use of Post-Mortem Computed Tomography as a diagnostic tool within the UK </w:t>
                            </w:r>
                            <w:r w:rsidR="0045312C" w:rsidRPr="0045312C">
                              <w:rPr>
                                <w:rFonts w:ascii="Century Gothic" w:hAnsi="Century Gothic"/>
                                <w:color w:val="000000" w:themeColor="text1"/>
                                <w:sz w:val="22"/>
                              </w:rPr>
                              <w:t>Coronial</w:t>
                            </w:r>
                            <w:r w:rsidRPr="0045312C">
                              <w:rPr>
                                <w:rFonts w:ascii="Century Gothic" w:hAnsi="Century Gothic"/>
                                <w:color w:val="000000" w:themeColor="text1"/>
                                <w:sz w:val="22"/>
                              </w:rPr>
                              <w:t xml:space="preserve"> System to accurately and efficiently diagnose the Cause of Death. </w:t>
                            </w:r>
                            <w:r w:rsidR="0045312C">
                              <w:rPr>
                                <w:rFonts w:ascii="Century Gothic" w:hAnsi="Century Gothic"/>
                                <w:color w:val="000000" w:themeColor="text1"/>
                                <w:sz w:val="22"/>
                              </w:rPr>
                              <w:t xml:space="preserve">My PhD research will build on the foundation of results formulated in my undergraduate research. My current working title is; </w:t>
                            </w:r>
                            <w:r w:rsidR="0045312C" w:rsidRPr="0045312C">
                              <w:rPr>
                                <w:rFonts w:ascii="Century Gothic" w:hAnsi="Century Gothic" w:cs="Calibri"/>
                                <w:color w:val="000000" w:themeColor="text1"/>
                                <w:sz w:val="22"/>
                                <w:szCs w:val="22"/>
                              </w:rPr>
                              <w:t>To what extent can PMCT be used as a singular analytical method of autopsy to conclusively identify the cause of death in cases within Stoke on Trent and North Staffordshire.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D59E584" id="Rectangle 3" o:spid="_x0000_s1029" style="position:absolute;margin-left:225.45pt;margin-top:190.05pt;width:267.25pt;height:236.6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" fillcolor="#efefd0 [3206]" strokecolor="#04282a [1604]" strokeweight="1.5pt">
                <v:stroke endcap="round"/>
                <v:textbox>
                  <w:txbxContent>
                    <w:p w14:paraId="63B92F7C" w14:textId="21A4F733" w:rsidR="00714123" w:rsidRPr="0045312C" w:rsidRDefault="00714123" w:rsidP="00714123">
                      <w:pPr>
                        <w:jc w:val="center"/>
                        <w:rPr>
                          <w:rFonts w:ascii="Century Gothic" w:hAnsi="Century Gothic"/>
                          <w:b/>
                          <w:color w:val="000000" w:themeColor="text1"/>
                          <w:sz w:val="22"/>
                        </w:rPr>
                      </w:pPr>
                      <w:r w:rsidRPr="0045312C">
                        <w:rPr>
                          <w:rFonts w:ascii="Century Gothic" w:hAnsi="Century Gothic"/>
                          <w:b/>
                          <w:color w:val="000000" w:themeColor="text1"/>
                          <w:sz w:val="22"/>
                        </w:rPr>
                        <w:t xml:space="preserve">Bibliography: </w:t>
                      </w:r>
                    </w:p>
                    <w:p w14:paraId="1CF13C8C" w14:textId="7D52CD2C" w:rsidR="00714123" w:rsidRPr="0045312C" w:rsidRDefault="00CD006C" w:rsidP="006B046C">
                      <w:pPr>
                        <w:rPr>
                          <w:rFonts w:ascii="Century Gothic" w:hAnsi="Century Gothic"/>
                          <w:color w:val="000000" w:themeColor="text1"/>
                          <w:sz w:val="22"/>
                        </w:rPr>
                      </w:pPr>
                      <w:r w:rsidRPr="0045312C">
                        <w:rPr>
                          <w:rFonts w:ascii="Century Gothic" w:hAnsi="Century Gothic"/>
                          <w:color w:val="000000" w:themeColor="text1"/>
                          <w:sz w:val="22"/>
                        </w:rPr>
                        <w:t xml:space="preserve">My name is Danielle Chew and I am a PhD researcher at Staffordshire University. My research focuses on the use of Post-Mortem Computed Tomography as a diagnostic tool within the UK </w:t>
                      </w:r>
                      <w:r w:rsidR="0045312C" w:rsidRPr="0045312C">
                        <w:rPr>
                          <w:rFonts w:ascii="Century Gothic" w:hAnsi="Century Gothic"/>
                          <w:color w:val="000000" w:themeColor="text1"/>
                          <w:sz w:val="22"/>
                        </w:rPr>
                        <w:t>Coronial</w:t>
                      </w:r>
                      <w:r w:rsidRPr="0045312C">
                        <w:rPr>
                          <w:rFonts w:ascii="Century Gothic" w:hAnsi="Century Gothic"/>
                          <w:color w:val="000000" w:themeColor="text1"/>
                          <w:sz w:val="22"/>
                        </w:rPr>
                        <w:t xml:space="preserve"> System to accurately and efficiently diagnose the Cause of Death. </w:t>
                      </w:r>
                      <w:r w:rsidR="0045312C">
                        <w:rPr>
                          <w:rFonts w:ascii="Century Gothic" w:hAnsi="Century Gothic"/>
                          <w:color w:val="000000" w:themeColor="text1"/>
                          <w:sz w:val="22"/>
                        </w:rPr>
                        <w:t xml:space="preserve">My PhD research will build on the foundation of results formulated in my undergraduate research. My current working title is; </w:t>
                      </w:r>
                      <w:r w:rsidR="0045312C" w:rsidRPr="0045312C">
                        <w:rPr>
                          <w:rFonts w:ascii="Century Gothic" w:hAnsi="Century Gothic" w:cs="Calibri"/>
                          <w:color w:val="000000" w:themeColor="text1"/>
                          <w:sz w:val="22"/>
                          <w:szCs w:val="22"/>
                        </w:rPr>
                        <w:t>To what extent can PMCT be used as a singular analytical method of autopsy to conclusively identify the cause of death in cases within Stoke on Trent and North Staffordshire.</w:t>
                      </w:r>
                    </w:p>
                  </w:txbxContent>
                </v:textbox>
              </v:rect>
            </w:pict>
          </mc:Fallback>
        </mc:AlternateContent>
      </w:r>
      <w:r w:rsidR="00041C98">
        <w:rPr>
          <w:noProof/>
        </w:rPr>
        <mc:AlternateContent>
          <mc:Choice Requires="wps">
            <w:drawing>
              <wp:anchor distT="0" distB="0" distL="114300" distR="114300" simplePos="0" relativeHeight="251659264" behindDoc="0" locked="0" layoutInCell="1" allowOverlap="1" wp14:anchorId="154AE106" wp14:editId="6B98DB14">
                <wp:simplePos x="0" y="0"/>
                <wp:positionH relativeFrom="page">
                  <wp:align>right</wp:align>
                </wp:positionH>
                <wp:positionV relativeFrom="paragraph">
                  <wp:posOffset>-901700</wp:posOffset>
                </wp:positionV>
                <wp:extent cx="7543800" cy="1468120"/>
                <wp:effectExtent l="0" t="0" r="19050" b="17780"/>
                <wp:wrapNone/>
                <wp:docPr id="1" name="Rectangle 1"/>
                <wp:cNvGraphicFramePr/>
                <a:graphic xmlns:a="http://schemas.openxmlformats.org/drawingml/2006/main">
                  <a:graphicData uri="http://schemas.microsoft.com/office/word/2010/wordprocessingShape">
                    <wps:wsp>
                      <wps:cNvSpPr/>
                      <wps:spPr>
                        <a:xfrm>
                          <a:off x="0" y="0"/>
                          <a:ext cx="7543800" cy="1468120"/>
                        </a:xfrm>
                        <a:prstGeom prst="rect">
                          <a:avLst/>
                        </a:prstGeom>
                        <a:solidFill>
                          <a:schemeClr val="accent2"/>
                        </a:solidFill>
                      </wps:spPr>
                      <wps:style>
                        <a:lnRef idx="2">
                          <a:schemeClr val="accent1">
                            <a:shade val="50000"/>
                          </a:schemeClr>
                        </a:lnRef>
                        <a:fillRef idx="1">
                          <a:schemeClr val="accent1"/>
                        </a:fillRef>
                        <a:effectRef idx="0">
                          <a:schemeClr val="accent1"/>
                        </a:effectRef>
                        <a:fontRef idx="minor">
                          <a:schemeClr val="lt1"/>
                        </a:fontRef>
                      </wps:style>
                      <wps:txbx>
                        <w:txbxContent>
                          <w:p w14:paraId="2A2CC0D0" w14:textId="77777777" w:rsidR="00421301" w:rsidRPr="00421301" w:rsidRDefault="00421301" w:rsidP="00C45336">
                            <w:pPr>
                              <w:jc w:val="center"/>
                              <w:rPr>
                                <w:rFonts w:ascii="Century Gothic" w:hAnsi="Century Gothic"/>
                                <w:b/>
                                <w:sz w:val="48"/>
                              </w:rPr>
                            </w:pPr>
                            <w:r w:rsidRPr="00421301">
                              <w:rPr>
                                <w:rFonts w:ascii="Century Gothic" w:hAnsi="Century Gothic"/>
                                <w:b/>
                                <w:color w:val="FFFFFF" w:themeColor="background1"/>
                                <w:sz w:val="48"/>
                              </w:rPr>
                              <w:t>2</w:t>
                            </w:r>
                            <w:r w:rsidRPr="00421301">
                              <w:rPr>
                                <w:rFonts w:ascii="Century Gothic" w:hAnsi="Century Gothic"/>
                                <w:b/>
                                <w:color w:val="FFFFFF" w:themeColor="background1"/>
                                <w:sz w:val="48"/>
                                <w:vertAlign w:val="superscript"/>
                              </w:rPr>
                              <w:t xml:space="preserve">nd </w:t>
                            </w:r>
                            <w:r w:rsidRPr="00421301">
                              <w:rPr>
                                <w:rFonts w:ascii="Century Gothic" w:hAnsi="Century Gothic"/>
                                <w:b/>
                                <w:sz w:val="48"/>
                              </w:rPr>
                              <w:t xml:space="preserve">Annual Congress on Pathology, Physiology and Biochemistry </w:t>
                            </w:r>
                          </w:p>
                          <w:p w14:paraId="07672AA5" w14:textId="2C32E66E" w:rsidR="00C45336" w:rsidRPr="00421301" w:rsidRDefault="00421301" w:rsidP="00C45336">
                            <w:pPr>
                              <w:jc w:val="center"/>
                              <w:rPr>
                                <w:rFonts w:ascii="Century Gothic" w:hAnsi="Century Gothic"/>
                                <w:b/>
                                <w:color w:val="FFFFFF" w:themeColor="background1"/>
                                <w:sz w:val="22"/>
                              </w:rPr>
                            </w:pPr>
                            <w:r w:rsidRPr="00421301">
                              <w:rPr>
                                <w:rFonts w:ascii="Century Gothic" w:hAnsi="Century Gothic"/>
                                <w:b/>
                                <w:sz w:val="22"/>
                              </w:rPr>
                              <w:t xml:space="preserve">Emphasizing the Modernization in Pathology: A Diagnostic Approach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54AE106" id="Rectangle 1" o:spid="_x0000_s1030" style="position:absolute;margin-left:542.8pt;margin-top:-71pt;width:594pt;height:115.6pt;z-index:251659264;visibility:visible;mso-wrap-style:square;mso-width-percent:0;mso-height-percent:0;mso-wrap-distance-left:9pt;mso-wrap-distance-top:0;mso-wrap-distance-right:9pt;mso-wrap-distance-bottom:0;mso-position-horizontal:right;mso-position-horizontal-relative:page;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" fillcolor="#717744 [3205]" strokecolor="#04282a [1604]" strokeweight="1.5pt">
                <v:stroke endcap="round"/>
                <v:textbox>
                  <w:txbxContent>
                    <w:p w14:paraId="2A2CC0D0" w14:textId="77777777" w:rsidR="00421301" w:rsidRPr="00421301" w:rsidRDefault="00421301" w:rsidP="00C45336">
                      <w:pPr>
                        <w:jc w:val="center"/>
                        <w:rPr>
                          <w:rFonts w:ascii="Century Gothic" w:hAnsi="Century Gothic"/>
                          <w:b/>
                          <w:sz w:val="48"/>
                        </w:rPr>
                      </w:pPr>
                      <w:r w:rsidRPr="00421301">
                        <w:rPr>
                          <w:rFonts w:ascii="Century Gothic" w:hAnsi="Century Gothic"/>
                          <w:b/>
                          <w:color w:val="FFFFFF" w:themeColor="background1"/>
                          <w:sz w:val="48"/>
                        </w:rPr>
                        <w:t>2</w:t>
                      </w:r>
                      <w:r w:rsidRPr="00421301">
                        <w:rPr>
                          <w:rFonts w:ascii="Century Gothic" w:hAnsi="Century Gothic"/>
                          <w:b/>
                          <w:color w:val="FFFFFF" w:themeColor="background1"/>
                          <w:sz w:val="48"/>
                          <w:vertAlign w:val="superscript"/>
                        </w:rPr>
                        <w:t xml:space="preserve">nd </w:t>
                      </w:r>
                      <w:r w:rsidRPr="00421301">
                        <w:rPr>
                          <w:rFonts w:ascii="Century Gothic" w:hAnsi="Century Gothic"/>
                          <w:b/>
                          <w:sz w:val="48"/>
                        </w:rPr>
                        <w:t xml:space="preserve">Annual Congress on Pathology, Physiology and Biochemistry </w:t>
                      </w:r>
                    </w:p>
                    <w:p w14:paraId="07672AA5" w14:textId="2C32E66E" w:rsidR="00C45336" w:rsidRPr="00421301" w:rsidRDefault="00421301" w:rsidP="00C45336">
                      <w:pPr>
                        <w:jc w:val="center"/>
                        <w:rPr>
                          <w:rFonts w:ascii="Century Gothic" w:hAnsi="Century Gothic"/>
                          <w:b/>
                          <w:color w:val="FFFFFF" w:themeColor="background1"/>
                          <w:sz w:val="22"/>
                        </w:rPr>
                      </w:pPr>
                      <w:r w:rsidRPr="00421301">
                        <w:rPr>
                          <w:rFonts w:ascii="Century Gothic" w:hAnsi="Century Gothic"/>
                          <w:b/>
                          <w:sz w:val="22"/>
                        </w:rPr>
                        <w:t xml:space="preserve">Emphasizing the Modernization in Pathology: A Diagnostic Approach  </w:t>
                      </w:r>
                    </w:p>
                  </w:txbxContent>
                </v:textbox>
                <w10:wrap anchorx="page"/>
              </v:rect>
            </w:pict>
          </mc:Fallback>
        </mc:AlternateContent>
      </w:r>
      <w:r w:rsidR="009E4F4B">
        <w:rPr>
          <w:noProof/>
        </w:rPr>
        <mc:AlternateContent>
          <mc:Choice Requires="wps">
            <w:drawing>
              <wp:anchor distT="0" distB="0" distL="114300" distR="114300" simplePos="0" relativeHeight="251661312" behindDoc="0" locked="0" layoutInCell="1" allowOverlap="1" wp14:anchorId="0576CDE4" wp14:editId="03C088C8">
                <wp:simplePos x="0" y="0"/>
                <wp:positionH relativeFrom="column">
                  <wp:posOffset>-678873</wp:posOffset>
                </wp:positionH>
                <wp:positionV relativeFrom="paragraph">
                  <wp:posOffset>2396836</wp:posOffset>
                </wp:positionV>
                <wp:extent cx="3394075" cy="7190105"/>
                <wp:effectExtent l="0" t="0" r="15875" b="10795"/>
                <wp:wrapNone/>
                <wp:docPr id="2" name="Rectangle 2"/>
                <wp:cNvGraphicFramePr/>
                <a:graphic xmlns:a="http://schemas.openxmlformats.org/drawingml/2006/main">
                  <a:graphicData uri="http://schemas.microsoft.com/office/word/2010/wordprocessingShape">
                    <wps:wsp>
                      <wps:cNvSpPr/>
                      <wps:spPr>
                        <a:xfrm>
                          <a:off x="0" y="0"/>
                          <a:ext cx="3394075" cy="7190105"/>
                        </a:xfrm>
                        <a:prstGeom prst="rect">
                          <a:avLst/>
                        </a:prstGeom>
                        <a:solidFill>
                          <a:schemeClr val="accent3"/>
                        </a:solidFill>
                      </wps:spPr>
                      <wps:style>
                        <a:lnRef idx="2">
                          <a:schemeClr val="accent1">
                            <a:shade val="50000"/>
                          </a:schemeClr>
                        </a:lnRef>
                        <a:fillRef idx="1">
                          <a:schemeClr val="accent1"/>
                        </a:fillRef>
                        <a:effectRef idx="0">
                          <a:schemeClr val="accent1"/>
                        </a:effectRef>
                        <a:fontRef idx="minor">
                          <a:schemeClr val="lt1"/>
                        </a:fontRef>
                      </wps:style>
                      <wps:txbx>
                        <w:txbxContent>
                          <w:p w14:paraId="1D0F34BA" w14:textId="7DCCA0B2" w:rsidR="00714123" w:rsidRPr="009E4F4B" w:rsidRDefault="00714123" w:rsidP="00714123">
                            <w:pPr>
                              <w:pStyle w:val="xmsonormal"/>
                              <w:spacing w:before="0" w:beforeAutospacing="0" w:after="0" w:afterAutospacing="0"/>
                              <w:jc w:val="center"/>
                              <w:rPr>
                                <w:rFonts w:ascii="Century Gothic" w:hAnsi="Century Gothic" w:cstheme="minorHAnsi"/>
                                <w:b/>
                                <w:color w:val="000000"/>
                                <w:sz w:val="22"/>
                                <w:szCs w:val="22"/>
                                <w:bdr w:val="none" w:sz="0" w:space="0" w:color="auto" w:frame="1"/>
                              </w:rPr>
                            </w:pPr>
                            <w:r w:rsidRPr="009E4F4B">
                              <w:rPr>
                                <w:rFonts w:ascii="Century Gothic" w:hAnsi="Century Gothic" w:cstheme="minorHAnsi"/>
                                <w:b/>
                                <w:color w:val="000000"/>
                                <w:sz w:val="22"/>
                                <w:szCs w:val="22"/>
                                <w:bdr w:val="none" w:sz="0" w:space="0" w:color="auto" w:frame="1"/>
                              </w:rPr>
                              <w:t>Abstract:</w:t>
                            </w:r>
                          </w:p>
                          <w:p w14:paraId="69B5BCE6" w14:textId="37BED56A" w:rsidR="00C16684" w:rsidRPr="00C16684" w:rsidRDefault="00C16684" w:rsidP="00714123">
                            <w:pPr>
                              <w:pStyle w:val="xmsonormal"/>
                              <w:spacing w:before="0" w:beforeAutospacing="0" w:after="0" w:afterAutospacing="0"/>
                              <w:jc w:val="center"/>
                              <w:rPr>
                                <w:rFonts w:ascii="Century Gothic" w:hAnsi="Century Gothic" w:cstheme="minorHAnsi"/>
                                <w:color w:val="000000"/>
                                <w:sz w:val="22"/>
                                <w:szCs w:val="22"/>
                              </w:rPr>
                            </w:pPr>
                            <w:r w:rsidRPr="00C16684">
                              <w:rPr>
                                <w:rFonts w:ascii="Century Gothic" w:hAnsi="Century Gothic" w:cstheme="minorHAnsi"/>
                                <w:color w:val="000000"/>
                                <w:sz w:val="22"/>
                                <w:szCs w:val="22"/>
                                <w:bdr w:val="none" w:sz="0" w:space="0" w:color="auto" w:frame="1"/>
                              </w:rPr>
                              <w:t>Post mortem Computed Tomography (PMCT) in the 21</w:t>
                            </w:r>
                            <w:r w:rsidRPr="00C16684">
                              <w:rPr>
                                <w:rFonts w:ascii="Century Gothic" w:hAnsi="Century Gothic" w:cstheme="minorHAnsi"/>
                                <w:color w:val="000000"/>
                                <w:sz w:val="22"/>
                                <w:szCs w:val="22"/>
                                <w:bdr w:val="none" w:sz="0" w:space="0" w:color="auto" w:frame="1"/>
                                <w:vertAlign w:val="superscript"/>
                              </w:rPr>
                              <w:t>st</w:t>
                            </w:r>
                            <w:r w:rsidRPr="00C16684">
                              <w:rPr>
                                <w:rStyle w:val="apple-converted-space"/>
                                <w:rFonts w:ascii="Century Gothic" w:hAnsi="Century Gothic" w:cstheme="minorHAnsi"/>
                                <w:color w:val="000000"/>
                                <w:sz w:val="22"/>
                                <w:szCs w:val="22"/>
                                <w:bdr w:val="none" w:sz="0" w:space="0" w:color="auto" w:frame="1"/>
                              </w:rPr>
                              <w:t> </w:t>
                            </w:r>
                            <w:r w:rsidRPr="00C16684">
                              <w:rPr>
                                <w:rFonts w:ascii="Century Gothic" w:hAnsi="Century Gothic" w:cstheme="minorHAnsi"/>
                                <w:color w:val="000000"/>
                                <w:sz w:val="22"/>
                                <w:szCs w:val="22"/>
                                <w:bdr w:val="none" w:sz="0" w:space="0" w:color="auto" w:frame="1"/>
                              </w:rPr>
                              <w:t>century has become an integral feature in forensic medicine. Hanging is the most common method of suicide in the United Kingdom, peaking amongst those aged 45-54 years. This study examined the two methodologies at post mortem to determine if they were complimentary in identifying the cause of death in suspected hanging cases. This study examined 19 cases (mean age, 44) between January and August 2020 at the iGene CT facility in the Coroners mortuary in Stoke-on-Trent. Retrospective images produced using a ‘Siemens SOMATOM go. All CT’ scanner in a range of different parameters (e.g. KV, pitch, rotation time, slice thickness (mm), increment (mm), Kernel and window were evaluated. Post mortem reports from the external examinations at the Coroners mortuary were anonymised and made available for analyses in comparison to the PMCT data. Tabulated parameters of the written statements as qualitative data were generated and evaluated using descriptive statistical analyses. There are case examples where PMCT is the superior methodology in identifying and interpreting fracture of the hyoid bone where post mortem external presentation showed inconsistencies. From the data available from the 19 cases in 2020, this suggests that PMCT is complimentary to the current conventional method of the external post mortem examination to more confidently identify neck trauma in suspected hanging cases. The documentation and clinical terminology used in reporting post mortem neck trauma findings requires the development of best practice guidelines to make reporting more consistent.</w:t>
                            </w:r>
                          </w:p>
                          <w:p w14:paraId="63200A92" w14:textId="77777777" w:rsidR="00C16684" w:rsidRDefault="00C16684" w:rsidP="00C16684">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576CDE4" id="Rectangle 2" o:spid="_x0000_s1031" style="position:absolute;margin-left:-53.45pt;margin-top:188.75pt;width:267.25pt;height:566.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" fillcolor="#efefd0 [3206]" strokecolor="#04282a [1604]" strokeweight="1.5pt">
                <v:stroke endcap="round"/>
                <v:textbox>
                  <w:txbxContent>
                    <w:p w14:paraId="1D0F34BA" w14:textId="7DCCA0B2" w:rsidR="00714123" w:rsidRPr="009E4F4B" w:rsidRDefault="00714123" w:rsidP="00714123">
                      <w:pPr>
                        <w:pStyle w:val="xmsonormal"/>
                        <w:spacing w:before="0" w:beforeAutospacing="0" w:after="0" w:afterAutospacing="0"/>
                        <w:jc w:val="center"/>
                        <w:rPr>
                          <w:rFonts w:ascii="Century Gothic" w:hAnsi="Century Gothic" w:cstheme="minorHAnsi"/>
                          <w:b/>
                          <w:color w:val="000000"/>
                          <w:sz w:val="22"/>
                          <w:szCs w:val="22"/>
                          <w:bdr w:val="none" w:sz="0" w:space="0" w:color="auto" w:frame="1"/>
                        </w:rPr>
                      </w:pPr>
                      <w:r w:rsidRPr="009E4F4B">
                        <w:rPr>
                          <w:rFonts w:ascii="Century Gothic" w:hAnsi="Century Gothic" w:cstheme="minorHAnsi"/>
                          <w:b/>
                          <w:color w:val="000000"/>
                          <w:sz w:val="22"/>
                          <w:szCs w:val="22"/>
                          <w:bdr w:val="none" w:sz="0" w:space="0" w:color="auto" w:frame="1"/>
                        </w:rPr>
                        <w:t>Abstract:</w:t>
                      </w:r>
                    </w:p>
                    <w:p w14:paraId="69B5BCE6" w14:textId="37BED56A" w:rsidR="00C16684" w:rsidRPr="00C16684" w:rsidRDefault="00C16684" w:rsidP="00714123">
                      <w:pPr>
                        <w:pStyle w:val="xmsonormal"/>
                        <w:spacing w:before="0" w:beforeAutospacing="0" w:after="0" w:afterAutospacing="0"/>
                        <w:jc w:val="center"/>
                        <w:rPr>
                          <w:rFonts w:ascii="Century Gothic" w:hAnsi="Century Gothic" w:cstheme="minorHAnsi"/>
                          <w:color w:val="000000"/>
                          <w:sz w:val="22"/>
                          <w:szCs w:val="22"/>
                        </w:rPr>
                      </w:pPr>
                      <w:r w:rsidRPr="00C16684">
                        <w:rPr>
                          <w:rFonts w:ascii="Century Gothic" w:hAnsi="Century Gothic" w:cstheme="minorHAnsi"/>
                          <w:color w:val="000000"/>
                          <w:sz w:val="22"/>
                          <w:szCs w:val="22"/>
                          <w:bdr w:val="none" w:sz="0" w:space="0" w:color="auto" w:frame="1"/>
                        </w:rPr>
                        <w:t>Post mortem Computed Tomography (PMCT) in the 21</w:t>
                      </w:r>
                      <w:r w:rsidRPr="00C16684">
                        <w:rPr>
                          <w:rFonts w:ascii="Century Gothic" w:hAnsi="Century Gothic" w:cstheme="minorHAnsi"/>
                          <w:color w:val="000000"/>
                          <w:sz w:val="22"/>
                          <w:szCs w:val="22"/>
                          <w:bdr w:val="none" w:sz="0" w:space="0" w:color="auto" w:frame="1"/>
                          <w:vertAlign w:val="superscript"/>
                        </w:rPr>
                        <w:t>st</w:t>
                      </w:r>
                      <w:r w:rsidRPr="00C16684">
                        <w:rPr>
                          <w:rStyle w:val="apple-converted-space"/>
                          <w:rFonts w:ascii="Century Gothic" w:hAnsi="Century Gothic" w:cstheme="minorHAnsi"/>
                          <w:color w:val="000000"/>
                          <w:sz w:val="22"/>
                          <w:szCs w:val="22"/>
                          <w:bdr w:val="none" w:sz="0" w:space="0" w:color="auto" w:frame="1"/>
                        </w:rPr>
                        <w:t> </w:t>
                      </w:r>
                      <w:r w:rsidRPr="00C16684">
                        <w:rPr>
                          <w:rFonts w:ascii="Century Gothic" w:hAnsi="Century Gothic" w:cstheme="minorHAnsi"/>
                          <w:color w:val="000000"/>
                          <w:sz w:val="22"/>
                          <w:szCs w:val="22"/>
                          <w:bdr w:val="none" w:sz="0" w:space="0" w:color="auto" w:frame="1"/>
                        </w:rPr>
                        <w:t>century has become an integral feature in forensic medicine. Hanging is the most common method of suicide in the United Kingdom, peaking amongst those aged 45-54 years. This study examined the two methodologies at post mortem to determine if they were complimentary in identifying the cause of death in suspected hanging cases. This study examined 19 cases (mean age, 44) between January and August 2020 at the iGene CT facility in the Coroners mortuary in Stoke-on-Trent. Retrospective images produced using a ‘Siemens SOMATOM go. All CT’ scanner in a range of different parameters (e.g. KV, pitch, rotation time, slice thickness (mm), increment (mm), Kernel and window were evaluated. Post mortem reports from the external examinations at the Coroners mortuary were anonymised and made available for analyses in comparison to the PMCT data. Tabulated parameters of the written statements as qualitative data were generated and evaluated using descriptive statistical analyses. There are case examples where PMCT is the superior methodology in identifying and interpreting fracture of the hyoid bone where post mortem external presentation showed inconsistencies. From the data available from the 19 cases in 2020, this suggests that PMCT is complimentary to the current conventional method of the external post mortem examination to more confidently identify neck trauma in suspected hanging cases. The documentation and clinical terminology used in reporting post mortem neck trauma findings requires the development of best practice guidelines to make reporting more consistent.</w:t>
                      </w:r>
                    </w:p>
                    <w:p w14:paraId="63200A92" w14:textId="77777777" w:rsidR="00C16684" w:rsidRDefault="00C16684" w:rsidP="00C16684">
                      <w:pPr>
                        <w:jc w:val="center"/>
                      </w:pPr>
                    </w:p>
                  </w:txbxContent>
                </v:textbox>
              </v:rect>
            </w:pict>
          </mc:Fallback>
        </mc:AlternateContent>
      </w:r>
    </w:p>
    <w:sectPr w:rsidR="00DD7348" w:rsidSect="00A111BC">
      <w:headerReference w:type="even" r:id="rId9"/>
      <w:headerReference w:type="default" r:id="rId10"/>
      <w:footerReference w:type="even" r:id="rId11"/>
      <w:footerReference w:type="default" r:id="rId12"/>
      <w:headerReference w:type="first" r:id="rId13"/>
      <w:footerReference w:type="first" r:id="rId14"/>
      <w:pgSz w:w="11900" w:h="16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AFBD22A" w14:textId="77777777" w:rsidR="00B4311E" w:rsidRDefault="00B4311E" w:rsidP="00714123">
      <w:r>
        <w:separator/>
      </w:r>
    </w:p>
  </w:endnote>
  <w:endnote w:type="continuationSeparator" w:id="0">
    <w:p w14:paraId="0CF20A0A" w14:textId="77777777" w:rsidR="00B4311E" w:rsidRDefault="00B4311E" w:rsidP="007141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A00002EF" w:usb1="4000207B" w:usb2="00000000" w:usb3="00000000" w:csb0="0000009F" w:csb1="00000000"/>
  </w:font>
  <w:font w:name="FZYaoTi">
    <w:altName w:val="方正姚体"/>
    <w:panose1 w:val="020B0604020202020204"/>
    <w:charset w:val="86"/>
    <w:family w:val="auto"/>
    <w:pitch w:val="variable"/>
    <w:sig w:usb0="00000003" w:usb1="080E0000" w:usb2="00000010" w:usb3="00000000" w:csb0="00040000" w:csb1="00000000"/>
  </w:font>
  <w:font w:name="STXinwei">
    <w:panose1 w:val="02010800040101010101"/>
    <w:charset w:val="86"/>
    <w:family w:val="auto"/>
    <w:pitch w:val="variable"/>
    <w:sig w:usb0="00000001" w:usb1="080F0000" w:usb2="0000001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94807C" w14:textId="77777777" w:rsidR="00714123" w:rsidRDefault="0071412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58B5FBC" w14:textId="77777777" w:rsidR="00714123" w:rsidRDefault="0071412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4C897E" w14:textId="77777777" w:rsidR="00714123" w:rsidRDefault="0071412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EF107E4" w14:textId="77777777" w:rsidR="00B4311E" w:rsidRDefault="00B4311E" w:rsidP="00714123">
      <w:r>
        <w:separator/>
      </w:r>
    </w:p>
  </w:footnote>
  <w:footnote w:type="continuationSeparator" w:id="0">
    <w:p w14:paraId="5357F2EE" w14:textId="77777777" w:rsidR="00B4311E" w:rsidRDefault="00B4311E" w:rsidP="007141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F8BD8A" w14:textId="77777777" w:rsidR="00714123" w:rsidRDefault="0071412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43200A" w14:textId="77777777" w:rsidR="00714123" w:rsidRDefault="0071412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503D22" w14:textId="77777777" w:rsidR="00714123" w:rsidRDefault="0071412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D831FC"/>
    <w:multiLevelType w:val="hybridMultilevel"/>
    <w:tmpl w:val="986A97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0"/>
  <w:displayBackgroundShap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5336"/>
    <w:rsid w:val="00013DE0"/>
    <w:rsid w:val="00041C98"/>
    <w:rsid w:val="00166445"/>
    <w:rsid w:val="00187AD1"/>
    <w:rsid w:val="001B3C8F"/>
    <w:rsid w:val="003826BF"/>
    <w:rsid w:val="003B3D1F"/>
    <w:rsid w:val="00421301"/>
    <w:rsid w:val="0045312C"/>
    <w:rsid w:val="00587D7E"/>
    <w:rsid w:val="006B046C"/>
    <w:rsid w:val="00714123"/>
    <w:rsid w:val="007C26A4"/>
    <w:rsid w:val="00847438"/>
    <w:rsid w:val="008C363D"/>
    <w:rsid w:val="00935F42"/>
    <w:rsid w:val="009E4F4B"/>
    <w:rsid w:val="00A111BC"/>
    <w:rsid w:val="00AA3180"/>
    <w:rsid w:val="00B4311E"/>
    <w:rsid w:val="00C16684"/>
    <w:rsid w:val="00C45336"/>
    <w:rsid w:val="00CD006C"/>
    <w:rsid w:val="00D44031"/>
    <w:rsid w:val="00D51825"/>
    <w:rsid w:val="00E83CCB"/>
    <w:rsid w:val="00EC0E47"/>
    <w:rsid w:val="00EE759E"/>
    <w:rsid w:val="00F34A3A"/>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88221B"/>
  <w14:defaultImageDpi w14:val="32767"/>
  <w15:chartTrackingRefBased/>
  <w15:docId w15:val="{E4200729-BA88-634C-A20C-2304AEFA22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xmsonormal">
    <w:name w:val="x_msonormal"/>
    <w:basedOn w:val="Normal"/>
    <w:rsid w:val="00C45336"/>
    <w:pPr>
      <w:spacing w:before="100" w:beforeAutospacing="1" w:after="100" w:afterAutospacing="1"/>
    </w:pPr>
    <w:rPr>
      <w:rFonts w:ascii="Times New Roman" w:eastAsia="Times New Roman" w:hAnsi="Times New Roman" w:cs="Times New Roman"/>
    </w:rPr>
  </w:style>
  <w:style w:type="character" w:customStyle="1" w:styleId="apple-converted-space">
    <w:name w:val="apple-converted-space"/>
    <w:basedOn w:val="DefaultParagraphFont"/>
    <w:rsid w:val="00C16684"/>
  </w:style>
  <w:style w:type="paragraph" w:styleId="Header">
    <w:name w:val="header"/>
    <w:basedOn w:val="Normal"/>
    <w:link w:val="HeaderChar"/>
    <w:uiPriority w:val="99"/>
    <w:unhideWhenUsed/>
    <w:rsid w:val="00714123"/>
    <w:pPr>
      <w:tabs>
        <w:tab w:val="center" w:pos="4680"/>
        <w:tab w:val="right" w:pos="9360"/>
      </w:tabs>
    </w:pPr>
  </w:style>
  <w:style w:type="character" w:customStyle="1" w:styleId="HeaderChar">
    <w:name w:val="Header Char"/>
    <w:basedOn w:val="DefaultParagraphFont"/>
    <w:link w:val="Header"/>
    <w:uiPriority w:val="99"/>
    <w:rsid w:val="00714123"/>
  </w:style>
  <w:style w:type="paragraph" w:styleId="Footer">
    <w:name w:val="footer"/>
    <w:basedOn w:val="Normal"/>
    <w:link w:val="FooterChar"/>
    <w:uiPriority w:val="99"/>
    <w:unhideWhenUsed/>
    <w:rsid w:val="00714123"/>
    <w:pPr>
      <w:tabs>
        <w:tab w:val="center" w:pos="4680"/>
        <w:tab w:val="right" w:pos="9360"/>
      </w:tabs>
    </w:pPr>
  </w:style>
  <w:style w:type="character" w:customStyle="1" w:styleId="FooterChar">
    <w:name w:val="Footer Char"/>
    <w:basedOn w:val="DefaultParagraphFont"/>
    <w:link w:val="Footer"/>
    <w:uiPriority w:val="99"/>
    <w:rsid w:val="00714123"/>
  </w:style>
  <w:style w:type="paragraph" w:styleId="ListParagraph">
    <w:name w:val="List Paragraph"/>
    <w:basedOn w:val="Normal"/>
    <w:uiPriority w:val="34"/>
    <w:qFormat/>
    <w:rsid w:val="006B046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Facet">
  <a:themeElements>
    <a:clrScheme name="Coolors Custom">
      <a:dk1>
        <a:sysClr val="windowText" lastClr="000000"/>
      </a:dk1>
      <a:lt1>
        <a:sysClr val="window" lastClr="FFFFFF"/>
      </a:lt1>
      <a:dk2>
        <a:srgbClr val="44546A"/>
      </a:dk2>
      <a:lt2>
        <a:srgbClr val="E7E6E6"/>
      </a:lt2>
      <a:accent1>
        <a:srgbClr val="095256"/>
      </a:accent1>
      <a:accent2>
        <a:srgbClr val="717744"/>
      </a:accent2>
      <a:accent3>
        <a:srgbClr val="EFEFD0"/>
      </a:accent3>
      <a:accent4>
        <a:srgbClr val="603A40"/>
      </a:accent4>
      <a:accent5>
        <a:srgbClr val="D7907B"/>
      </a:accent5>
      <a:accent6>
        <a:srgbClr val="C5BAAF"/>
      </a:accent6>
      <a:hlink>
        <a:srgbClr val="0563C1"/>
      </a:hlink>
      <a:folHlink>
        <a:srgbClr val="954F72"/>
      </a:folHlink>
    </a:clrScheme>
    <a:fontScheme name="Facet">
      <a:majorFont>
        <a:latin typeface="Trebuchet MS" panose="020B0603020202020204"/>
        <a:ea typeface=""/>
        <a:cs typeface=""/>
        <a:font script="Jpan" typeface="メイリオ"/>
        <a:font script="Hang" typeface="맑은 고딕"/>
        <a:font script="Hans" typeface="方正姚体"/>
        <a:font script="Hant" typeface="微軟正黑體"/>
        <a:font script="Arab" typeface="Tahoma"/>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Trebuchet MS" panose="020B0603020202020204"/>
        <a:ea typeface=""/>
        <a:cs typeface=""/>
        <a:font script="Jpan" typeface="メイリオ"/>
        <a:font script="Hang" typeface="HY그래픽M"/>
        <a:font script="Hans" typeface="华文新魏"/>
        <a:font script="Hant" typeface="微軟正黑體"/>
        <a:font script="Arab" typeface="Tahoma"/>
        <a:font script="Hebr" typeface="Gisha"/>
        <a:font script="Thai" typeface="Iris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Facet">
      <a:fillStyleLst>
        <a:solidFill>
          <a:schemeClr val="phClr"/>
        </a:solidFill>
        <a:gradFill rotWithShape="1">
          <a:gsLst>
            <a:gs pos="0">
              <a:schemeClr val="phClr">
                <a:tint val="65000"/>
                <a:lumMod val="110000"/>
              </a:schemeClr>
            </a:gs>
            <a:gs pos="88000">
              <a:schemeClr val="phClr">
                <a:tint val="90000"/>
              </a:schemeClr>
            </a:gs>
          </a:gsLst>
          <a:lin ang="5400000" scaled="0"/>
        </a:gradFill>
        <a:gradFill rotWithShape="1">
          <a:gsLst>
            <a:gs pos="0">
              <a:schemeClr val="phClr">
                <a:tint val="96000"/>
                <a:lumMod val="100000"/>
              </a:schemeClr>
            </a:gs>
            <a:gs pos="78000">
              <a:schemeClr val="phClr">
                <a:shade val="94000"/>
                <a:lumMod val="94000"/>
              </a:schemeClr>
            </a:gs>
          </a:gsLst>
          <a:lin ang="5400000" scaled="0"/>
        </a:gradFill>
      </a:fillStyleLst>
      <a:lnStyleLst>
        <a:ln w="12700" cap="rnd" cmpd="sng" algn="ctr">
          <a:solidFill>
            <a:schemeClr val="phClr"/>
          </a:solidFill>
          <a:prstDash val="solid"/>
        </a:ln>
        <a:ln w="19050" cap="rnd" cmpd="sng" algn="ctr">
          <a:solidFill>
            <a:schemeClr val="phClr"/>
          </a:solidFill>
          <a:prstDash val="solid"/>
        </a:ln>
        <a:ln w="25400" cap="rnd" cmpd="sng" algn="ctr">
          <a:solidFill>
            <a:schemeClr val="phClr"/>
          </a:solidFill>
          <a:prstDash val="solid"/>
        </a:ln>
      </a:lnStyleLst>
      <a:effectStyleLst>
        <a:effectStyle>
          <a:effectLst/>
        </a:effectStyle>
        <a:effectStyle>
          <a:effectLst>
            <a:outerShdw blurRad="38100" dist="25400" dir="5400000" rotWithShape="0">
              <a:srgbClr val="000000">
                <a:alpha val="35000"/>
              </a:srgbClr>
            </a:outerShdw>
          </a:effectLst>
        </a:effectStyle>
        <a:effectStyle>
          <a:effectLst>
            <a:outerShdw blurRad="50800" dist="38100" dir="5400000" rotWithShape="0">
              <a:srgbClr val="000000">
                <a:alpha val="35000"/>
              </a:srgbClr>
            </a:outerShdw>
          </a:effectLst>
          <a:scene3d>
            <a:camera prst="orthographicFront">
              <a:rot lat="0" lon="0" rev="0"/>
            </a:camera>
            <a:lightRig rig="threePt" dir="tl"/>
          </a:scene3d>
          <a:sp3d prstMaterial="plastic">
            <a:bevelT w="0" h="0"/>
          </a:sp3d>
        </a:effectStyle>
      </a:effectStyleLst>
      <a:bgFillStyleLst>
        <a:solidFill>
          <a:schemeClr val="phClr"/>
        </a:solidFill>
        <a:gradFill rotWithShape="1">
          <a:gsLst>
            <a:gs pos="0">
              <a:schemeClr val="phClr">
                <a:tint val="90000"/>
                <a:lumMod val="104000"/>
              </a:schemeClr>
            </a:gs>
            <a:gs pos="94000">
              <a:schemeClr val="phClr">
                <a:shade val="96000"/>
                <a:lumMod val="82000"/>
              </a:schemeClr>
            </a:gs>
          </a:gsLst>
          <a:lin ang="5400000" scaled="0"/>
        </a:gradFill>
        <a:gradFill rotWithShape="1">
          <a:gsLst>
            <a:gs pos="0">
              <a:schemeClr val="phClr">
                <a:tint val="90000"/>
                <a:lumMod val="110000"/>
              </a:schemeClr>
            </a:gs>
            <a:gs pos="100000">
              <a:schemeClr val="phClr">
                <a:shade val="94000"/>
                <a:lumMod val="96000"/>
              </a:schemeClr>
            </a:gs>
          </a:gsLst>
          <a:path path="circle">
            <a:fillToRect l="50000" t="50000" r="100000" b="100000"/>
          </a:path>
        </a:gradFill>
      </a:bgFillStyleLst>
    </a:fmtScheme>
  </a:themeElements>
  <a:objectDefaults/>
  <a:extraClrSchemeLst/>
  <a:extLst>
    <a:ext uri="{05A4C25C-085E-4340-85A3-A5531E510DB2}">
      <thm15:themeFamily xmlns:thm15="http://schemas.microsoft.com/office/thememl/2012/main" name="Facet" id="{C0C680CD-088A-49FC-A102-D699147F32B2}" vid="{CFBC31BA-B70F-4F30-BCAA-4F3011E16C4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D6ADDF5-829C-A542-A562-7F055169AA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1</Words>
  <Characters>7</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 CHEW</dc:creator>
  <cp:keywords/>
  <dc:description/>
  <cp:lastModifiedBy>Dani CHEW</cp:lastModifiedBy>
  <cp:revision>2</cp:revision>
  <dcterms:created xsi:type="dcterms:W3CDTF">2022-06-05T11:42:00Z</dcterms:created>
  <dcterms:modified xsi:type="dcterms:W3CDTF">2022-06-05T11:42:00Z</dcterms:modified>
</cp:coreProperties>
</file>