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8D1" w:rsidRPr="007900B0" w:rsidRDefault="007B08D1" w:rsidP="007B08D1">
      <w:pPr>
        <w:pStyle w:val="Heading3"/>
        <w:spacing w:line="360" w:lineRule="auto"/>
        <w:ind w:left="720" w:right="4"/>
        <w:jc w:val="both"/>
        <w:rPr>
          <w:rFonts w:ascii="Times New Roman" w:hAnsi="Times New Roman" w:cs="Times New Roman"/>
          <w:color w:val="000000"/>
          <w:sz w:val="24"/>
          <w:szCs w:val="24"/>
        </w:rPr>
      </w:pPr>
      <w:r w:rsidRPr="007900B0">
        <w:rPr>
          <w:rFonts w:ascii="Times New Roman" w:hAnsi="Times New Roman" w:cs="Times New Roman"/>
          <w:color w:val="000000"/>
          <w:w w:val="110"/>
          <w:sz w:val="24"/>
          <w:szCs w:val="24"/>
        </w:rPr>
        <w:t>A mini review on different antigens used as vaccine candidates against leishmaniasis</w:t>
      </w:r>
    </w:p>
    <w:p w:rsidR="007B08D1" w:rsidRPr="007900B0" w:rsidRDefault="007B08D1" w:rsidP="00D07D31">
      <w:pPr>
        <w:pStyle w:val="BodyText"/>
        <w:spacing w:before="73" w:line="198" w:lineRule="exact"/>
        <w:ind w:left="100" w:right="5987"/>
        <w:rPr>
          <w:rFonts w:ascii="Times New Roman" w:hAnsi="Times New Roman"/>
          <w:sz w:val="24"/>
          <w:szCs w:val="24"/>
        </w:rPr>
      </w:pPr>
      <w:r w:rsidRPr="007900B0">
        <w:rPr>
          <w:rFonts w:ascii="Times New Roman" w:hAnsi="Times New Roman"/>
          <w:sz w:val="24"/>
          <w:szCs w:val="24"/>
        </w:rPr>
        <w:t xml:space="preserve">Harpreet Kaur, </w:t>
      </w:r>
      <w:r w:rsidRPr="007900B0">
        <w:rPr>
          <w:rFonts w:ascii="Times New Roman" w:hAnsi="Times New Roman"/>
          <w:color w:val="000000"/>
          <w:w w:val="115"/>
          <w:sz w:val="24"/>
          <w:szCs w:val="24"/>
        </w:rPr>
        <w:t>UIBT-Biosciences, Chandigarh University, Gharaun, Mohali</w:t>
      </w:r>
    </w:p>
    <w:p w:rsidR="007B08D1" w:rsidRDefault="007B08D1" w:rsidP="00D07D31">
      <w:pPr>
        <w:rPr>
          <w:rFonts w:ascii="Arial"/>
          <w:sz w:val="21"/>
        </w:rPr>
        <w:sectPr w:rsidR="007B08D1" w:rsidSect="007B08D1">
          <w:headerReference w:type="default" r:id="rId7"/>
          <w:footerReference w:type="default" r:id="rId8"/>
          <w:pgSz w:w="11910" w:h="16840"/>
          <w:pgMar w:top="1740" w:right="600" w:bottom="840" w:left="620" w:header="541" w:footer="642" w:gutter="0"/>
          <w:cols w:space="720"/>
        </w:sectPr>
      </w:pPr>
    </w:p>
    <w:p w:rsidR="007B08D1" w:rsidRDefault="007B08D1" w:rsidP="007B08D1">
      <w:pPr>
        <w:pStyle w:val="Heading3"/>
        <w:spacing w:before="147"/>
        <w:jc w:val="both"/>
      </w:pPr>
      <w:r>
        <w:rPr>
          <w:color w:val="BF5A14"/>
        </w:rPr>
        <w:lastRenderedPageBreak/>
        <w:t>Abstract (300 word limit)</w:t>
      </w:r>
    </w:p>
    <w:p w:rsidR="007B08D1" w:rsidRPr="007900B0" w:rsidRDefault="007B08D1" w:rsidP="007B08D1">
      <w:pPr>
        <w:spacing w:before="146" w:line="360" w:lineRule="auto"/>
        <w:ind w:left="224" w:right="222" w:firstLine="451"/>
        <w:jc w:val="both"/>
        <w:rPr>
          <w:rFonts w:ascii="Times New Roman" w:hAnsi="Times New Roman" w:cs="Times New Roman"/>
          <w:color w:val="000000"/>
          <w:sz w:val="20"/>
          <w:szCs w:val="20"/>
        </w:rPr>
      </w:pPr>
      <w:r w:rsidRPr="007900B0">
        <w:rPr>
          <w:rFonts w:ascii="Times New Roman" w:hAnsi="Times New Roman" w:cs="Times New Roman"/>
          <w:color w:val="000000"/>
          <w:sz w:val="20"/>
          <w:szCs w:val="20"/>
        </w:rPr>
        <w:t>Leishmaniasis is a set of diseases caused by parasites of genus Leishmania and are transmitted by bite of infected female phlebotomine sandfly. The disease ranges from skin lesions to fatal systemic infection. The present treatment of the disease relies on few drugs with serious limitations.So, presently vaccination remains the best hope for control of all forms of the disease. There are many antigens which have been identified in the past like (CP)B and</w:t>
      </w:r>
      <w:r w:rsidRPr="007900B0">
        <w:rPr>
          <w:rFonts w:ascii="Times New Roman" w:hAnsi="Times New Roman" w:cs="Times New Roman"/>
          <w:color w:val="000000"/>
          <w:spacing w:val="-6"/>
          <w:sz w:val="20"/>
          <w:szCs w:val="20"/>
        </w:rPr>
        <w:t xml:space="preserve"> CP,</w:t>
      </w:r>
      <w:r w:rsidRPr="007900B0">
        <w:rPr>
          <w:rFonts w:ascii="Times New Roman" w:hAnsi="Times New Roman" w:cs="Times New Roman"/>
          <w:color w:val="000000"/>
          <w:sz w:val="20"/>
          <w:szCs w:val="20"/>
        </w:rPr>
        <w:t xml:space="preserve"> gp63,HASPB1, LCR1 p36/LACK, PSA-2, </w:t>
      </w:r>
      <w:r w:rsidRPr="007900B0">
        <w:rPr>
          <w:rFonts w:ascii="Times New Roman" w:hAnsi="Times New Roman" w:cs="Times New Roman"/>
          <w:color w:val="000000"/>
          <w:spacing w:val="-5"/>
          <w:sz w:val="20"/>
          <w:szCs w:val="20"/>
        </w:rPr>
        <w:t xml:space="preserve">LeIF, </w:t>
      </w:r>
      <w:r w:rsidRPr="007900B0">
        <w:rPr>
          <w:rFonts w:ascii="Times New Roman" w:hAnsi="Times New Roman" w:cs="Times New Roman"/>
          <w:color w:val="000000"/>
          <w:sz w:val="20"/>
          <w:szCs w:val="20"/>
        </w:rPr>
        <w:t xml:space="preserve">LmSTI1 and TSA and they have induced protection against the parasite, although very few of these have attained a degree to make them potential candidates for </w:t>
      </w:r>
      <w:r w:rsidRPr="007900B0">
        <w:rPr>
          <w:rFonts w:ascii="Times New Roman" w:hAnsi="Times New Roman" w:cs="Times New Roman"/>
          <w:color w:val="000000"/>
          <w:spacing w:val="3"/>
          <w:sz w:val="20"/>
          <w:szCs w:val="20"/>
        </w:rPr>
        <w:t xml:space="preserve">single-antigen vaccines. Till date, more than 5 viral-recombinant vaccines coding for effective antigens such as KMP-11, LACK, Leish-F3 and HASPB, have been tested in the pre-clinical context for both CL and VL, with promising results obtained in all animal models used (mice, dogs and macaques). The adenoviral-based vaccine (non-replicative strain) expressing a self-cleaving polyprotein (L. donovani KMP-11+HASPB) has been found safe and immunogenic in humans. </w:t>
      </w:r>
      <w:r w:rsidRPr="007900B0">
        <w:rPr>
          <w:rFonts w:ascii="Times New Roman" w:hAnsi="Times New Roman" w:cs="Times New Roman"/>
          <w:color w:val="000000"/>
          <w:spacing w:val="2"/>
          <w:sz w:val="20"/>
          <w:szCs w:val="20"/>
        </w:rPr>
        <w:t xml:space="preserve">This review will summarize the accumulated knowledge of those </w:t>
      </w:r>
      <w:r w:rsidRPr="007900B0">
        <w:rPr>
          <w:rFonts w:ascii="Times New Roman" w:hAnsi="Times New Roman" w:cs="Times New Roman"/>
          <w:color w:val="000000"/>
          <w:spacing w:val="3"/>
          <w:sz w:val="20"/>
          <w:szCs w:val="20"/>
        </w:rPr>
        <w:t xml:space="preserve">antigens </w:t>
      </w:r>
      <w:r w:rsidRPr="007900B0">
        <w:rPr>
          <w:rFonts w:ascii="Times New Roman" w:hAnsi="Times New Roman" w:cs="Times New Roman"/>
          <w:color w:val="000000"/>
          <w:spacing w:val="2"/>
          <w:sz w:val="20"/>
          <w:szCs w:val="20"/>
        </w:rPr>
        <w:t xml:space="preserve">which </w:t>
      </w:r>
      <w:r w:rsidRPr="007900B0">
        <w:rPr>
          <w:rFonts w:ascii="Times New Roman" w:hAnsi="Times New Roman" w:cs="Times New Roman"/>
          <w:color w:val="000000"/>
          <w:spacing w:val="3"/>
          <w:sz w:val="20"/>
          <w:szCs w:val="20"/>
        </w:rPr>
        <w:t xml:space="preserve">have been </w:t>
      </w:r>
      <w:r w:rsidRPr="007900B0">
        <w:rPr>
          <w:rFonts w:ascii="Times New Roman" w:hAnsi="Times New Roman" w:cs="Times New Roman"/>
          <w:color w:val="000000"/>
          <w:spacing w:val="2"/>
          <w:sz w:val="20"/>
          <w:szCs w:val="20"/>
        </w:rPr>
        <w:t xml:space="preserve">used </w:t>
      </w:r>
      <w:r w:rsidRPr="007900B0">
        <w:rPr>
          <w:rFonts w:ascii="Times New Roman" w:hAnsi="Times New Roman" w:cs="Times New Roman"/>
          <w:color w:val="000000"/>
          <w:sz w:val="20"/>
          <w:szCs w:val="20"/>
        </w:rPr>
        <w:t xml:space="preserve">as </w:t>
      </w:r>
      <w:r w:rsidRPr="007900B0">
        <w:rPr>
          <w:rFonts w:ascii="Times New Roman" w:hAnsi="Times New Roman" w:cs="Times New Roman"/>
          <w:color w:val="000000"/>
          <w:spacing w:val="3"/>
          <w:sz w:val="20"/>
          <w:szCs w:val="20"/>
        </w:rPr>
        <w:t xml:space="preserve">vaccine </w:t>
      </w:r>
      <w:r w:rsidRPr="007900B0">
        <w:rPr>
          <w:rFonts w:ascii="Times New Roman" w:hAnsi="Times New Roman" w:cs="Times New Roman"/>
          <w:color w:val="000000"/>
          <w:sz w:val="20"/>
          <w:szCs w:val="20"/>
        </w:rPr>
        <w:t xml:space="preserve">candidates against leishmaniasis till now. </w:t>
      </w:r>
      <w:r>
        <w:rPr>
          <w:rFonts w:ascii="Times New Roman" w:hAnsi="Times New Roman" w:cs="Times New Roman"/>
          <w:color w:val="000000"/>
          <w:sz w:val="20"/>
          <w:szCs w:val="20"/>
        </w:rPr>
        <w:t>I</w:t>
      </w:r>
      <w:r w:rsidRPr="007900B0">
        <w:rPr>
          <w:rFonts w:ascii="Times New Roman" w:hAnsi="Times New Roman" w:cs="Times New Roman"/>
          <w:color w:val="000000"/>
          <w:sz w:val="20"/>
          <w:szCs w:val="20"/>
        </w:rPr>
        <w:t xml:space="preserve"> will discuss some of the potential vaccine candidates and future visions in a pursuitfor rational vaccine progress against the disease.</w:t>
      </w:r>
    </w:p>
    <w:p w:rsidR="007B08D1" w:rsidRPr="007900B0" w:rsidRDefault="007B08D1" w:rsidP="007B08D1">
      <w:pPr>
        <w:pStyle w:val="BodyText"/>
        <w:spacing w:before="90" w:line="280" w:lineRule="auto"/>
        <w:ind w:left="100"/>
        <w:jc w:val="both"/>
        <w:rPr>
          <w:rFonts w:ascii="Times New Roman" w:hAnsi="Times New Roman"/>
          <w:color w:val="BF5A14"/>
          <w:sz w:val="20"/>
          <w:szCs w:val="20"/>
        </w:rPr>
      </w:pPr>
      <w:r w:rsidRPr="007900B0">
        <w:rPr>
          <w:rFonts w:ascii="Times New Roman" w:hAnsi="Times New Roman"/>
          <w:sz w:val="20"/>
          <w:szCs w:val="20"/>
        </w:rPr>
        <w:lastRenderedPageBreak/>
        <w:t xml:space="preserve"> </w:t>
      </w:r>
    </w:p>
    <w:p w:rsidR="007B08D1" w:rsidRPr="007900B0" w:rsidRDefault="007B08D1" w:rsidP="007B08D1">
      <w:pPr>
        <w:spacing w:line="204" w:lineRule="exact"/>
        <w:rPr>
          <w:rFonts w:ascii="Times New Roman" w:hAnsi="Times New Roman" w:cs="Times New Roman"/>
          <w:b/>
          <w:sz w:val="20"/>
          <w:szCs w:val="20"/>
        </w:rPr>
      </w:pPr>
      <w:r w:rsidRPr="007900B0">
        <w:rPr>
          <w:rFonts w:ascii="Times New Roman" w:hAnsi="Times New Roman" w:cs="Times New Roman"/>
          <w:b/>
          <w:color w:val="BF5A14"/>
          <w:sz w:val="20"/>
          <w:szCs w:val="20"/>
        </w:rPr>
        <w:br/>
        <w:t>Recent Publications (minimum 5)</w:t>
      </w:r>
    </w:p>
    <w:p w:rsidR="007B08D1" w:rsidRPr="007900B0" w:rsidRDefault="007B08D1" w:rsidP="007B08D1">
      <w:pPr>
        <w:pStyle w:val="ListParagraph"/>
        <w:widowControl/>
        <w:numPr>
          <w:ilvl w:val="0"/>
          <w:numId w:val="1"/>
        </w:numPr>
        <w:spacing w:before="0" w:after="200" w:line="360" w:lineRule="auto"/>
        <w:ind w:left="360"/>
        <w:contextualSpacing/>
        <w:rPr>
          <w:rFonts w:ascii="Times New Roman" w:hAnsi="Times New Roman" w:cs="Times New Roman"/>
          <w:b/>
          <w:sz w:val="20"/>
          <w:szCs w:val="20"/>
        </w:rPr>
      </w:pPr>
      <w:r w:rsidRPr="007900B0">
        <w:rPr>
          <w:rFonts w:ascii="Times New Roman" w:hAnsi="Times New Roman" w:cs="Times New Roman"/>
          <w:b/>
          <w:sz w:val="20"/>
          <w:szCs w:val="20"/>
        </w:rPr>
        <w:t>Kaur H</w:t>
      </w:r>
      <w:r w:rsidRPr="007900B0">
        <w:rPr>
          <w:rFonts w:ascii="Times New Roman" w:hAnsi="Times New Roman" w:cs="Times New Roman"/>
          <w:sz w:val="20"/>
          <w:szCs w:val="20"/>
        </w:rPr>
        <w:t xml:space="preserve">, Thakur A and Kaur S (2015). Studies on cocktails of 31-kDa, 36-kDa and 51-kDa antigens of </w:t>
      </w:r>
      <w:r w:rsidRPr="007900B0">
        <w:rPr>
          <w:rFonts w:ascii="Times New Roman" w:hAnsi="Times New Roman" w:cs="Times New Roman"/>
          <w:i/>
          <w:sz w:val="20"/>
          <w:szCs w:val="20"/>
        </w:rPr>
        <w:t>Leishmania donovani</w:t>
      </w:r>
      <w:r w:rsidRPr="007900B0">
        <w:rPr>
          <w:rFonts w:ascii="Times New Roman" w:hAnsi="Times New Roman" w:cs="Times New Roman"/>
          <w:sz w:val="20"/>
          <w:szCs w:val="20"/>
        </w:rPr>
        <w:t xml:space="preserve"> along with saponin against murine visceral leishmaniasis. </w:t>
      </w:r>
      <w:r w:rsidRPr="007900B0">
        <w:rPr>
          <w:rFonts w:ascii="Times New Roman" w:hAnsi="Times New Roman" w:cs="Times New Roman"/>
          <w:b/>
          <w:sz w:val="20"/>
          <w:szCs w:val="20"/>
        </w:rPr>
        <w:t>Parasite Immunology</w:t>
      </w:r>
      <w:r w:rsidRPr="007900B0">
        <w:rPr>
          <w:rFonts w:ascii="Times New Roman" w:hAnsi="Times New Roman" w:cs="Times New Roman"/>
          <w:sz w:val="20"/>
          <w:szCs w:val="20"/>
        </w:rPr>
        <w:t xml:space="preserve">. 37: 192–203. </w:t>
      </w:r>
      <w:r w:rsidRPr="007900B0">
        <w:rPr>
          <w:rFonts w:ascii="Times New Roman" w:hAnsi="Times New Roman" w:cs="Times New Roman"/>
          <w:b/>
          <w:sz w:val="20"/>
          <w:szCs w:val="20"/>
        </w:rPr>
        <w:t>(Impact factor: 2.206).</w:t>
      </w:r>
    </w:p>
    <w:p w:rsidR="007B08D1" w:rsidRPr="007900B0" w:rsidRDefault="007B08D1" w:rsidP="007B08D1">
      <w:pPr>
        <w:pStyle w:val="ListParagraph"/>
        <w:widowControl/>
        <w:numPr>
          <w:ilvl w:val="0"/>
          <w:numId w:val="1"/>
        </w:numPr>
        <w:spacing w:before="0" w:after="200" w:line="360" w:lineRule="auto"/>
        <w:ind w:left="360"/>
        <w:contextualSpacing/>
        <w:rPr>
          <w:rFonts w:ascii="Times New Roman" w:hAnsi="Times New Roman" w:cs="Times New Roman"/>
          <w:b/>
          <w:sz w:val="20"/>
          <w:szCs w:val="20"/>
        </w:rPr>
      </w:pPr>
      <w:r w:rsidRPr="007900B0">
        <w:rPr>
          <w:rFonts w:ascii="Times New Roman" w:eastAsia="Arial Unicode MS" w:hAnsi="Times New Roman" w:cs="Times New Roman"/>
          <w:b/>
          <w:sz w:val="20"/>
          <w:szCs w:val="20"/>
        </w:rPr>
        <w:t>Kaur H,</w:t>
      </w:r>
      <w:r w:rsidRPr="007900B0">
        <w:rPr>
          <w:rFonts w:ascii="Times New Roman" w:hAnsi="Times New Roman" w:cs="Times New Roman"/>
          <w:sz w:val="20"/>
          <w:szCs w:val="20"/>
        </w:rPr>
        <w:t xml:space="preserve"> T</w:t>
      </w:r>
      <w:r w:rsidRPr="007900B0">
        <w:rPr>
          <w:rFonts w:ascii="Times New Roman" w:eastAsia="Arial Unicode MS" w:hAnsi="Times New Roman" w:cs="Times New Roman"/>
          <w:sz w:val="20"/>
          <w:szCs w:val="20"/>
        </w:rPr>
        <w:t xml:space="preserve">hakur A and Kaur S (2018). </w:t>
      </w:r>
      <w:r w:rsidRPr="007900B0">
        <w:rPr>
          <w:rFonts w:ascii="Times New Roman" w:hAnsi="Times New Roman" w:cs="Times New Roman"/>
          <w:color w:val="000000"/>
          <w:sz w:val="20"/>
          <w:szCs w:val="20"/>
          <w:shd w:val="clear" w:color="auto" w:fill="FBFBF3"/>
        </w:rPr>
        <w:t xml:space="preserve">Immunoprophylactic potential of a cocktail of three low molecular weight antigens of </w:t>
      </w:r>
      <w:r w:rsidRPr="007900B0">
        <w:rPr>
          <w:rFonts w:ascii="Times New Roman" w:hAnsi="Times New Roman" w:cs="Times New Roman"/>
          <w:i/>
          <w:color w:val="000000"/>
          <w:sz w:val="20"/>
          <w:szCs w:val="20"/>
          <w:shd w:val="clear" w:color="auto" w:fill="FBFBF3"/>
        </w:rPr>
        <w:t>Leishmania donovani</w:t>
      </w:r>
      <w:r w:rsidRPr="007900B0">
        <w:rPr>
          <w:rFonts w:ascii="Times New Roman" w:hAnsi="Times New Roman" w:cs="Times New Roman"/>
          <w:color w:val="000000"/>
          <w:sz w:val="20"/>
          <w:szCs w:val="20"/>
          <w:shd w:val="clear" w:color="auto" w:fill="FBFBF3"/>
        </w:rPr>
        <w:t xml:space="preserve"> along with various adjuvants against experimental visceral leishmaniasis. </w:t>
      </w:r>
      <w:r w:rsidRPr="007900B0">
        <w:rPr>
          <w:rFonts w:ascii="Times New Roman" w:hAnsi="Times New Roman" w:cs="Times New Roman"/>
          <w:b/>
          <w:color w:val="000000"/>
          <w:sz w:val="20"/>
          <w:szCs w:val="20"/>
          <w:shd w:val="clear" w:color="auto" w:fill="FBFBF3"/>
        </w:rPr>
        <w:t>Iranian Journal of Parasitology.</w:t>
      </w:r>
      <w:r w:rsidRPr="007900B0">
        <w:rPr>
          <w:rFonts w:ascii="Times New Roman" w:hAnsi="Times New Roman" w:cs="Times New Roman"/>
          <w:color w:val="000000"/>
          <w:sz w:val="20"/>
          <w:szCs w:val="20"/>
          <w:shd w:val="clear" w:color="auto" w:fill="FBFBF3"/>
        </w:rPr>
        <w:t xml:space="preserve"> 13(1): 11-23.</w:t>
      </w:r>
      <w:r w:rsidRPr="007900B0">
        <w:rPr>
          <w:rFonts w:ascii="Times New Roman" w:hAnsi="Times New Roman" w:cs="Times New Roman"/>
          <w:b/>
          <w:sz w:val="20"/>
          <w:szCs w:val="20"/>
        </w:rPr>
        <w:t xml:space="preserve"> (Impact factor: 1.217)</w:t>
      </w:r>
    </w:p>
    <w:p w:rsidR="007B08D1" w:rsidRPr="007900B0" w:rsidRDefault="007B08D1" w:rsidP="007B08D1">
      <w:pPr>
        <w:pStyle w:val="ListParagraph"/>
        <w:widowControl/>
        <w:numPr>
          <w:ilvl w:val="0"/>
          <w:numId w:val="1"/>
        </w:numPr>
        <w:spacing w:before="0" w:after="200" w:line="360" w:lineRule="auto"/>
        <w:ind w:left="360"/>
        <w:contextualSpacing/>
        <w:rPr>
          <w:rFonts w:ascii="Times New Roman" w:hAnsi="Times New Roman" w:cs="Times New Roman"/>
          <w:b/>
          <w:sz w:val="20"/>
          <w:szCs w:val="20"/>
        </w:rPr>
      </w:pPr>
      <w:r w:rsidRPr="007900B0">
        <w:rPr>
          <w:rFonts w:ascii="Times New Roman" w:hAnsi="Times New Roman" w:cs="Times New Roman"/>
          <w:sz w:val="20"/>
          <w:szCs w:val="20"/>
        </w:rPr>
        <w:t xml:space="preserve">Thakur A, </w:t>
      </w:r>
      <w:r w:rsidRPr="007900B0">
        <w:rPr>
          <w:rFonts w:ascii="Times New Roman" w:hAnsi="Times New Roman" w:cs="Times New Roman"/>
          <w:b/>
          <w:sz w:val="20"/>
          <w:szCs w:val="20"/>
        </w:rPr>
        <w:t>Kaur H</w:t>
      </w:r>
      <w:r w:rsidRPr="007900B0">
        <w:rPr>
          <w:rFonts w:ascii="Times New Roman" w:hAnsi="Times New Roman" w:cs="Times New Roman"/>
          <w:sz w:val="20"/>
          <w:szCs w:val="20"/>
        </w:rPr>
        <w:t xml:space="preserve"> and Kaur S (2014).</w:t>
      </w:r>
      <w:r w:rsidRPr="007900B0">
        <w:rPr>
          <w:rFonts w:ascii="Times New Roman" w:hAnsi="Times New Roman" w:cs="Times New Roman"/>
          <w:bCs/>
          <w:sz w:val="20"/>
          <w:szCs w:val="20"/>
        </w:rPr>
        <w:t xml:space="preserve">Evaluation of the immunogenicity and protective efficacy of Killed </w:t>
      </w:r>
      <w:r w:rsidRPr="007900B0">
        <w:rPr>
          <w:rFonts w:ascii="Times New Roman" w:hAnsi="Times New Roman" w:cs="Times New Roman"/>
          <w:bCs/>
          <w:i/>
          <w:iCs/>
          <w:sz w:val="20"/>
          <w:szCs w:val="20"/>
        </w:rPr>
        <w:t xml:space="preserve">Leishmania donovani </w:t>
      </w:r>
      <w:r w:rsidRPr="007900B0">
        <w:rPr>
          <w:rFonts w:ascii="Times New Roman" w:hAnsi="Times New Roman" w:cs="Times New Roman"/>
          <w:bCs/>
          <w:sz w:val="20"/>
          <w:szCs w:val="20"/>
        </w:rPr>
        <w:t xml:space="preserve">antigen along with differentadjuvants against experimental visceral leishmaniasis. </w:t>
      </w:r>
      <w:r w:rsidRPr="007900B0">
        <w:rPr>
          <w:rFonts w:ascii="Times New Roman" w:hAnsi="Times New Roman" w:cs="Times New Roman"/>
          <w:b/>
          <w:bCs/>
          <w:sz w:val="20"/>
          <w:szCs w:val="20"/>
        </w:rPr>
        <w:t>Medical Microbiology and Immunology</w:t>
      </w:r>
      <w:r w:rsidRPr="007900B0">
        <w:rPr>
          <w:rFonts w:ascii="Times New Roman" w:hAnsi="Times New Roman" w:cs="Times New Roman"/>
          <w:bCs/>
          <w:sz w:val="20"/>
          <w:szCs w:val="20"/>
        </w:rPr>
        <w:t xml:space="preserve">. </w:t>
      </w:r>
      <w:r w:rsidRPr="007900B0">
        <w:rPr>
          <w:rFonts w:ascii="Times New Roman" w:hAnsi="Times New Roman" w:cs="Times New Roman"/>
          <w:sz w:val="20"/>
          <w:szCs w:val="20"/>
        </w:rPr>
        <w:t>204(4):539-50</w:t>
      </w:r>
      <w:r w:rsidRPr="007900B0">
        <w:rPr>
          <w:rFonts w:ascii="Times New Roman" w:hAnsi="Times New Roman" w:cs="Times New Roman"/>
          <w:b/>
          <w:sz w:val="20"/>
          <w:szCs w:val="20"/>
        </w:rPr>
        <w:t xml:space="preserve"> (Impact factor: 4.148).</w:t>
      </w:r>
    </w:p>
    <w:p w:rsidR="007B08D1" w:rsidRPr="007900B0" w:rsidRDefault="007B08D1" w:rsidP="007B08D1">
      <w:pPr>
        <w:pStyle w:val="ListParagraph"/>
        <w:widowControl/>
        <w:numPr>
          <w:ilvl w:val="0"/>
          <w:numId w:val="1"/>
        </w:numPr>
        <w:spacing w:before="0" w:after="200" w:line="360" w:lineRule="auto"/>
        <w:ind w:left="360"/>
        <w:contextualSpacing/>
        <w:rPr>
          <w:rFonts w:ascii="Times New Roman" w:hAnsi="Times New Roman" w:cs="Times New Roman"/>
          <w:b/>
          <w:sz w:val="20"/>
          <w:szCs w:val="20"/>
        </w:rPr>
      </w:pPr>
      <w:r w:rsidRPr="007900B0">
        <w:rPr>
          <w:rFonts w:ascii="Times New Roman" w:hAnsi="Times New Roman" w:cs="Times New Roman"/>
          <w:sz w:val="20"/>
          <w:szCs w:val="20"/>
        </w:rPr>
        <w:t xml:space="preserve">Thakur A, </w:t>
      </w:r>
      <w:r w:rsidRPr="007900B0">
        <w:rPr>
          <w:rFonts w:ascii="Times New Roman" w:hAnsi="Times New Roman" w:cs="Times New Roman"/>
          <w:b/>
          <w:sz w:val="20"/>
          <w:szCs w:val="20"/>
        </w:rPr>
        <w:t>Kaur H</w:t>
      </w:r>
      <w:r w:rsidRPr="007900B0">
        <w:rPr>
          <w:rFonts w:ascii="Times New Roman" w:hAnsi="Times New Roman" w:cs="Times New Roman"/>
          <w:sz w:val="20"/>
          <w:szCs w:val="20"/>
        </w:rPr>
        <w:t xml:space="preserve"> and Kaur S (2015). Evaluation of the immunoprophylactic potential of a killed vaccine candidate in combination with different adjuvants against murine visceral leishmaniasis. </w:t>
      </w:r>
      <w:r w:rsidRPr="007900B0">
        <w:rPr>
          <w:rFonts w:ascii="Times New Roman" w:hAnsi="Times New Roman" w:cs="Times New Roman"/>
          <w:b/>
          <w:sz w:val="20"/>
          <w:szCs w:val="20"/>
        </w:rPr>
        <w:t>Parasitology International.</w:t>
      </w:r>
      <w:r w:rsidRPr="007900B0">
        <w:rPr>
          <w:rFonts w:ascii="Times New Roman" w:hAnsi="Times New Roman" w:cs="Times New Roman"/>
          <w:sz w:val="20"/>
          <w:szCs w:val="20"/>
        </w:rPr>
        <w:t xml:space="preserve"> 64: 70–78. </w:t>
      </w:r>
      <w:r w:rsidRPr="007900B0">
        <w:rPr>
          <w:rFonts w:ascii="Times New Roman" w:hAnsi="Times New Roman" w:cs="Times New Roman"/>
          <w:b/>
          <w:sz w:val="20"/>
          <w:szCs w:val="20"/>
        </w:rPr>
        <w:t>(Impact factor: 2.106).</w:t>
      </w:r>
    </w:p>
    <w:p w:rsidR="007B08D1" w:rsidRPr="007900B0" w:rsidRDefault="007B08D1" w:rsidP="007B08D1">
      <w:pPr>
        <w:pStyle w:val="ListParagraph"/>
        <w:widowControl/>
        <w:numPr>
          <w:ilvl w:val="0"/>
          <w:numId w:val="1"/>
        </w:numPr>
        <w:autoSpaceDE w:val="0"/>
        <w:autoSpaceDN w:val="0"/>
        <w:adjustRightInd w:val="0"/>
        <w:spacing w:before="0" w:line="360" w:lineRule="auto"/>
        <w:ind w:left="360"/>
        <w:contextualSpacing/>
        <w:rPr>
          <w:rFonts w:ascii="Times New Roman" w:hAnsi="Times New Roman" w:cs="Times New Roman"/>
          <w:sz w:val="20"/>
          <w:szCs w:val="20"/>
        </w:rPr>
      </w:pPr>
      <w:r w:rsidRPr="007900B0">
        <w:rPr>
          <w:rFonts w:ascii="Times New Roman" w:eastAsia="Arial Unicode MS" w:hAnsi="Times New Roman" w:cs="Times New Roman"/>
          <w:sz w:val="20"/>
          <w:szCs w:val="20"/>
        </w:rPr>
        <w:t xml:space="preserve">Thakur A, </w:t>
      </w:r>
      <w:r w:rsidRPr="007900B0">
        <w:rPr>
          <w:rFonts w:ascii="Times New Roman" w:eastAsia="Arial Unicode MS" w:hAnsi="Times New Roman" w:cs="Times New Roman"/>
          <w:b/>
          <w:sz w:val="20"/>
          <w:szCs w:val="20"/>
        </w:rPr>
        <w:t>Kaur H</w:t>
      </w:r>
      <w:r w:rsidRPr="007900B0">
        <w:rPr>
          <w:rFonts w:ascii="Times New Roman" w:eastAsia="Arial Unicode MS" w:hAnsi="Times New Roman" w:cs="Times New Roman"/>
          <w:sz w:val="20"/>
          <w:szCs w:val="20"/>
        </w:rPr>
        <w:t xml:space="preserve"> and Kaur S (2015). Studies on the protective efficacy of freeze thawed promastigote antigen of</w:t>
      </w:r>
      <w:r w:rsidRPr="007900B0">
        <w:rPr>
          <w:rStyle w:val="apple-converted-space"/>
          <w:rFonts w:ascii="Times New Roman" w:eastAsia="Arial Unicode MS" w:hAnsi="Times New Roman" w:cs="Times New Roman"/>
          <w:sz w:val="20"/>
          <w:szCs w:val="20"/>
        </w:rPr>
        <w:t> </w:t>
      </w:r>
      <w:r w:rsidRPr="007900B0">
        <w:rPr>
          <w:rStyle w:val="Emphasis"/>
          <w:rFonts w:ascii="Times New Roman" w:eastAsia="Arial Unicode MS" w:hAnsi="Times New Roman" w:cs="Times New Roman"/>
          <w:sz w:val="20"/>
          <w:szCs w:val="20"/>
          <w:bdr w:val="none" w:sz="0" w:space="0" w:color="auto" w:frame="1"/>
        </w:rPr>
        <w:t>leishmania donovani</w:t>
      </w:r>
      <w:r w:rsidRPr="007900B0">
        <w:rPr>
          <w:rStyle w:val="apple-converted-space"/>
          <w:rFonts w:ascii="Times New Roman" w:eastAsia="Arial Unicode MS" w:hAnsi="Times New Roman" w:cs="Times New Roman"/>
          <w:sz w:val="20"/>
          <w:szCs w:val="20"/>
        </w:rPr>
        <w:t> </w:t>
      </w:r>
      <w:r w:rsidRPr="007900B0">
        <w:rPr>
          <w:rFonts w:ascii="Times New Roman" w:eastAsia="Arial Unicode MS" w:hAnsi="Times New Roman" w:cs="Times New Roman"/>
          <w:sz w:val="20"/>
          <w:szCs w:val="20"/>
        </w:rPr>
        <w:t xml:space="preserve">along with various adjuvants against visceral leishmaniasis infection in mice. </w:t>
      </w:r>
      <w:r w:rsidRPr="007900B0">
        <w:rPr>
          <w:rFonts w:ascii="Times New Roman" w:eastAsia="Arial Unicode MS" w:hAnsi="Times New Roman" w:cs="Times New Roman"/>
          <w:b/>
          <w:sz w:val="20"/>
          <w:szCs w:val="20"/>
        </w:rPr>
        <w:t>Immunobiology</w:t>
      </w:r>
      <w:r w:rsidRPr="007900B0">
        <w:rPr>
          <w:rFonts w:ascii="Times New Roman" w:eastAsia="Arial Unicode MS" w:hAnsi="Times New Roman" w:cs="Times New Roman"/>
          <w:sz w:val="20"/>
          <w:szCs w:val="20"/>
        </w:rPr>
        <w:t xml:space="preserve">. 220 (9): 1031-1038. </w:t>
      </w:r>
      <w:r w:rsidRPr="007900B0">
        <w:rPr>
          <w:rFonts w:ascii="Times New Roman" w:hAnsi="Times New Roman" w:cs="Times New Roman"/>
          <w:b/>
          <w:sz w:val="20"/>
          <w:szCs w:val="20"/>
        </w:rPr>
        <w:t>(Impact factor: 3.152).</w:t>
      </w:r>
    </w:p>
    <w:p w:rsidR="007B08D1" w:rsidRDefault="007B08D1" w:rsidP="007B08D1">
      <w:pPr>
        <w:spacing w:line="200" w:lineRule="exact"/>
        <w:jc w:val="both"/>
        <w:rPr>
          <w:rFonts w:ascii="Calibri" w:hAnsi="Calibri"/>
        </w:rPr>
        <w:sectPr w:rsidR="007B08D1">
          <w:type w:val="continuous"/>
          <w:pgSz w:w="11910" w:h="16840"/>
          <w:pgMar w:top="1740" w:right="600" w:bottom="840" w:left="620" w:header="720" w:footer="720" w:gutter="0"/>
          <w:cols w:num="2" w:space="720" w:equalWidth="0">
            <w:col w:w="5214" w:space="138"/>
            <w:col w:w="5338"/>
          </w:cols>
        </w:sectPr>
      </w:pPr>
      <w:r w:rsidRPr="007900B0">
        <w:rPr>
          <w:rFonts w:ascii="Times New Roman" w:hAnsi="Times New Roman" w:cs="Times New Roman"/>
          <w:sz w:val="20"/>
          <w:szCs w:val="20"/>
        </w:rPr>
        <w:t xml:space="preserve">   </w:t>
      </w:r>
    </w:p>
    <w:p w:rsidR="007B08D1" w:rsidRDefault="007B08D1" w:rsidP="007B08D1">
      <w:pPr>
        <w:pStyle w:val="BodyText"/>
        <w:rPr>
          <w:rFonts w:ascii="Calibri"/>
          <w:sz w:val="20"/>
        </w:rPr>
      </w:pPr>
    </w:p>
    <w:p w:rsidR="007B08D1" w:rsidRDefault="000D7F10" w:rsidP="007B08D1">
      <w:pPr>
        <w:pStyle w:val="BodyText"/>
        <w:spacing w:line="40" w:lineRule="exact"/>
        <w:ind w:left="2202"/>
        <w:rPr>
          <w:rFonts w:ascii="Calibri"/>
          <w:sz w:val="4"/>
        </w:rPr>
      </w:pPr>
      <w:r w:rsidRPr="000D7F10">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7B08D1" w:rsidRDefault="007B08D1" w:rsidP="007B08D1">
      <w:pPr>
        <w:spacing w:before="92"/>
        <w:ind w:right="4234"/>
        <w:rPr>
          <w:rFonts w:ascii="Arial"/>
          <w:color w:val="BF5A14"/>
        </w:rPr>
      </w:pPr>
      <w:r>
        <w:rPr>
          <w:noProof/>
        </w:rPr>
        <w:t xml:space="preserve">              </w:t>
      </w:r>
      <w:r>
        <w:rPr>
          <w:noProof/>
          <w:lang w:val="en-IN" w:eastAsia="en-IN"/>
        </w:rPr>
        <w:drawing>
          <wp:inline distT="0" distB="0" distL="0" distR="0">
            <wp:extent cx="805180" cy="600710"/>
            <wp:effectExtent l="0" t="95250" r="0" b="85090"/>
            <wp:docPr id="2" name="Picture 1" descr="20191229_164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1229_164828"/>
                    <pic:cNvPicPr>
                      <a:picLocks noChangeAspect="1" noChangeArrowheads="1"/>
                    </pic:cNvPicPr>
                  </pic:nvPicPr>
                  <pic:blipFill>
                    <a:blip r:embed="rId9" cstate="print"/>
                    <a:srcRect/>
                    <a:stretch>
                      <a:fillRect/>
                    </a:stretch>
                  </pic:blipFill>
                  <pic:spPr bwMode="auto">
                    <a:xfrm rot="-5400000">
                      <a:off x="0" y="0"/>
                      <a:ext cx="805180" cy="600710"/>
                    </a:xfrm>
                    <a:prstGeom prst="rect">
                      <a:avLst/>
                    </a:prstGeom>
                    <a:noFill/>
                    <a:ln w="9525">
                      <a:noFill/>
                      <a:miter lim="800000"/>
                      <a:headEnd/>
                      <a:tailEnd/>
                    </a:ln>
                  </pic:spPr>
                </pic:pic>
              </a:graphicData>
            </a:graphic>
          </wp:inline>
        </w:drawing>
      </w:r>
    </w:p>
    <w:p w:rsidR="007B08D1" w:rsidRDefault="007B08D1" w:rsidP="007B08D1">
      <w:pPr>
        <w:spacing w:before="92"/>
        <w:ind w:right="4234"/>
        <w:rPr>
          <w:rFonts w:ascii="Arial"/>
        </w:rPr>
      </w:pPr>
      <w:r>
        <w:rPr>
          <w:rFonts w:ascii="Arial"/>
          <w:color w:val="BF5A14"/>
        </w:rPr>
        <w:t>Biography</w:t>
      </w:r>
    </w:p>
    <w:p w:rsidR="007B08D1" w:rsidRDefault="007B08D1" w:rsidP="007B08D1">
      <w:pPr>
        <w:spacing w:before="41" w:line="154" w:lineRule="exact"/>
        <w:ind w:left="213" w:right="231"/>
        <w:jc w:val="both"/>
        <w:rPr>
          <w:rFonts w:ascii="Arial"/>
          <w:sz w:val="14"/>
        </w:rPr>
      </w:pPr>
      <w:r>
        <w:rPr>
          <w:rFonts w:ascii="Arial"/>
          <w:sz w:val="14"/>
        </w:rPr>
        <w:t>Dr. Harpreet Kaur is presently working with Chandigarh University. Her field of specialization is Parasitology. She has 7 years of teaching and reserach experience with ten research papers and one book chapter to her credit. Besudes this she has participated in number of conferences and delivered her talk including a poster in Philadelphia USA in International conference of parasitology in year 2015.</w:t>
      </w:r>
    </w:p>
    <w:p w:rsidR="007B08D1" w:rsidRDefault="007B08D1" w:rsidP="007B08D1">
      <w:pPr>
        <w:spacing w:before="62"/>
        <w:ind w:left="4217" w:right="4235"/>
        <w:jc w:val="center"/>
        <w:rPr>
          <w:rStyle w:val="Hyperlink"/>
          <w:rFonts w:ascii="Arial"/>
          <w:sz w:val="14"/>
        </w:rPr>
      </w:pPr>
      <w:r>
        <w:rPr>
          <w:rFonts w:ascii="Arial"/>
          <w:sz w:val="14"/>
        </w:rPr>
        <w:t xml:space="preserve">Email: </w:t>
      </w:r>
      <w:hyperlink r:id="rId10" w:history="1">
        <w:r w:rsidRPr="00C47DE7">
          <w:rPr>
            <w:rStyle w:val="Hyperlink"/>
            <w:rFonts w:ascii="Arial"/>
            <w:sz w:val="14"/>
          </w:rPr>
          <w:t>harpreetgill3@gmail.com</w:t>
        </w:r>
      </w:hyperlink>
    </w:p>
    <w:p w:rsidR="007B08D1" w:rsidRDefault="007B08D1" w:rsidP="007B08D1">
      <w:pPr>
        <w:spacing w:before="62"/>
        <w:ind w:left="4217" w:right="4235"/>
        <w:jc w:val="center"/>
        <w:rPr>
          <w:rFonts w:ascii="Arial"/>
          <w:sz w:val="14"/>
        </w:rPr>
      </w:pPr>
      <w:r>
        <w:rPr>
          <w:rStyle w:val="Hyperlink"/>
          <w:rFonts w:ascii="Arial"/>
          <w:sz w:val="14"/>
        </w:rPr>
        <w:t>harpreet.e10943@cumail.in</w:t>
      </w:r>
    </w:p>
    <w:p w:rsidR="007B08D1" w:rsidRDefault="000D7F10" w:rsidP="007B08D1">
      <w:pPr>
        <w:pStyle w:val="BodyText"/>
        <w:spacing w:before="2"/>
        <w:rPr>
          <w:rFonts w:ascii="Arial"/>
          <w:sz w:val="19"/>
        </w:rPr>
      </w:pPr>
      <w:r w:rsidRPr="000D7F10">
        <w:rPr>
          <w:noProof/>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7B08D1" w:rsidRDefault="007B08D1" w:rsidP="007B08D1">
      <w:pPr>
        <w:pStyle w:val="BodyText"/>
        <w:rPr>
          <w:rFonts w:ascii="Arial"/>
          <w:sz w:val="20"/>
        </w:rPr>
      </w:pPr>
    </w:p>
    <w:p w:rsidR="007B08D1" w:rsidRDefault="007B08D1" w:rsidP="007B08D1">
      <w:pPr>
        <w:pStyle w:val="BodyText"/>
        <w:rPr>
          <w:rFonts w:ascii="Arial"/>
          <w:sz w:val="20"/>
        </w:rPr>
      </w:pPr>
    </w:p>
    <w:p w:rsidR="007B08D1" w:rsidRDefault="007B08D1" w:rsidP="007B08D1">
      <w:pPr>
        <w:rPr>
          <w:rFonts w:ascii="Minion Pro"/>
          <w:sz w:val="24"/>
        </w:rPr>
        <w:sectPr w:rsidR="007B08D1">
          <w:type w:val="continuous"/>
          <w:pgSz w:w="11910" w:h="16840"/>
          <w:pgMar w:top="1740" w:right="600" w:bottom="840" w:left="620" w:header="720" w:footer="720" w:gutter="0"/>
          <w:cols w:space="720"/>
        </w:sectPr>
      </w:pPr>
    </w:p>
    <w:p w:rsidR="007B08D1" w:rsidRDefault="007B08D1" w:rsidP="007B08D1">
      <w:pPr>
        <w:pStyle w:val="BodyText"/>
        <w:spacing w:before="3"/>
        <w:rPr>
          <w:rFonts w:ascii="Minion Pro"/>
          <w:sz w:val="26"/>
        </w:rPr>
      </w:pPr>
    </w:p>
    <w:p w:rsidR="005505C1" w:rsidRDefault="005505C1"/>
    <w:sectPr w:rsidR="005505C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DD1" w:rsidRDefault="00C07DD1" w:rsidP="000D7F10">
      <w:r>
        <w:separator/>
      </w:r>
    </w:p>
  </w:endnote>
  <w:endnote w:type="continuationSeparator" w:id="1">
    <w:p w:rsidR="00C07DD1" w:rsidRDefault="00C07DD1" w:rsidP="000D7F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D7F10">
    <w:pPr>
      <w:pStyle w:val="BodyText"/>
      <w:spacing w:line="14" w:lineRule="auto"/>
      <w:rPr>
        <w:sz w:val="20"/>
      </w:rPr>
    </w:pPr>
    <w:r w:rsidRPr="000D7F10">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487251">
                <w:pPr>
                  <w:spacing w:line="184" w:lineRule="exact"/>
                  <w:ind w:left="20" w:right="-12"/>
                  <w:rPr>
                    <w:rFonts w:ascii="Arial"/>
                    <w:color w:val="FFFFFF"/>
                    <w:sz w:val="16"/>
                  </w:rPr>
                </w:pPr>
                <w:r w:rsidRPr="00227290">
                  <w:rPr>
                    <w:rFonts w:ascii="Arial"/>
                    <w:color w:val="FFFFFF"/>
                    <w:sz w:val="16"/>
                  </w:rPr>
                  <w:t>J Pain Relief</w:t>
                </w:r>
              </w:p>
              <w:p w:rsidR="00AE3E37" w:rsidRPr="00227290" w:rsidRDefault="00487251">
                <w:pPr>
                  <w:spacing w:before="8"/>
                  <w:ind w:left="20" w:right="-12"/>
                  <w:rPr>
                    <w:rFonts w:ascii="Arial"/>
                    <w:color w:val="FFFFFF"/>
                    <w:sz w:val="16"/>
                  </w:rPr>
                </w:pPr>
                <w:r w:rsidRPr="00227290">
                  <w:rPr>
                    <w:rFonts w:ascii="Arial"/>
                    <w:color w:val="FFFFFF"/>
                    <w:sz w:val="16"/>
                  </w:rPr>
                  <w:t>ISSN: 2167-0846 JPAR an open access journa</w:t>
                </w:r>
              </w:p>
            </w:txbxContent>
          </v:textbox>
          <w10:wrap anchorx="page" anchory="page"/>
        </v:shape>
      </w:pict>
    </w:r>
    <w:r w:rsidRPr="000D7F10">
      <w:rPr>
        <w:noProof/>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487251">
                <w:pPr>
                  <w:spacing w:line="269" w:lineRule="exact"/>
                  <w:jc w:val="center"/>
                  <w:rPr>
                    <w:rFonts w:ascii="Impact"/>
                    <w:color w:val="FFFFFF"/>
                    <w:sz w:val="24"/>
                  </w:rPr>
                </w:pPr>
                <w:r w:rsidRPr="00227290">
                  <w:rPr>
                    <w:rFonts w:ascii="Impact"/>
                    <w:color w:val="FFFFFF"/>
                    <w:sz w:val="24"/>
                  </w:rPr>
                  <w:t>Fibromyalgia 2016</w:t>
                </w:r>
              </w:p>
              <w:p w:rsidR="00AE3E37" w:rsidRPr="00227290" w:rsidRDefault="00487251">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sidRPr="000D7F10">
      <w:rPr>
        <w:noProof/>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487251">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487251">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DD1" w:rsidRDefault="00C07DD1" w:rsidP="000D7F10">
      <w:r>
        <w:separator/>
      </w:r>
    </w:p>
  </w:footnote>
  <w:footnote w:type="continuationSeparator" w:id="1">
    <w:p w:rsidR="00C07DD1" w:rsidRDefault="00C07DD1" w:rsidP="000D7F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D7F10">
    <w:pPr>
      <w:pStyle w:val="BodyText"/>
      <w:spacing w:line="14" w:lineRule="auto"/>
      <w:rPr>
        <w:sz w:val="20"/>
      </w:rPr>
    </w:pPr>
    <w:r w:rsidRPr="000D7F10">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487251">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http://dx.doi.org/10.4172/2167-0846.C1.006</w:t>
                  </w:r>
                </w:hyperlink>
              </w:p>
            </w:txbxContent>
          </v:textbox>
          <w10:wrap anchorx="page" anchory="page"/>
        </v:shape>
      </w:pict>
    </w:r>
    <w:r w:rsidRPr="000D7F10">
      <w:rPr>
        <w:noProof/>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487251">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487251">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AD5652"/>
    <w:multiLevelType w:val="hybridMultilevel"/>
    <w:tmpl w:val="E9A4C41C"/>
    <w:lvl w:ilvl="0" w:tplc="681C5B3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rsids>
    <w:rsidRoot w:val="007B08D1"/>
    <w:rsid w:val="000D7F10"/>
    <w:rsid w:val="00487251"/>
    <w:rsid w:val="005505C1"/>
    <w:rsid w:val="007B08D1"/>
    <w:rsid w:val="00C07DD1"/>
    <w:rsid w:val="00D07D3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B08D1"/>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7B08D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7B08D1"/>
    <w:rPr>
      <w:rFonts w:ascii="Arial" w:eastAsia="Arial" w:hAnsi="Arial" w:cs="Arial"/>
      <w:b/>
      <w:bCs/>
      <w:sz w:val="20"/>
      <w:szCs w:val="20"/>
      <w:lang w:val="en-US"/>
    </w:rPr>
  </w:style>
  <w:style w:type="paragraph" w:styleId="BodyText">
    <w:name w:val="Body Text"/>
    <w:basedOn w:val="Normal"/>
    <w:link w:val="BodyTextChar"/>
    <w:uiPriority w:val="1"/>
    <w:qFormat/>
    <w:rsid w:val="007B08D1"/>
    <w:rPr>
      <w:rFonts w:cs="Times New Roman"/>
      <w:sz w:val="18"/>
      <w:szCs w:val="18"/>
    </w:rPr>
  </w:style>
  <w:style w:type="character" w:customStyle="1" w:styleId="BodyTextChar">
    <w:name w:val="Body Text Char"/>
    <w:basedOn w:val="DefaultParagraphFont"/>
    <w:link w:val="BodyText"/>
    <w:uiPriority w:val="1"/>
    <w:rsid w:val="007B08D1"/>
    <w:rPr>
      <w:rFonts w:ascii="Tw Cen MT" w:eastAsia="Tw Cen MT" w:hAnsi="Tw Cen MT" w:cs="Times New Roman"/>
      <w:sz w:val="18"/>
      <w:szCs w:val="18"/>
    </w:rPr>
  </w:style>
  <w:style w:type="paragraph" w:styleId="ListParagraph">
    <w:name w:val="List Paragraph"/>
    <w:basedOn w:val="Normal"/>
    <w:uiPriority w:val="34"/>
    <w:qFormat/>
    <w:rsid w:val="007B08D1"/>
    <w:pPr>
      <w:spacing w:before="90" w:line="200" w:lineRule="exact"/>
      <w:ind w:left="383" w:hanging="283"/>
      <w:jc w:val="both"/>
    </w:pPr>
    <w:rPr>
      <w:rFonts w:ascii="Calibri" w:eastAsia="Calibri" w:hAnsi="Calibri" w:cs="Calibri"/>
    </w:rPr>
  </w:style>
  <w:style w:type="character" w:styleId="Hyperlink">
    <w:name w:val="Hyperlink"/>
    <w:uiPriority w:val="99"/>
    <w:unhideWhenUsed/>
    <w:rsid w:val="007B08D1"/>
    <w:rPr>
      <w:color w:val="0000FF"/>
      <w:u w:val="single"/>
    </w:rPr>
  </w:style>
  <w:style w:type="character" w:customStyle="1" w:styleId="apple-converted-space">
    <w:name w:val="apple-converted-space"/>
    <w:basedOn w:val="DefaultParagraphFont"/>
    <w:rsid w:val="007B08D1"/>
  </w:style>
  <w:style w:type="character" w:styleId="Emphasis">
    <w:name w:val="Emphasis"/>
    <w:uiPriority w:val="20"/>
    <w:qFormat/>
    <w:rsid w:val="007B08D1"/>
    <w:rPr>
      <w:i/>
      <w:iCs/>
    </w:rPr>
  </w:style>
  <w:style w:type="paragraph" w:styleId="BalloonText">
    <w:name w:val="Balloon Text"/>
    <w:basedOn w:val="Normal"/>
    <w:link w:val="BalloonTextChar"/>
    <w:uiPriority w:val="99"/>
    <w:semiHidden/>
    <w:unhideWhenUsed/>
    <w:rsid w:val="007B08D1"/>
    <w:rPr>
      <w:rFonts w:ascii="Tahoma" w:hAnsi="Tahoma" w:cs="Tahoma"/>
      <w:sz w:val="16"/>
      <w:szCs w:val="16"/>
    </w:rPr>
  </w:style>
  <w:style w:type="character" w:customStyle="1" w:styleId="BalloonTextChar">
    <w:name w:val="Balloon Text Char"/>
    <w:basedOn w:val="DefaultParagraphFont"/>
    <w:link w:val="BalloonText"/>
    <w:uiPriority w:val="99"/>
    <w:semiHidden/>
    <w:rsid w:val="007B08D1"/>
    <w:rPr>
      <w:rFonts w:ascii="Tahoma" w:eastAsia="Tw Cen MT"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harpreetgill3@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3000</Characters>
  <Application>Microsoft Office Word</Application>
  <DocSecurity>0</DocSecurity>
  <Lines>25</Lines>
  <Paragraphs>7</Paragraphs>
  <ScaleCrop>false</ScaleCrop>
  <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Jeet Singh</dc:creator>
  <cp:lastModifiedBy>William Jeet Singh</cp:lastModifiedBy>
  <cp:revision>2</cp:revision>
  <dcterms:created xsi:type="dcterms:W3CDTF">2023-08-19T10:10:00Z</dcterms:created>
  <dcterms:modified xsi:type="dcterms:W3CDTF">2023-08-19T10:11:00Z</dcterms:modified>
</cp:coreProperties>
</file>