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EF1" w:rsidRPr="00527EF1" w:rsidRDefault="006D6F13" w:rsidP="006D6F13">
      <w:pPr>
        <w:spacing w:before="120" w:after="120" w:line="36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Evaluation of </w:t>
      </w:r>
      <w:r w:rsidR="00527EF1" w:rsidRPr="00527EF1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Trident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Landmark Method f</w:t>
      </w:r>
      <w:r w:rsidRPr="00527EF1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or Facial Nerve Trunk Identification </w:t>
      </w:r>
      <w:r w:rsidR="00972281" w:rsidRPr="00527EF1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during</w:t>
      </w:r>
      <w:r w:rsidRPr="00527EF1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 Superficial </w:t>
      </w:r>
      <w:proofErr w:type="spellStart"/>
      <w:r w:rsidRPr="00527EF1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Parotidectomy</w:t>
      </w:r>
      <w:proofErr w:type="spellEnd"/>
    </w:p>
    <w:p w:rsidR="00972281" w:rsidRDefault="00972281" w:rsidP="00527EF1">
      <w:pPr>
        <w:bidi w:val="0"/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</w:p>
    <w:p w:rsidR="00677991" w:rsidRPr="00D22696" w:rsidRDefault="00677991" w:rsidP="00972281">
      <w:pPr>
        <w:bidi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40"/>
          <w:lang w:bidi="en-US"/>
        </w:rPr>
      </w:pPr>
      <w:r w:rsidRPr="00D22696">
        <w:rPr>
          <w:rFonts w:ascii="Times New Roman" w:eastAsia="Times New Roman" w:hAnsi="Times New Roman" w:cs="Times New Roman"/>
          <w:b/>
          <w:bCs/>
          <w:sz w:val="24"/>
          <w:szCs w:val="40"/>
          <w:lang w:bidi="en-US"/>
        </w:rPr>
        <w:t>Abstract:</w:t>
      </w:r>
    </w:p>
    <w:p w:rsidR="00EC45AF" w:rsidRPr="00527EF1" w:rsidRDefault="00677991" w:rsidP="000E5C1D">
      <w:pPr>
        <w:autoSpaceDE w:val="0"/>
        <w:autoSpaceDN w:val="0"/>
        <w:bidi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34"/>
        </w:rPr>
      </w:pPr>
      <w:r w:rsidRPr="00DE613A">
        <w:rPr>
          <w:rFonts w:ascii="Times New Roman" w:eastAsia="Calibri" w:hAnsi="Times New Roman" w:cs="Times New Roman"/>
          <w:b/>
          <w:bCs/>
          <w:sz w:val="24"/>
        </w:rPr>
        <w:t xml:space="preserve">Objective: </w:t>
      </w:r>
      <w:r w:rsidR="00DE613A" w:rsidRPr="00DE613A">
        <w:rPr>
          <w:rFonts w:ascii="Times New Roman" w:eastAsia="Calibri" w:hAnsi="Times New Roman" w:cs="Times New Roman"/>
          <w:sz w:val="24"/>
        </w:rPr>
        <w:t xml:space="preserve">To evaluate the accuracy and safety of the trident landmark as a proposed anatomical landmark for identification of the facial nerve trunk during superficial </w:t>
      </w:r>
      <w:proofErr w:type="spellStart"/>
      <w:r w:rsidR="00DE613A" w:rsidRPr="00DE613A">
        <w:rPr>
          <w:rFonts w:ascii="Times New Roman" w:eastAsia="Calibri" w:hAnsi="Times New Roman" w:cs="Times New Roman"/>
          <w:sz w:val="24"/>
        </w:rPr>
        <w:t>parotidectomy</w:t>
      </w:r>
      <w:proofErr w:type="spellEnd"/>
      <w:r w:rsidR="00DE613A" w:rsidRPr="00DE613A">
        <w:rPr>
          <w:rFonts w:ascii="Times New Roman" w:eastAsia="Calibri" w:hAnsi="Times New Roman" w:cs="Times New Roman"/>
          <w:sz w:val="24"/>
        </w:rPr>
        <w:t>.</w:t>
      </w:r>
      <w:r w:rsidR="00DE613A">
        <w:rPr>
          <w:rFonts w:ascii="Times New Roman" w:eastAsia="Times New Roman" w:hAnsi="Times New Roman" w:cs="Times New Roman"/>
          <w:sz w:val="24"/>
          <w:szCs w:val="34"/>
        </w:rPr>
        <w:t xml:space="preserve"> </w:t>
      </w:r>
      <w:r w:rsidR="00311F5F" w:rsidRPr="00311F5F">
        <w:rPr>
          <w:rFonts w:ascii="Times New Roman" w:eastAsia="Times New Roman" w:hAnsi="Times New Roman" w:cs="Times New Roman"/>
          <w:b/>
          <w:bCs/>
          <w:sz w:val="24"/>
          <w:szCs w:val="34"/>
        </w:rPr>
        <w:t>Study design;</w:t>
      </w:r>
      <w:r w:rsidR="000E5C1D">
        <w:rPr>
          <w:rFonts w:ascii="Times New Roman" w:eastAsia="Times New Roman" w:hAnsi="Times New Roman" w:cs="Times New Roman"/>
          <w:b/>
          <w:bCs/>
          <w:sz w:val="24"/>
          <w:szCs w:val="34"/>
        </w:rPr>
        <w:t xml:space="preserve"> </w:t>
      </w:r>
      <w:r w:rsidR="000E5C1D" w:rsidRPr="000E5C1D">
        <w:rPr>
          <w:rFonts w:ascii="Times New Roman" w:eastAsia="Times New Roman" w:hAnsi="Times New Roman" w:cs="Times New Roman"/>
          <w:sz w:val="24"/>
          <w:szCs w:val="34"/>
        </w:rPr>
        <w:t>prospective study</w:t>
      </w:r>
      <w:r w:rsidR="000E5C1D">
        <w:rPr>
          <w:rFonts w:ascii="Times New Roman" w:eastAsia="Times New Roman" w:hAnsi="Times New Roman" w:cs="Times New Roman"/>
          <w:sz w:val="24"/>
          <w:szCs w:val="34"/>
        </w:rPr>
        <w:t xml:space="preserve">. </w:t>
      </w:r>
      <w:r w:rsidR="00DE613A" w:rsidRPr="00DE613A">
        <w:rPr>
          <w:rFonts w:ascii="Times New Roman" w:eastAsia="Times New Roman" w:hAnsi="Times New Roman" w:cs="Times New Roman"/>
          <w:b/>
          <w:bCs/>
          <w:sz w:val="24"/>
          <w:szCs w:val="34"/>
        </w:rPr>
        <w:t>Methods</w:t>
      </w:r>
      <w:r w:rsidRPr="00DE613A">
        <w:rPr>
          <w:rFonts w:ascii="Times New Roman" w:eastAsia="Calibri" w:hAnsi="Times New Roman" w:cs="Times New Roman"/>
          <w:b/>
          <w:bCs/>
          <w:sz w:val="24"/>
          <w:szCs w:val="28"/>
          <w:shd w:val="clear" w:color="auto" w:fill="FFFFFF"/>
        </w:rPr>
        <w:t xml:space="preserve">: </w:t>
      </w:r>
      <w:r w:rsidR="000E5C1D">
        <w:rPr>
          <w:rFonts w:ascii="Times New Roman" w:eastAsia="Calibri" w:hAnsi="Times New Roman" w:cs="Times New Roman"/>
          <w:sz w:val="24"/>
          <w:szCs w:val="28"/>
        </w:rPr>
        <w:t xml:space="preserve">The </w:t>
      </w:r>
      <w:r w:rsidRPr="00DE613A">
        <w:rPr>
          <w:rFonts w:ascii="Times New Roman" w:eastAsia="Calibri" w:hAnsi="Times New Roman" w:cs="Times New Roman"/>
          <w:sz w:val="24"/>
          <w:szCs w:val="28"/>
        </w:rPr>
        <w:t>study was conducted between January 2018 and</w:t>
      </w:r>
      <w:r w:rsidR="00513F42" w:rsidRPr="00DE613A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6848A8" w:rsidRPr="00DE613A">
        <w:rPr>
          <w:rFonts w:ascii="Times New Roman" w:eastAsia="Calibri" w:hAnsi="Times New Roman" w:cs="Times New Roman"/>
          <w:sz w:val="24"/>
          <w:szCs w:val="28"/>
        </w:rPr>
        <w:t>January</w:t>
      </w:r>
      <w:r w:rsidRPr="00DE613A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513F42" w:rsidRPr="00DE613A">
        <w:rPr>
          <w:rFonts w:ascii="Times New Roman" w:eastAsia="Calibri" w:hAnsi="Times New Roman" w:cs="Times New Roman"/>
          <w:sz w:val="24"/>
          <w:szCs w:val="28"/>
        </w:rPr>
        <w:t xml:space="preserve">2020 at </w:t>
      </w:r>
      <w:proofErr w:type="spellStart"/>
      <w:r w:rsidR="00513F42" w:rsidRPr="00DE613A">
        <w:rPr>
          <w:rFonts w:ascii="Times New Roman" w:eastAsia="Calibri" w:hAnsi="Times New Roman" w:cs="Times New Roman"/>
          <w:sz w:val="24"/>
          <w:szCs w:val="28"/>
        </w:rPr>
        <w:t>Kafr</w:t>
      </w:r>
      <w:proofErr w:type="spellEnd"/>
      <w:r w:rsidR="00513F42" w:rsidRPr="00DE613A">
        <w:rPr>
          <w:rFonts w:ascii="Times New Roman" w:eastAsia="Calibri" w:hAnsi="Times New Roman" w:cs="Times New Roman"/>
          <w:sz w:val="24"/>
          <w:szCs w:val="28"/>
        </w:rPr>
        <w:t xml:space="preserve"> El-Sheikh university hospital (KUH), and Al </w:t>
      </w:r>
      <w:proofErr w:type="spellStart"/>
      <w:r w:rsidR="00513F42" w:rsidRPr="00DE613A">
        <w:rPr>
          <w:rFonts w:ascii="Times New Roman" w:eastAsia="Calibri" w:hAnsi="Times New Roman" w:cs="Times New Roman"/>
          <w:sz w:val="24"/>
          <w:szCs w:val="28"/>
        </w:rPr>
        <w:t>Fayoum</w:t>
      </w:r>
      <w:proofErr w:type="spellEnd"/>
      <w:r w:rsidR="00513F42" w:rsidRPr="00DE613A">
        <w:rPr>
          <w:rFonts w:ascii="Times New Roman" w:eastAsia="Calibri" w:hAnsi="Times New Roman" w:cs="Times New Roman"/>
          <w:sz w:val="24"/>
          <w:szCs w:val="28"/>
        </w:rPr>
        <w:t xml:space="preserve"> Un</w:t>
      </w:r>
      <w:r w:rsidR="00DE613A">
        <w:rPr>
          <w:rFonts w:ascii="Times New Roman" w:eastAsia="Calibri" w:hAnsi="Times New Roman" w:cs="Times New Roman"/>
          <w:sz w:val="24"/>
          <w:szCs w:val="28"/>
        </w:rPr>
        <w:t xml:space="preserve">iversity Hospital (FUH), Egypt </w:t>
      </w:r>
      <w:r w:rsidR="00513F42" w:rsidRPr="00DE613A">
        <w:rPr>
          <w:rFonts w:ascii="Times New Roman" w:eastAsia="Calibri" w:hAnsi="Times New Roman" w:cs="Times New Roman"/>
          <w:sz w:val="24"/>
          <w:szCs w:val="28"/>
        </w:rPr>
        <w:t xml:space="preserve">on 60 patients with benign tumors of the superficial lobe of the parotid gland. </w:t>
      </w:r>
      <w:r w:rsidRPr="00DE613A">
        <w:rPr>
          <w:rFonts w:ascii="Times New Roman" w:eastAsia="Calibri" w:hAnsi="Times New Roman" w:cs="Times New Roman"/>
          <w:sz w:val="24"/>
          <w:szCs w:val="28"/>
        </w:rPr>
        <w:t xml:space="preserve">All patients were subjected to superficial parotidectomy. Outcome was evaluated regarding clinical success of facial nerve identification by trident landmark and early </w:t>
      </w:r>
      <w:r w:rsidR="00513F42" w:rsidRPr="00DE613A">
        <w:rPr>
          <w:rFonts w:ascii="Times New Roman" w:eastAsia="Calibri" w:hAnsi="Times New Roman" w:cs="Times New Roman"/>
          <w:sz w:val="24"/>
          <w:szCs w:val="28"/>
        </w:rPr>
        <w:t>post-operative</w:t>
      </w:r>
      <w:r w:rsidRPr="00DE613A">
        <w:rPr>
          <w:rFonts w:ascii="Times New Roman" w:eastAsia="Calibri" w:hAnsi="Times New Roman" w:cs="Times New Roman"/>
          <w:sz w:val="24"/>
          <w:szCs w:val="28"/>
        </w:rPr>
        <w:t xml:space="preserve"> complications.</w:t>
      </w:r>
      <w:r w:rsidR="00DE613A">
        <w:rPr>
          <w:rFonts w:ascii="Times New Roman" w:eastAsia="Times New Roman" w:hAnsi="Times New Roman" w:cs="Times New Roman"/>
          <w:sz w:val="24"/>
          <w:szCs w:val="34"/>
        </w:rPr>
        <w:t xml:space="preserve"> </w:t>
      </w:r>
      <w:r w:rsidRPr="00DE613A">
        <w:rPr>
          <w:rFonts w:ascii="Times New Roman" w:eastAsia="Calibri" w:hAnsi="Times New Roman" w:cs="Times New Roman"/>
          <w:b/>
          <w:bCs/>
          <w:sz w:val="24"/>
        </w:rPr>
        <w:t>Results:</w:t>
      </w:r>
      <w:r w:rsidR="00DE613A">
        <w:rPr>
          <w:rFonts w:ascii="Times New Roman" w:eastAsia="Calibri" w:hAnsi="Times New Roman" w:cs="Times New Roman"/>
          <w:sz w:val="24"/>
          <w:szCs w:val="28"/>
        </w:rPr>
        <w:t xml:space="preserve"> T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he </w:t>
      </w:r>
      <w:r w:rsidR="00DE613A">
        <w:rPr>
          <w:rFonts w:ascii="Times New Roman" w:eastAsia="Calibri" w:hAnsi="Times New Roman" w:cs="Times New Roman"/>
          <w:sz w:val="24"/>
          <w:szCs w:val="28"/>
        </w:rPr>
        <w:t xml:space="preserve">mean 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>age</w:t>
      </w:r>
      <w:r w:rsidR="00DE613A">
        <w:rPr>
          <w:rFonts w:ascii="Times New Roman" w:eastAsia="Calibri" w:hAnsi="Times New Roman" w:cs="Times New Roman"/>
          <w:sz w:val="24"/>
          <w:szCs w:val="28"/>
        </w:rPr>
        <w:t xml:space="preserve"> was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 43.74±14.65, the male represent 53.3% of the patients and females was 46.7%.</w:t>
      </w:r>
      <w:r w:rsidR="00DE613A">
        <w:rPr>
          <w:rFonts w:ascii="Times New Roman" w:eastAsia="Calibri" w:hAnsi="Times New Roman" w:cs="Times New Roman"/>
          <w:sz w:val="24"/>
          <w:szCs w:val="28"/>
        </w:rPr>
        <w:t xml:space="preserve"> T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he left </w:t>
      </w:r>
      <w:r w:rsidR="00EC45AF">
        <w:rPr>
          <w:rFonts w:ascii="Times New Roman" w:eastAsia="Calibri" w:hAnsi="Times New Roman" w:cs="Times New Roman"/>
          <w:sz w:val="24"/>
          <w:szCs w:val="28"/>
        </w:rPr>
        <w:t>and right sides were</w:t>
      </w:r>
      <w:r w:rsidR="00EC45AF" w:rsidRPr="00DE613A">
        <w:rPr>
          <w:rFonts w:ascii="Times New Roman" w:eastAsia="Calibri" w:hAnsi="Times New Roman" w:cs="Times New Roman"/>
          <w:sz w:val="24"/>
          <w:szCs w:val="28"/>
        </w:rPr>
        <w:t xml:space="preserve"> affected</w:t>
      </w:r>
      <w:r w:rsidR="00EC45AF">
        <w:rPr>
          <w:rFonts w:ascii="Times New Roman" w:eastAsia="Calibri" w:hAnsi="Times New Roman" w:cs="Times New Roman"/>
          <w:sz w:val="24"/>
          <w:szCs w:val="28"/>
        </w:rPr>
        <w:t xml:space="preserve"> in 58.3% and 51.7%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 respectively. The </w:t>
      </w:r>
      <w:r w:rsidR="00EC45AF">
        <w:rPr>
          <w:rFonts w:ascii="Times New Roman" w:eastAsia="Calibri" w:hAnsi="Times New Roman" w:cs="Times New Roman"/>
          <w:sz w:val="24"/>
          <w:szCs w:val="28"/>
        </w:rPr>
        <w:t xml:space="preserve">mean tumor 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size of </w:t>
      </w:r>
      <w:r w:rsidR="00EC45AF">
        <w:rPr>
          <w:rFonts w:ascii="Times New Roman" w:eastAsia="Calibri" w:hAnsi="Times New Roman" w:cs="Times New Roman"/>
          <w:sz w:val="24"/>
          <w:szCs w:val="28"/>
        </w:rPr>
        <w:t xml:space="preserve">was </w:t>
      </w:r>
      <w:r w:rsidR="00DE613A" w:rsidRPr="00DE613A">
        <w:rPr>
          <w:rFonts w:ascii="Times New Roman" w:eastAsia="Calibri" w:hAnsi="Times New Roman" w:cs="Times New Roman"/>
          <w:sz w:val="24"/>
          <w:szCs w:val="28"/>
        </w:rPr>
        <w:t xml:space="preserve">3.0±1.21. </w:t>
      </w:r>
      <w:r w:rsidR="00EC45AF">
        <w:rPr>
          <w:rFonts w:ascii="Times New Roman" w:eastAsia="Calibri" w:hAnsi="Times New Roman" w:cs="Times New Roman"/>
          <w:sz w:val="24"/>
          <w:szCs w:val="28"/>
        </w:rPr>
        <w:t>T</w:t>
      </w:r>
      <w:r w:rsidR="00EC45AF" w:rsidRPr="00EC45AF">
        <w:rPr>
          <w:rFonts w:ascii="Times New Roman" w:eastAsia="Calibri" w:hAnsi="Times New Roman" w:cs="Times New Roman"/>
          <w:sz w:val="24"/>
          <w:szCs w:val="28"/>
        </w:rPr>
        <w:t>he facial nerve trunk was successfully identified in all the patients (100%) with no intra-operative complications</w:t>
      </w:r>
      <w:r w:rsidR="00EC45AF">
        <w:rPr>
          <w:rFonts w:ascii="Times New Roman" w:eastAsia="Calibri" w:hAnsi="Times New Roman" w:cs="Times New Roman"/>
          <w:sz w:val="24"/>
          <w:szCs w:val="28"/>
        </w:rPr>
        <w:t>.</w:t>
      </w:r>
      <w:r w:rsidR="00EC45AF">
        <w:rPr>
          <w:rFonts w:ascii="Times New Roman" w:eastAsia="Times New Roman" w:hAnsi="Times New Roman" w:cs="Times New Roman"/>
          <w:sz w:val="24"/>
          <w:szCs w:val="34"/>
        </w:rPr>
        <w:t xml:space="preserve"> </w:t>
      </w:r>
      <w:r w:rsidRPr="00DE613A">
        <w:rPr>
          <w:rFonts w:ascii="Times New Roman" w:eastAsia="Calibri" w:hAnsi="Times New Roman" w:cs="Times New Roman"/>
          <w:b/>
          <w:bCs/>
          <w:sz w:val="24"/>
        </w:rPr>
        <w:t xml:space="preserve">Conclusion: </w:t>
      </w:r>
      <w:r w:rsidRPr="00DE613A">
        <w:rPr>
          <w:rFonts w:ascii="Times New Roman" w:eastAsia="Calibri" w:hAnsi="Times New Roman" w:cs="Times New Roman"/>
          <w:sz w:val="24"/>
          <w:szCs w:val="28"/>
        </w:rPr>
        <w:t>The proposed landmark described here facilitates the identification of facial nerve trunk during superficial parotidectomy with relative ease, safety and accuracy.</w:t>
      </w:r>
      <w:bookmarkStart w:id="0" w:name="_GoBack"/>
      <w:bookmarkEnd w:id="0"/>
    </w:p>
    <w:sectPr w:rsidR="00EC45AF" w:rsidRPr="00527EF1" w:rsidSect="00311F5F">
      <w:pgSz w:w="11906" w:h="16838"/>
      <w:pgMar w:top="709" w:right="1800" w:bottom="709" w:left="15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965"/>
    <w:rsid w:val="000E5C1D"/>
    <w:rsid w:val="000F0D4C"/>
    <w:rsid w:val="00153817"/>
    <w:rsid w:val="001C4395"/>
    <w:rsid w:val="001C7170"/>
    <w:rsid w:val="002544E6"/>
    <w:rsid w:val="002D62EC"/>
    <w:rsid w:val="00311F5F"/>
    <w:rsid w:val="003426E9"/>
    <w:rsid w:val="003E656E"/>
    <w:rsid w:val="00435E4C"/>
    <w:rsid w:val="00513F42"/>
    <w:rsid w:val="00527EF1"/>
    <w:rsid w:val="005B3F78"/>
    <w:rsid w:val="005C49CD"/>
    <w:rsid w:val="00637185"/>
    <w:rsid w:val="00674011"/>
    <w:rsid w:val="00677991"/>
    <w:rsid w:val="006848A8"/>
    <w:rsid w:val="006D6F13"/>
    <w:rsid w:val="007D4A79"/>
    <w:rsid w:val="008B23E2"/>
    <w:rsid w:val="00900D4F"/>
    <w:rsid w:val="00972281"/>
    <w:rsid w:val="009726F6"/>
    <w:rsid w:val="00A0743A"/>
    <w:rsid w:val="00A16B2D"/>
    <w:rsid w:val="00A63A06"/>
    <w:rsid w:val="00A73ABF"/>
    <w:rsid w:val="00A90F33"/>
    <w:rsid w:val="00AA04A3"/>
    <w:rsid w:val="00B50B2E"/>
    <w:rsid w:val="00CA3C3B"/>
    <w:rsid w:val="00D22696"/>
    <w:rsid w:val="00D616FD"/>
    <w:rsid w:val="00DD104B"/>
    <w:rsid w:val="00DE613A"/>
    <w:rsid w:val="00E44048"/>
    <w:rsid w:val="00EC45AF"/>
    <w:rsid w:val="00F60104"/>
    <w:rsid w:val="00F65EED"/>
    <w:rsid w:val="00FC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8AB01-708A-4745-97DD-E1FAE391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C49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C49CD"/>
  </w:style>
  <w:style w:type="table" w:styleId="TableGrid">
    <w:name w:val="Table Grid"/>
    <w:basedOn w:val="TableNormal"/>
    <w:uiPriority w:val="59"/>
    <w:rsid w:val="00674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B3F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Isam</dc:creator>
  <cp:keywords/>
  <dc:description/>
  <cp:lastModifiedBy>Windows User</cp:lastModifiedBy>
  <cp:revision>2</cp:revision>
  <dcterms:created xsi:type="dcterms:W3CDTF">2021-08-03T07:04:00Z</dcterms:created>
  <dcterms:modified xsi:type="dcterms:W3CDTF">2021-08-03T07:04:00Z</dcterms:modified>
</cp:coreProperties>
</file>