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5E7" w:rsidRPr="003E30F3" w:rsidRDefault="001E45E7" w:rsidP="003E30F3">
      <w:pPr>
        <w:pStyle w:val="a5"/>
        <w:rPr>
          <w:sz w:val="28"/>
          <w:szCs w:val="28"/>
          <w:lang w:val="en-GB"/>
        </w:rPr>
      </w:pPr>
      <w:bookmarkStart w:id="0" w:name="_Toc506228838"/>
      <w:bookmarkStart w:id="1" w:name="_Toc506425112"/>
      <w:r w:rsidRPr="003E30F3">
        <w:rPr>
          <w:sz w:val="28"/>
          <w:szCs w:val="28"/>
          <w:lang w:val="en-GB"/>
        </w:rPr>
        <w:t>Faculty of Medicine</w:t>
      </w:r>
      <w:r w:rsidRPr="003E30F3">
        <w:rPr>
          <w:sz w:val="28"/>
          <w:szCs w:val="28"/>
        </w:rPr>
        <w:br/>
      </w:r>
      <w:r w:rsidRPr="003E30F3">
        <w:rPr>
          <w:sz w:val="28"/>
          <w:szCs w:val="28"/>
          <w:lang w:val="en-GB"/>
        </w:rPr>
        <w:t>University of Khartoum</w:t>
      </w:r>
    </w:p>
    <w:p w:rsidR="001E45E7" w:rsidRPr="003E30F3" w:rsidRDefault="003E30F3" w:rsidP="003E30F3">
      <w:pPr>
        <w:pStyle w:val="a5"/>
        <w:rPr>
          <w:sz w:val="28"/>
          <w:szCs w:val="28"/>
          <w:lang w:val="en-GB"/>
        </w:rPr>
      </w:pPr>
      <w:r w:rsidRPr="003E30F3">
        <w:rPr>
          <w:sz w:val="28"/>
          <w:szCs w:val="28"/>
          <w:lang w:val="en-GB"/>
        </w:rPr>
        <w:tab/>
      </w:r>
    </w:p>
    <w:p w:rsidR="00FB3850" w:rsidRDefault="001E45E7" w:rsidP="003E30F3">
      <w:pPr>
        <w:jc w:val="center"/>
        <w:rPr>
          <w:rFonts w:asciiTheme="majorHAnsi" w:hAnsiTheme="majorHAnsi"/>
          <w:b/>
          <w:bCs/>
          <w:sz w:val="28"/>
          <w:szCs w:val="28"/>
        </w:rPr>
      </w:pPr>
      <w:r w:rsidRPr="003E30F3">
        <w:rPr>
          <w:rFonts w:asciiTheme="majorHAnsi" w:hAnsiTheme="majorHAnsi"/>
          <w:b/>
          <w:bCs/>
          <w:sz w:val="28"/>
          <w:szCs w:val="28"/>
        </w:rPr>
        <w:t>Descriptive Cross-sectional St</w:t>
      </w:r>
      <w:r w:rsidR="005B7DAC">
        <w:rPr>
          <w:rFonts w:asciiTheme="majorHAnsi" w:hAnsiTheme="majorHAnsi"/>
          <w:b/>
          <w:bCs/>
          <w:sz w:val="28"/>
          <w:szCs w:val="28"/>
        </w:rPr>
        <w:t>udy</w:t>
      </w:r>
      <w:r w:rsidR="00FB3850">
        <w:rPr>
          <w:rFonts w:asciiTheme="majorHAnsi" w:hAnsiTheme="majorHAnsi"/>
          <w:b/>
          <w:bCs/>
          <w:sz w:val="28"/>
          <w:szCs w:val="28"/>
        </w:rPr>
        <w:t xml:space="preserve"> of  Perception and  attitude toward Traditional Bone-setter and their practice </w:t>
      </w:r>
    </w:p>
    <w:p w:rsidR="001E45E7" w:rsidRPr="003E30F3" w:rsidRDefault="007F41DA" w:rsidP="003E30F3">
      <w:pPr>
        <w:jc w:val="center"/>
        <w:rPr>
          <w:rFonts w:asciiTheme="majorHAnsi" w:hAnsiTheme="majorHAnsi"/>
          <w:b/>
          <w:bCs/>
          <w:sz w:val="28"/>
          <w:szCs w:val="28"/>
          <w:lang w:val="en-GB"/>
        </w:rPr>
      </w:pPr>
      <w:r>
        <w:rPr>
          <w:rFonts w:asciiTheme="majorHAnsi" w:hAnsiTheme="majorHAnsi"/>
          <w:b/>
          <w:bCs/>
          <w:sz w:val="28"/>
          <w:szCs w:val="28"/>
        </w:rPr>
        <w:t xml:space="preserve"> </w:t>
      </w:r>
      <w:r w:rsidR="001E45E7" w:rsidRPr="003E30F3">
        <w:rPr>
          <w:rFonts w:asciiTheme="majorHAnsi" w:hAnsiTheme="majorHAnsi"/>
          <w:b/>
          <w:bCs/>
          <w:sz w:val="28"/>
          <w:szCs w:val="28"/>
        </w:rPr>
        <w:t xml:space="preserve"> in Khartoum State</w:t>
      </w:r>
      <w:r w:rsidR="001E45E7" w:rsidRPr="003E30F3">
        <w:rPr>
          <w:rFonts w:asciiTheme="majorHAnsi" w:hAnsiTheme="majorHAnsi"/>
          <w:b/>
          <w:bCs/>
          <w:sz w:val="28"/>
          <w:szCs w:val="28"/>
          <w:rtl/>
          <w:lang w:val="en-GB"/>
        </w:rPr>
        <w:t>2018-2017</w:t>
      </w:r>
    </w:p>
    <w:p w:rsidR="003E30F3" w:rsidRDefault="003E30F3" w:rsidP="00122E7A">
      <w:pPr>
        <w:ind w:left="-630"/>
        <w:rPr>
          <w:i/>
          <w:iCs/>
          <w:sz w:val="24"/>
          <w:szCs w:val="24"/>
        </w:rPr>
      </w:pPr>
      <w:r w:rsidRPr="003E30F3">
        <w:rPr>
          <w:i/>
          <w:iCs/>
          <w:sz w:val="24"/>
          <w:szCs w:val="24"/>
        </w:rPr>
        <w:t xml:space="preserve">              </w:t>
      </w:r>
      <w:r w:rsidR="005B7DAC">
        <w:rPr>
          <w:i/>
          <w:iCs/>
          <w:sz w:val="24"/>
          <w:szCs w:val="24"/>
        </w:rPr>
        <w:t xml:space="preserve">                                             </w:t>
      </w:r>
      <w:r w:rsidRPr="003E30F3">
        <w:rPr>
          <w:i/>
          <w:iCs/>
          <w:sz w:val="24"/>
          <w:szCs w:val="24"/>
        </w:rPr>
        <w:t xml:space="preserve">   by  :    </w:t>
      </w:r>
      <w:proofErr w:type="spellStart"/>
      <w:r w:rsidRPr="003E30F3">
        <w:rPr>
          <w:i/>
          <w:iCs/>
          <w:sz w:val="24"/>
          <w:szCs w:val="24"/>
        </w:rPr>
        <w:t>Maha</w:t>
      </w:r>
      <w:proofErr w:type="spellEnd"/>
      <w:r w:rsidRPr="003E30F3">
        <w:rPr>
          <w:i/>
          <w:iCs/>
          <w:sz w:val="24"/>
          <w:szCs w:val="24"/>
        </w:rPr>
        <w:t xml:space="preserve"> </w:t>
      </w:r>
      <w:proofErr w:type="spellStart"/>
      <w:r w:rsidRPr="003E30F3">
        <w:rPr>
          <w:i/>
          <w:iCs/>
          <w:sz w:val="24"/>
          <w:szCs w:val="24"/>
        </w:rPr>
        <w:t>Alhussein</w:t>
      </w:r>
      <w:proofErr w:type="spellEnd"/>
      <w:r w:rsidRPr="003E30F3">
        <w:rPr>
          <w:i/>
          <w:iCs/>
          <w:sz w:val="24"/>
          <w:szCs w:val="24"/>
        </w:rPr>
        <w:t xml:space="preserve"> Mohammed Ali </w:t>
      </w:r>
      <w:proofErr w:type="spellStart"/>
      <w:r w:rsidRPr="003E30F3">
        <w:rPr>
          <w:i/>
          <w:iCs/>
          <w:sz w:val="24"/>
          <w:szCs w:val="24"/>
        </w:rPr>
        <w:t>Aldool</w:t>
      </w:r>
      <w:proofErr w:type="spellEnd"/>
      <w:r w:rsidRPr="003E30F3">
        <w:rPr>
          <w:i/>
          <w:iCs/>
          <w:sz w:val="24"/>
          <w:szCs w:val="24"/>
        </w:rPr>
        <w:t xml:space="preserve"> </w:t>
      </w:r>
    </w:p>
    <w:p w:rsidR="003E30F3" w:rsidRPr="003E30F3" w:rsidRDefault="003E30F3" w:rsidP="003E30F3">
      <w:pPr>
        <w:pStyle w:val="2"/>
      </w:pPr>
      <w:r>
        <w:t xml:space="preserve">background : </w:t>
      </w:r>
    </w:p>
    <w:bookmarkEnd w:id="0"/>
    <w:bookmarkEnd w:id="1"/>
    <w:p w:rsidR="0013217E" w:rsidRPr="009D4CC6" w:rsidRDefault="00786F78" w:rsidP="00AC18FB">
      <w:pPr>
        <w:pStyle w:val="Style1"/>
        <w:spacing w:line="276" w:lineRule="auto"/>
        <w:ind w:firstLine="0"/>
        <w:jc w:val="both"/>
        <w:rPr>
          <w:rFonts w:asciiTheme="minorBidi" w:hAnsiTheme="minorBidi" w:cstheme="minorBidi"/>
          <w:i/>
          <w:iCs/>
          <w:noProof/>
        </w:rPr>
      </w:pPr>
      <w:r w:rsidRPr="009D4CC6">
        <w:rPr>
          <w:rFonts w:asciiTheme="minorBidi" w:hAnsiTheme="minorBidi" w:cstheme="minorBidi"/>
          <w:i/>
          <w:iCs/>
          <w:noProof/>
        </w:rPr>
        <w:t xml:space="preserve">The traditional bone setting  had been practiced  before orthodox medicine was introduced to the developing world </w:t>
      </w:r>
      <w:r w:rsidR="00AC18FB">
        <w:rPr>
          <w:rFonts w:asciiTheme="minorBidi" w:hAnsiTheme="minorBidi" w:cstheme="minorBidi"/>
          <w:i/>
          <w:iCs/>
          <w:noProof/>
        </w:rPr>
        <w:t>.</w:t>
      </w:r>
    </w:p>
    <w:p w:rsidR="0013217E" w:rsidRPr="00AC18FB" w:rsidRDefault="00786F78" w:rsidP="00AC18FB">
      <w:pPr>
        <w:pStyle w:val="Style1"/>
        <w:spacing w:line="276" w:lineRule="auto"/>
        <w:ind w:firstLine="0"/>
        <w:jc w:val="both"/>
      </w:pPr>
      <w:r w:rsidRPr="009D4CC6">
        <w:rPr>
          <w:rFonts w:asciiTheme="minorBidi" w:hAnsiTheme="minorBidi" w:cstheme="minorBidi"/>
          <w:i/>
          <w:iCs/>
          <w:noProof/>
        </w:rPr>
        <w:t>Traditional bone setters (TBSs), are orthopedics care practitioners, who have no  medical background or training course  ;‘’Bone-setting’’  practice acquired  by apprenticeship</w:t>
      </w:r>
      <w:r w:rsidR="00AC18FB" w:rsidRPr="00AC18FB">
        <w:rPr>
          <w:rFonts w:asciiTheme="minorBidi" w:hAnsiTheme="minorBidi" w:cstheme="minorBidi"/>
          <w:i/>
          <w:iCs/>
          <w:noProof/>
        </w:rPr>
        <w:t>,</w:t>
      </w:r>
      <w:r w:rsidR="00AC18FB" w:rsidRPr="00AC18FB">
        <w:rPr>
          <w:rFonts w:asciiTheme="minorBidi" w:hAnsiTheme="minorBidi" w:cstheme="minorBidi"/>
        </w:rPr>
        <w:t xml:space="preserve"> with no training on the diagnosis or management of orthopedics conditions.</w:t>
      </w:r>
    </w:p>
    <w:p w:rsidR="0013217E" w:rsidRPr="009D4CC6" w:rsidRDefault="00786F78" w:rsidP="00AC18FB">
      <w:pPr>
        <w:pStyle w:val="Style1"/>
        <w:spacing w:line="276" w:lineRule="auto"/>
        <w:ind w:firstLine="0"/>
        <w:jc w:val="both"/>
        <w:rPr>
          <w:rFonts w:asciiTheme="minorBidi" w:hAnsiTheme="minorBidi" w:cstheme="minorBidi"/>
          <w:i/>
          <w:iCs/>
          <w:noProof/>
        </w:rPr>
      </w:pPr>
      <w:r w:rsidRPr="009D4CC6">
        <w:rPr>
          <w:rFonts w:asciiTheme="minorBidi" w:hAnsiTheme="minorBidi" w:cstheme="minorBidi"/>
          <w:i/>
          <w:iCs/>
          <w:noProof/>
        </w:rPr>
        <w:t>TBS practice  rely on manual physical assessment and experience  for the diagnosis and treatment, their main principles are manipulation and immobilization by applying traditional plaster which the major contributing factors to the complications caused by TBS</w:t>
      </w:r>
      <w:r w:rsidR="00AC18FB">
        <w:rPr>
          <w:rFonts w:asciiTheme="minorBidi" w:hAnsiTheme="minorBidi" w:cstheme="minorBidi"/>
          <w:i/>
          <w:iCs/>
          <w:noProof/>
        </w:rPr>
        <w:t>.</w:t>
      </w:r>
    </w:p>
    <w:p w:rsidR="00AC18FB" w:rsidRDefault="00786F78" w:rsidP="00AC18FB">
      <w:pPr>
        <w:pStyle w:val="Style1"/>
        <w:spacing w:line="276" w:lineRule="auto"/>
        <w:ind w:firstLine="0"/>
        <w:jc w:val="both"/>
        <w:rPr>
          <w:rFonts w:asciiTheme="minorBidi" w:hAnsiTheme="minorBidi" w:cstheme="minorBidi"/>
          <w:i/>
          <w:iCs/>
          <w:noProof/>
        </w:rPr>
      </w:pPr>
      <w:r w:rsidRPr="009D4CC6">
        <w:rPr>
          <w:rFonts w:asciiTheme="minorBidi" w:hAnsiTheme="minorBidi" w:cstheme="minorBidi"/>
          <w:i/>
          <w:iCs/>
          <w:noProof/>
        </w:rPr>
        <w:t>closed and minimally displaced fractures and dislocations  are succes</w:t>
      </w:r>
      <w:r w:rsidR="005B7DAC">
        <w:rPr>
          <w:rFonts w:asciiTheme="minorBidi" w:hAnsiTheme="minorBidi" w:cstheme="minorBidi"/>
          <w:i/>
          <w:iCs/>
          <w:noProof/>
        </w:rPr>
        <w:t xml:space="preserve">sfully treated by TBS , but </w:t>
      </w:r>
      <w:r w:rsidR="00FB3850">
        <w:rPr>
          <w:rFonts w:asciiTheme="minorBidi" w:hAnsiTheme="minorBidi" w:cstheme="minorBidi"/>
          <w:i/>
          <w:iCs/>
          <w:noProof/>
        </w:rPr>
        <w:t xml:space="preserve"> a lot of</w:t>
      </w:r>
      <w:r w:rsidRPr="009D4CC6">
        <w:rPr>
          <w:rFonts w:asciiTheme="minorBidi" w:hAnsiTheme="minorBidi" w:cstheme="minorBidi"/>
          <w:i/>
          <w:iCs/>
          <w:noProof/>
        </w:rPr>
        <w:t xml:space="preserve"> complications were reported. </w:t>
      </w:r>
    </w:p>
    <w:p w:rsidR="009D4CC6" w:rsidRDefault="009D4CC6" w:rsidP="00AC18FB">
      <w:pPr>
        <w:pStyle w:val="Style1"/>
        <w:spacing w:line="276" w:lineRule="auto"/>
        <w:ind w:firstLine="0"/>
        <w:jc w:val="both"/>
        <w:rPr>
          <w:rFonts w:asciiTheme="minorBidi" w:hAnsiTheme="minorBidi" w:cstheme="minorBidi"/>
          <w:i/>
          <w:iCs/>
          <w:noProof/>
          <w:rtl/>
        </w:rPr>
      </w:pPr>
      <w:r w:rsidRPr="009D4CC6">
        <w:rPr>
          <w:rFonts w:asciiTheme="minorBidi" w:hAnsiTheme="minorBidi" w:cstheme="minorBidi"/>
          <w:i/>
          <w:iCs/>
          <w:noProof/>
        </w:rPr>
        <w:t>Despite these complications, there is a great trust on TBS services, and in fact some patients elect to leave  orthodox hospitals in favor of treatment by a TBS</w:t>
      </w:r>
    </w:p>
    <w:p w:rsidR="00A57274" w:rsidRPr="001E45E7" w:rsidRDefault="00A57274" w:rsidP="003E30F3">
      <w:pPr>
        <w:pStyle w:val="2"/>
      </w:pPr>
      <w:r w:rsidRPr="001E45E7">
        <w:t xml:space="preserve">Objective : </w:t>
      </w:r>
    </w:p>
    <w:p w:rsidR="00A57274" w:rsidRDefault="00A57274" w:rsidP="00A57274">
      <w:pPr>
        <w:pStyle w:val="Style1"/>
        <w:spacing w:line="276" w:lineRule="auto"/>
        <w:ind w:firstLine="0"/>
        <w:jc w:val="both"/>
        <w:rPr>
          <w:rFonts w:asciiTheme="minorBidi" w:hAnsiTheme="minorBidi"/>
          <w:i/>
          <w:iCs/>
          <w:noProof/>
        </w:rPr>
      </w:pPr>
      <w:r>
        <w:rPr>
          <w:rFonts w:asciiTheme="minorBidi" w:hAnsiTheme="minorBidi" w:cstheme="minorBidi"/>
          <w:i/>
          <w:iCs/>
          <w:noProof/>
        </w:rPr>
        <w:t>the aim</w:t>
      </w:r>
      <w:r w:rsidR="00AE7918">
        <w:rPr>
          <w:rFonts w:asciiTheme="minorBidi" w:hAnsiTheme="minorBidi" w:cstheme="minorBidi"/>
          <w:i/>
          <w:iCs/>
          <w:noProof/>
        </w:rPr>
        <w:t xml:space="preserve"> of the study</w:t>
      </w:r>
      <w:r w:rsidRPr="00A57274">
        <w:rPr>
          <w:rFonts w:asciiTheme="minorBidi" w:hAnsiTheme="minorBidi" w:cstheme="minorBidi"/>
          <w:i/>
          <w:iCs/>
          <w:noProof/>
        </w:rPr>
        <w:t xml:space="preserve"> to understand patients’ perception toward TBS</w:t>
      </w:r>
      <w:r>
        <w:rPr>
          <w:rFonts w:asciiTheme="minorBidi" w:hAnsiTheme="minorBidi" w:cstheme="minorBidi"/>
          <w:i/>
          <w:iCs/>
          <w:noProof/>
        </w:rPr>
        <w:t xml:space="preserve"> and</w:t>
      </w:r>
      <w:r>
        <w:rPr>
          <w:rFonts w:asciiTheme="minorBidi" w:hAnsiTheme="minorBidi"/>
          <w:i/>
          <w:iCs/>
          <w:noProof/>
        </w:rPr>
        <w:t xml:space="preserve"> identifing </w:t>
      </w:r>
      <w:r w:rsidRPr="00A57274">
        <w:rPr>
          <w:rFonts w:asciiTheme="minorBidi" w:hAnsiTheme="minorBidi"/>
          <w:i/>
          <w:iCs/>
          <w:noProof/>
        </w:rPr>
        <w:t xml:space="preserve"> factors behind continuous patronage of TBS. </w:t>
      </w:r>
      <w:r>
        <w:rPr>
          <w:rFonts w:asciiTheme="minorBidi" w:hAnsiTheme="minorBidi" w:cstheme="minorBidi"/>
          <w:i/>
          <w:iCs/>
          <w:noProof/>
        </w:rPr>
        <w:t xml:space="preserve"> also </w:t>
      </w:r>
      <w:r w:rsidRPr="00A57274">
        <w:rPr>
          <w:rFonts w:asciiTheme="minorBidi" w:hAnsiTheme="minorBidi"/>
          <w:i/>
          <w:iCs/>
          <w:noProof/>
        </w:rPr>
        <w:t>To determine ways by which TBS  reach diagnosis and conduct  management.</w:t>
      </w:r>
      <w:r w:rsidRPr="00A57274">
        <w:rPr>
          <w:rFonts w:asciiTheme="minorBidi" w:hAnsiTheme="minorBidi"/>
          <w:b/>
          <w:bCs/>
          <w:i/>
          <w:iCs/>
          <w:noProof/>
        </w:rPr>
        <w:t> </w:t>
      </w:r>
      <w:r w:rsidRPr="00A57274">
        <w:rPr>
          <w:rFonts w:asciiTheme="minorBidi" w:hAnsiTheme="minorBidi"/>
          <w:i/>
          <w:iCs/>
          <w:noProof/>
        </w:rPr>
        <w:t xml:space="preserve"> </w:t>
      </w:r>
    </w:p>
    <w:p w:rsidR="00A57274" w:rsidRDefault="00A57274" w:rsidP="003E30F3">
      <w:pPr>
        <w:pStyle w:val="2"/>
      </w:pPr>
      <w:r>
        <w:t xml:space="preserve">Method </w:t>
      </w:r>
    </w:p>
    <w:p w:rsidR="00A57274" w:rsidRPr="003E30F3" w:rsidRDefault="00A57274" w:rsidP="00A57274">
      <w:pPr>
        <w:pStyle w:val="Style1"/>
        <w:spacing w:line="276" w:lineRule="auto"/>
        <w:ind w:firstLine="0"/>
        <w:jc w:val="both"/>
        <w:rPr>
          <w:rFonts w:asciiTheme="minorBidi" w:hAnsiTheme="minorBidi" w:cstheme="minorBidi"/>
        </w:rPr>
      </w:pPr>
      <w:r w:rsidRPr="003E30F3">
        <w:rPr>
          <w:rFonts w:asciiTheme="minorBidi" w:hAnsiTheme="minorBidi" w:cstheme="minorBidi"/>
        </w:rPr>
        <w:t xml:space="preserve">This was a descriptive cross-sectional study. Questionnaire based interviews were conducted. Participants who were seeking care at two of the largest TBS centers between November 2017 and January 2018 were interviewed. Interview questions were compromised of socio-demographic data and perception and attitude towards TBSs. Data was analyzed using  </w:t>
      </w:r>
      <w:proofErr w:type="spellStart"/>
      <w:r w:rsidRPr="003E30F3">
        <w:rPr>
          <w:rFonts w:asciiTheme="minorBidi" w:hAnsiTheme="minorBidi" w:cstheme="minorBidi"/>
        </w:rPr>
        <w:t>Stata</w:t>
      </w:r>
      <w:proofErr w:type="spellEnd"/>
      <w:r w:rsidRPr="003E30F3">
        <w:rPr>
          <w:rFonts w:asciiTheme="minorBidi" w:hAnsiTheme="minorBidi" w:cstheme="minorBidi"/>
        </w:rPr>
        <w:t xml:space="preserve">   software version 15</w:t>
      </w:r>
    </w:p>
    <w:p w:rsidR="00A57274" w:rsidRDefault="00A57274" w:rsidP="003E30F3">
      <w:pPr>
        <w:pStyle w:val="2"/>
      </w:pPr>
      <w:r>
        <w:lastRenderedPageBreak/>
        <w:t xml:space="preserve">Result </w:t>
      </w:r>
    </w:p>
    <w:p w:rsidR="001E45E7" w:rsidRPr="003E30F3" w:rsidRDefault="00A57274" w:rsidP="00A57274">
      <w:pPr>
        <w:jc w:val="lowKashida"/>
        <w:rPr>
          <w:rFonts w:asciiTheme="minorBidi" w:hAnsiTheme="minorBidi"/>
          <w:sz w:val="24"/>
          <w:szCs w:val="24"/>
        </w:rPr>
      </w:pPr>
      <w:r w:rsidRPr="003E30F3">
        <w:rPr>
          <w:rFonts w:asciiTheme="minorBidi" w:hAnsiTheme="minorBidi"/>
          <w:sz w:val="24"/>
          <w:szCs w:val="24"/>
        </w:rPr>
        <w:t>The average age of participants was 40 years,</w:t>
      </w:r>
      <w:r w:rsidR="001E45E7" w:rsidRPr="003E30F3">
        <w:rPr>
          <w:rFonts w:asciiTheme="minorBidi" w:hAnsiTheme="minorBidi"/>
          <w:sz w:val="24"/>
          <w:szCs w:val="24"/>
        </w:rPr>
        <w:t xml:space="preserve"> most of them are female </w:t>
      </w:r>
    </w:p>
    <w:p w:rsidR="00A57274" w:rsidRDefault="00A57274" w:rsidP="00A57274">
      <w:pPr>
        <w:jc w:val="lowKashida"/>
        <w:rPr>
          <w:rFonts w:asciiTheme="minorBidi" w:hAnsiTheme="minorBidi"/>
          <w:sz w:val="24"/>
          <w:szCs w:val="24"/>
        </w:rPr>
      </w:pPr>
      <w:r w:rsidRPr="003E30F3">
        <w:rPr>
          <w:rFonts w:asciiTheme="minorBidi" w:hAnsiTheme="minorBidi"/>
          <w:sz w:val="24"/>
          <w:szCs w:val="24"/>
        </w:rPr>
        <w:t>56% stated that were TBSs are their main</w:t>
      </w:r>
      <w:r w:rsidRPr="003E30F3">
        <w:rPr>
          <w:rFonts w:asciiTheme="minorBidi" w:hAnsiTheme="minorBidi"/>
          <w:sz w:val="24"/>
          <w:szCs w:val="24"/>
          <w:rtl/>
        </w:rPr>
        <w:t xml:space="preserve"> </w:t>
      </w:r>
      <w:r w:rsidRPr="003E30F3">
        <w:rPr>
          <w:rFonts w:asciiTheme="minorBidi" w:hAnsiTheme="minorBidi"/>
          <w:sz w:val="24"/>
          <w:szCs w:val="24"/>
        </w:rPr>
        <w:t>stay for fractures management. many factors influenced this continued preference; (55%) due to popularity  of TBS and(19%)were</w:t>
      </w:r>
      <w:r w:rsidRPr="003E30F3">
        <w:rPr>
          <w:rFonts w:asciiTheme="minorBidi" w:hAnsiTheme="minorBidi"/>
          <w:sz w:val="24"/>
          <w:szCs w:val="24"/>
          <w:rtl/>
        </w:rPr>
        <w:t xml:space="preserve"> </w:t>
      </w:r>
      <w:r w:rsidRPr="003E30F3">
        <w:rPr>
          <w:rFonts w:asciiTheme="minorBidi" w:hAnsiTheme="minorBidi"/>
          <w:sz w:val="24"/>
          <w:szCs w:val="24"/>
        </w:rPr>
        <w:t xml:space="preserve"> belief on TBS, as (62%) were referred to a TBS by family or friends.</w:t>
      </w:r>
    </w:p>
    <w:p w:rsidR="001E45E7" w:rsidRDefault="00A57274" w:rsidP="00A57274">
      <w:pPr>
        <w:jc w:val="lowKashida"/>
        <w:rPr>
          <w:rFonts w:asciiTheme="minorBidi" w:hAnsiTheme="minorBidi"/>
          <w:sz w:val="24"/>
          <w:szCs w:val="24"/>
        </w:rPr>
      </w:pPr>
      <w:r w:rsidRPr="003E30F3">
        <w:rPr>
          <w:rFonts w:asciiTheme="minorBidi" w:hAnsiTheme="minorBidi"/>
          <w:sz w:val="24"/>
          <w:szCs w:val="24"/>
        </w:rPr>
        <w:t>87% of the participants went to the hospital before transferring to the bone-setter. Of those, 68% were not satisfied by the treatment received at the hospital, 14% were afraid of the hospital and 8% considered access to the bone-setter to be easier than the hospital.</w:t>
      </w:r>
    </w:p>
    <w:p w:rsidR="0085004C" w:rsidRPr="003E30F3" w:rsidRDefault="0085004C" w:rsidP="0085004C">
      <w:pPr>
        <w:jc w:val="lowKashida"/>
        <w:rPr>
          <w:rFonts w:asciiTheme="minorBidi" w:hAnsiTheme="minorBidi"/>
          <w:sz w:val="24"/>
          <w:szCs w:val="24"/>
        </w:rPr>
      </w:pPr>
      <w:r w:rsidRPr="003E30F3">
        <w:rPr>
          <w:rFonts w:asciiTheme="minorBidi" w:hAnsiTheme="minorBidi"/>
          <w:sz w:val="24"/>
          <w:szCs w:val="24"/>
        </w:rPr>
        <w:t xml:space="preserve">  39% of the patients were aware of the possible complications from TBS treatment. </w:t>
      </w:r>
    </w:p>
    <w:p w:rsidR="001E45E7" w:rsidRPr="003E30F3" w:rsidRDefault="00A57274" w:rsidP="00A57274">
      <w:pPr>
        <w:jc w:val="lowKashida"/>
        <w:rPr>
          <w:rFonts w:asciiTheme="minorBidi" w:hAnsiTheme="minorBidi"/>
          <w:sz w:val="24"/>
          <w:szCs w:val="24"/>
        </w:rPr>
      </w:pPr>
      <w:r w:rsidRPr="003E30F3">
        <w:rPr>
          <w:rFonts w:asciiTheme="minorBidi" w:hAnsiTheme="minorBidi"/>
          <w:sz w:val="24"/>
          <w:szCs w:val="24"/>
        </w:rPr>
        <w:t xml:space="preserve"> The majority of patients had an investigation requested by the TBS. of which, 80% were Radiographs (X-ray) alone, 17</w:t>
      </w:r>
      <w:r w:rsidR="001E45E7" w:rsidRPr="003E30F3">
        <w:rPr>
          <w:rFonts w:asciiTheme="minorBidi" w:hAnsiTheme="minorBidi"/>
          <w:sz w:val="24"/>
          <w:szCs w:val="24"/>
        </w:rPr>
        <w:t>% were Radiographs and MRIs</w:t>
      </w:r>
    </w:p>
    <w:p w:rsidR="00A57274" w:rsidRPr="003E30F3" w:rsidRDefault="00A57274" w:rsidP="00A57274">
      <w:pPr>
        <w:jc w:val="lowKashida"/>
        <w:rPr>
          <w:rFonts w:asciiTheme="minorBidi" w:hAnsiTheme="minorBidi"/>
          <w:sz w:val="24"/>
          <w:szCs w:val="24"/>
        </w:rPr>
      </w:pPr>
      <w:r w:rsidRPr="003E30F3">
        <w:rPr>
          <w:rFonts w:asciiTheme="minorBidi" w:hAnsiTheme="minorBidi"/>
          <w:sz w:val="24"/>
          <w:szCs w:val="24"/>
        </w:rPr>
        <w:t xml:space="preserve">There was a significant association between traumatic conditions and the number of investigation requested by the bone-setter (p= 0.004) and no association between the level of education and knowledge of complications caused by bone-setters (p &gt; 0.05). </w:t>
      </w:r>
    </w:p>
    <w:p w:rsidR="00A57274" w:rsidRPr="00A57274" w:rsidRDefault="001E45E7" w:rsidP="003E30F3">
      <w:pPr>
        <w:pStyle w:val="2"/>
        <w:rPr>
          <w:sz w:val="24"/>
          <w:szCs w:val="24"/>
        </w:rPr>
      </w:pPr>
      <w:r>
        <w:t xml:space="preserve">Conclusion </w:t>
      </w:r>
    </w:p>
    <w:p w:rsidR="001E45E7" w:rsidRPr="003E30F3" w:rsidRDefault="00786F78" w:rsidP="001E45E7">
      <w:pPr>
        <w:ind w:right="-450"/>
        <w:jc w:val="lowKashida"/>
        <w:rPr>
          <w:rFonts w:asciiTheme="minorBidi" w:hAnsiTheme="minorBidi"/>
          <w:sz w:val="28"/>
          <w:szCs w:val="28"/>
        </w:rPr>
      </w:pPr>
      <w:r w:rsidRPr="003E30F3">
        <w:rPr>
          <w:rFonts w:asciiTheme="minorBidi" w:hAnsiTheme="minorBidi"/>
          <w:i/>
          <w:iCs/>
          <w:noProof/>
          <w:sz w:val="24"/>
          <w:szCs w:val="24"/>
        </w:rPr>
        <w:t>Traditional bone setters are highly trusted and deeply impeded in the Sudanese society due to  popularity,  encouragement by relatives and Friends, and the lack  of knowledge about  their deficiencies and complications.</w:t>
      </w:r>
    </w:p>
    <w:p w:rsidR="001E45E7" w:rsidRPr="003E30F3" w:rsidRDefault="001E45E7" w:rsidP="001E45E7">
      <w:pPr>
        <w:ind w:right="-450"/>
        <w:jc w:val="lowKashida"/>
        <w:rPr>
          <w:rFonts w:asciiTheme="minorBidi" w:hAnsiTheme="minorBidi"/>
          <w:sz w:val="28"/>
          <w:szCs w:val="28"/>
        </w:rPr>
      </w:pPr>
      <w:r w:rsidRPr="003E30F3">
        <w:rPr>
          <w:rFonts w:asciiTheme="minorBidi" w:hAnsiTheme="minorBidi"/>
          <w:i/>
          <w:iCs/>
          <w:noProof/>
          <w:sz w:val="24"/>
          <w:szCs w:val="24"/>
        </w:rPr>
        <w:t xml:space="preserve"> TBS  using modern technique in order to reach diagnosis and conducted the management but without any medical background</w:t>
      </w:r>
      <w:r w:rsidR="0085004C">
        <w:rPr>
          <w:rFonts w:asciiTheme="minorBidi" w:hAnsiTheme="minorBidi"/>
          <w:i/>
          <w:iCs/>
          <w:noProof/>
          <w:sz w:val="24"/>
          <w:szCs w:val="24"/>
        </w:rPr>
        <w:t xml:space="preserve">. </w:t>
      </w:r>
    </w:p>
    <w:p w:rsidR="002C7C8E" w:rsidRPr="003E30F3" w:rsidRDefault="00122E7A">
      <w:pPr>
        <w:rPr>
          <w:rFonts w:asciiTheme="minorBidi" w:hAnsiTheme="minorBidi"/>
          <w:sz w:val="24"/>
          <w:szCs w:val="24"/>
        </w:rPr>
      </w:pPr>
      <w:r>
        <w:rPr>
          <w:rFonts w:asciiTheme="minorBidi" w:hAnsiTheme="minorBidi"/>
          <w:sz w:val="24"/>
          <w:szCs w:val="24"/>
        </w:rPr>
        <w:t xml:space="preserve">            Key ward TBS: traditional bone setter </w:t>
      </w:r>
    </w:p>
    <w:sectPr w:rsidR="002C7C8E" w:rsidRPr="003E30F3" w:rsidSect="002C7C8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B1DF1"/>
    <w:multiLevelType w:val="hybridMultilevel"/>
    <w:tmpl w:val="B4F8392E"/>
    <w:lvl w:ilvl="0" w:tplc="F764809C">
      <w:start w:val="1"/>
      <w:numFmt w:val="bullet"/>
      <w:lvlText w:val="•"/>
      <w:lvlJc w:val="left"/>
      <w:pPr>
        <w:tabs>
          <w:tab w:val="num" w:pos="720"/>
        </w:tabs>
        <w:ind w:left="720" w:hanging="360"/>
      </w:pPr>
      <w:rPr>
        <w:rFonts w:ascii="Georgia" w:hAnsi="Georgia" w:hint="default"/>
      </w:rPr>
    </w:lvl>
    <w:lvl w:ilvl="1" w:tplc="7952DE06" w:tentative="1">
      <w:start w:val="1"/>
      <w:numFmt w:val="bullet"/>
      <w:lvlText w:val="•"/>
      <w:lvlJc w:val="left"/>
      <w:pPr>
        <w:tabs>
          <w:tab w:val="num" w:pos="1440"/>
        </w:tabs>
        <w:ind w:left="1440" w:hanging="360"/>
      </w:pPr>
      <w:rPr>
        <w:rFonts w:ascii="Georgia" w:hAnsi="Georgia" w:hint="default"/>
      </w:rPr>
    </w:lvl>
    <w:lvl w:ilvl="2" w:tplc="124AE7C8" w:tentative="1">
      <w:start w:val="1"/>
      <w:numFmt w:val="bullet"/>
      <w:lvlText w:val="•"/>
      <w:lvlJc w:val="left"/>
      <w:pPr>
        <w:tabs>
          <w:tab w:val="num" w:pos="2160"/>
        </w:tabs>
        <w:ind w:left="2160" w:hanging="360"/>
      </w:pPr>
      <w:rPr>
        <w:rFonts w:ascii="Georgia" w:hAnsi="Georgia" w:hint="default"/>
      </w:rPr>
    </w:lvl>
    <w:lvl w:ilvl="3" w:tplc="91FCE196" w:tentative="1">
      <w:start w:val="1"/>
      <w:numFmt w:val="bullet"/>
      <w:lvlText w:val="•"/>
      <w:lvlJc w:val="left"/>
      <w:pPr>
        <w:tabs>
          <w:tab w:val="num" w:pos="2880"/>
        </w:tabs>
        <w:ind w:left="2880" w:hanging="360"/>
      </w:pPr>
      <w:rPr>
        <w:rFonts w:ascii="Georgia" w:hAnsi="Georgia" w:hint="default"/>
      </w:rPr>
    </w:lvl>
    <w:lvl w:ilvl="4" w:tplc="D2DCBF12" w:tentative="1">
      <w:start w:val="1"/>
      <w:numFmt w:val="bullet"/>
      <w:lvlText w:val="•"/>
      <w:lvlJc w:val="left"/>
      <w:pPr>
        <w:tabs>
          <w:tab w:val="num" w:pos="3600"/>
        </w:tabs>
        <w:ind w:left="3600" w:hanging="360"/>
      </w:pPr>
      <w:rPr>
        <w:rFonts w:ascii="Georgia" w:hAnsi="Georgia" w:hint="default"/>
      </w:rPr>
    </w:lvl>
    <w:lvl w:ilvl="5" w:tplc="8828ED2E" w:tentative="1">
      <w:start w:val="1"/>
      <w:numFmt w:val="bullet"/>
      <w:lvlText w:val="•"/>
      <w:lvlJc w:val="left"/>
      <w:pPr>
        <w:tabs>
          <w:tab w:val="num" w:pos="4320"/>
        </w:tabs>
        <w:ind w:left="4320" w:hanging="360"/>
      </w:pPr>
      <w:rPr>
        <w:rFonts w:ascii="Georgia" w:hAnsi="Georgia" w:hint="default"/>
      </w:rPr>
    </w:lvl>
    <w:lvl w:ilvl="6" w:tplc="C2F830F0" w:tentative="1">
      <w:start w:val="1"/>
      <w:numFmt w:val="bullet"/>
      <w:lvlText w:val="•"/>
      <w:lvlJc w:val="left"/>
      <w:pPr>
        <w:tabs>
          <w:tab w:val="num" w:pos="5040"/>
        </w:tabs>
        <w:ind w:left="5040" w:hanging="360"/>
      </w:pPr>
      <w:rPr>
        <w:rFonts w:ascii="Georgia" w:hAnsi="Georgia" w:hint="default"/>
      </w:rPr>
    </w:lvl>
    <w:lvl w:ilvl="7" w:tplc="E2325B2A" w:tentative="1">
      <w:start w:val="1"/>
      <w:numFmt w:val="bullet"/>
      <w:lvlText w:val="•"/>
      <w:lvlJc w:val="left"/>
      <w:pPr>
        <w:tabs>
          <w:tab w:val="num" w:pos="5760"/>
        </w:tabs>
        <w:ind w:left="5760" w:hanging="360"/>
      </w:pPr>
      <w:rPr>
        <w:rFonts w:ascii="Georgia" w:hAnsi="Georgia" w:hint="default"/>
      </w:rPr>
    </w:lvl>
    <w:lvl w:ilvl="8" w:tplc="F348ABEC" w:tentative="1">
      <w:start w:val="1"/>
      <w:numFmt w:val="bullet"/>
      <w:lvlText w:val="•"/>
      <w:lvlJc w:val="left"/>
      <w:pPr>
        <w:tabs>
          <w:tab w:val="num" w:pos="6480"/>
        </w:tabs>
        <w:ind w:left="6480" w:hanging="360"/>
      </w:pPr>
      <w:rPr>
        <w:rFonts w:ascii="Georgia" w:hAnsi="Georgia" w:hint="default"/>
      </w:rPr>
    </w:lvl>
  </w:abstractNum>
  <w:abstractNum w:abstractNumId="1">
    <w:nsid w:val="3A313AE2"/>
    <w:multiLevelType w:val="hybridMultilevel"/>
    <w:tmpl w:val="8466A67A"/>
    <w:lvl w:ilvl="0" w:tplc="0E32E2CE">
      <w:start w:val="1"/>
      <w:numFmt w:val="bullet"/>
      <w:lvlText w:val="•"/>
      <w:lvlJc w:val="left"/>
      <w:pPr>
        <w:tabs>
          <w:tab w:val="num" w:pos="720"/>
        </w:tabs>
        <w:ind w:left="720" w:hanging="360"/>
      </w:pPr>
      <w:rPr>
        <w:rFonts w:ascii="Georgia" w:hAnsi="Georgia" w:hint="default"/>
      </w:rPr>
    </w:lvl>
    <w:lvl w:ilvl="1" w:tplc="B79439FC" w:tentative="1">
      <w:start w:val="1"/>
      <w:numFmt w:val="bullet"/>
      <w:lvlText w:val="•"/>
      <w:lvlJc w:val="left"/>
      <w:pPr>
        <w:tabs>
          <w:tab w:val="num" w:pos="1440"/>
        </w:tabs>
        <w:ind w:left="1440" w:hanging="360"/>
      </w:pPr>
      <w:rPr>
        <w:rFonts w:ascii="Georgia" w:hAnsi="Georgia" w:hint="default"/>
      </w:rPr>
    </w:lvl>
    <w:lvl w:ilvl="2" w:tplc="D75A13E6" w:tentative="1">
      <w:start w:val="1"/>
      <w:numFmt w:val="bullet"/>
      <w:lvlText w:val="•"/>
      <w:lvlJc w:val="left"/>
      <w:pPr>
        <w:tabs>
          <w:tab w:val="num" w:pos="2160"/>
        </w:tabs>
        <w:ind w:left="2160" w:hanging="360"/>
      </w:pPr>
      <w:rPr>
        <w:rFonts w:ascii="Georgia" w:hAnsi="Georgia" w:hint="default"/>
      </w:rPr>
    </w:lvl>
    <w:lvl w:ilvl="3" w:tplc="CC4AC94E" w:tentative="1">
      <w:start w:val="1"/>
      <w:numFmt w:val="bullet"/>
      <w:lvlText w:val="•"/>
      <w:lvlJc w:val="left"/>
      <w:pPr>
        <w:tabs>
          <w:tab w:val="num" w:pos="2880"/>
        </w:tabs>
        <w:ind w:left="2880" w:hanging="360"/>
      </w:pPr>
      <w:rPr>
        <w:rFonts w:ascii="Georgia" w:hAnsi="Georgia" w:hint="default"/>
      </w:rPr>
    </w:lvl>
    <w:lvl w:ilvl="4" w:tplc="5590E91A" w:tentative="1">
      <w:start w:val="1"/>
      <w:numFmt w:val="bullet"/>
      <w:lvlText w:val="•"/>
      <w:lvlJc w:val="left"/>
      <w:pPr>
        <w:tabs>
          <w:tab w:val="num" w:pos="3600"/>
        </w:tabs>
        <w:ind w:left="3600" w:hanging="360"/>
      </w:pPr>
      <w:rPr>
        <w:rFonts w:ascii="Georgia" w:hAnsi="Georgia" w:hint="default"/>
      </w:rPr>
    </w:lvl>
    <w:lvl w:ilvl="5" w:tplc="4AFE81B2" w:tentative="1">
      <w:start w:val="1"/>
      <w:numFmt w:val="bullet"/>
      <w:lvlText w:val="•"/>
      <w:lvlJc w:val="left"/>
      <w:pPr>
        <w:tabs>
          <w:tab w:val="num" w:pos="4320"/>
        </w:tabs>
        <w:ind w:left="4320" w:hanging="360"/>
      </w:pPr>
      <w:rPr>
        <w:rFonts w:ascii="Georgia" w:hAnsi="Georgia" w:hint="default"/>
      </w:rPr>
    </w:lvl>
    <w:lvl w:ilvl="6" w:tplc="32229DB4" w:tentative="1">
      <w:start w:val="1"/>
      <w:numFmt w:val="bullet"/>
      <w:lvlText w:val="•"/>
      <w:lvlJc w:val="left"/>
      <w:pPr>
        <w:tabs>
          <w:tab w:val="num" w:pos="5040"/>
        </w:tabs>
        <w:ind w:left="5040" w:hanging="360"/>
      </w:pPr>
      <w:rPr>
        <w:rFonts w:ascii="Georgia" w:hAnsi="Georgia" w:hint="default"/>
      </w:rPr>
    </w:lvl>
    <w:lvl w:ilvl="7" w:tplc="9C8E8EA8" w:tentative="1">
      <w:start w:val="1"/>
      <w:numFmt w:val="bullet"/>
      <w:lvlText w:val="•"/>
      <w:lvlJc w:val="left"/>
      <w:pPr>
        <w:tabs>
          <w:tab w:val="num" w:pos="5760"/>
        </w:tabs>
        <w:ind w:left="5760" w:hanging="360"/>
      </w:pPr>
      <w:rPr>
        <w:rFonts w:ascii="Georgia" w:hAnsi="Georgia" w:hint="default"/>
      </w:rPr>
    </w:lvl>
    <w:lvl w:ilvl="8" w:tplc="3F9807C6" w:tentative="1">
      <w:start w:val="1"/>
      <w:numFmt w:val="bullet"/>
      <w:lvlText w:val="•"/>
      <w:lvlJc w:val="left"/>
      <w:pPr>
        <w:tabs>
          <w:tab w:val="num" w:pos="6480"/>
        </w:tabs>
        <w:ind w:left="6480" w:hanging="360"/>
      </w:pPr>
      <w:rPr>
        <w:rFonts w:ascii="Georgia" w:hAnsi="Georgia" w:hint="default"/>
      </w:rPr>
    </w:lvl>
  </w:abstractNum>
  <w:abstractNum w:abstractNumId="2">
    <w:nsid w:val="56DB4A83"/>
    <w:multiLevelType w:val="hybridMultilevel"/>
    <w:tmpl w:val="6AC44816"/>
    <w:lvl w:ilvl="0" w:tplc="DBA02962">
      <w:start w:val="1"/>
      <w:numFmt w:val="bullet"/>
      <w:lvlText w:val="•"/>
      <w:lvlJc w:val="left"/>
      <w:pPr>
        <w:tabs>
          <w:tab w:val="num" w:pos="720"/>
        </w:tabs>
        <w:ind w:left="720" w:hanging="360"/>
      </w:pPr>
      <w:rPr>
        <w:rFonts w:ascii="Georgia" w:hAnsi="Georgia" w:hint="default"/>
      </w:rPr>
    </w:lvl>
    <w:lvl w:ilvl="1" w:tplc="1A72F6A8" w:tentative="1">
      <w:start w:val="1"/>
      <w:numFmt w:val="bullet"/>
      <w:lvlText w:val="•"/>
      <w:lvlJc w:val="left"/>
      <w:pPr>
        <w:tabs>
          <w:tab w:val="num" w:pos="1440"/>
        </w:tabs>
        <w:ind w:left="1440" w:hanging="360"/>
      </w:pPr>
      <w:rPr>
        <w:rFonts w:ascii="Georgia" w:hAnsi="Georgia" w:hint="default"/>
      </w:rPr>
    </w:lvl>
    <w:lvl w:ilvl="2" w:tplc="282EB538" w:tentative="1">
      <w:start w:val="1"/>
      <w:numFmt w:val="bullet"/>
      <w:lvlText w:val="•"/>
      <w:lvlJc w:val="left"/>
      <w:pPr>
        <w:tabs>
          <w:tab w:val="num" w:pos="2160"/>
        </w:tabs>
        <w:ind w:left="2160" w:hanging="360"/>
      </w:pPr>
      <w:rPr>
        <w:rFonts w:ascii="Georgia" w:hAnsi="Georgia" w:hint="default"/>
      </w:rPr>
    </w:lvl>
    <w:lvl w:ilvl="3" w:tplc="C0C4BFD4" w:tentative="1">
      <w:start w:val="1"/>
      <w:numFmt w:val="bullet"/>
      <w:lvlText w:val="•"/>
      <w:lvlJc w:val="left"/>
      <w:pPr>
        <w:tabs>
          <w:tab w:val="num" w:pos="2880"/>
        </w:tabs>
        <w:ind w:left="2880" w:hanging="360"/>
      </w:pPr>
      <w:rPr>
        <w:rFonts w:ascii="Georgia" w:hAnsi="Georgia" w:hint="default"/>
      </w:rPr>
    </w:lvl>
    <w:lvl w:ilvl="4" w:tplc="A3CA1A00" w:tentative="1">
      <w:start w:val="1"/>
      <w:numFmt w:val="bullet"/>
      <w:lvlText w:val="•"/>
      <w:lvlJc w:val="left"/>
      <w:pPr>
        <w:tabs>
          <w:tab w:val="num" w:pos="3600"/>
        </w:tabs>
        <w:ind w:left="3600" w:hanging="360"/>
      </w:pPr>
      <w:rPr>
        <w:rFonts w:ascii="Georgia" w:hAnsi="Georgia" w:hint="default"/>
      </w:rPr>
    </w:lvl>
    <w:lvl w:ilvl="5" w:tplc="E054726E" w:tentative="1">
      <w:start w:val="1"/>
      <w:numFmt w:val="bullet"/>
      <w:lvlText w:val="•"/>
      <w:lvlJc w:val="left"/>
      <w:pPr>
        <w:tabs>
          <w:tab w:val="num" w:pos="4320"/>
        </w:tabs>
        <w:ind w:left="4320" w:hanging="360"/>
      </w:pPr>
      <w:rPr>
        <w:rFonts w:ascii="Georgia" w:hAnsi="Georgia" w:hint="default"/>
      </w:rPr>
    </w:lvl>
    <w:lvl w:ilvl="6" w:tplc="50287A1C" w:tentative="1">
      <w:start w:val="1"/>
      <w:numFmt w:val="bullet"/>
      <w:lvlText w:val="•"/>
      <w:lvlJc w:val="left"/>
      <w:pPr>
        <w:tabs>
          <w:tab w:val="num" w:pos="5040"/>
        </w:tabs>
        <w:ind w:left="5040" w:hanging="360"/>
      </w:pPr>
      <w:rPr>
        <w:rFonts w:ascii="Georgia" w:hAnsi="Georgia" w:hint="default"/>
      </w:rPr>
    </w:lvl>
    <w:lvl w:ilvl="7" w:tplc="F1BC79A8" w:tentative="1">
      <w:start w:val="1"/>
      <w:numFmt w:val="bullet"/>
      <w:lvlText w:val="•"/>
      <w:lvlJc w:val="left"/>
      <w:pPr>
        <w:tabs>
          <w:tab w:val="num" w:pos="5760"/>
        </w:tabs>
        <w:ind w:left="5760" w:hanging="360"/>
      </w:pPr>
      <w:rPr>
        <w:rFonts w:ascii="Georgia" w:hAnsi="Georgia" w:hint="default"/>
      </w:rPr>
    </w:lvl>
    <w:lvl w:ilvl="8" w:tplc="8AE87526" w:tentative="1">
      <w:start w:val="1"/>
      <w:numFmt w:val="bullet"/>
      <w:lvlText w:val="•"/>
      <w:lvlJc w:val="left"/>
      <w:pPr>
        <w:tabs>
          <w:tab w:val="num" w:pos="6480"/>
        </w:tabs>
        <w:ind w:left="6480" w:hanging="360"/>
      </w:pPr>
      <w:rPr>
        <w:rFonts w:ascii="Georgia" w:hAnsi="Georgia" w:hint="default"/>
      </w:rPr>
    </w:lvl>
  </w:abstractNum>
  <w:abstractNum w:abstractNumId="3">
    <w:nsid w:val="596302D4"/>
    <w:multiLevelType w:val="hybridMultilevel"/>
    <w:tmpl w:val="4B6244E6"/>
    <w:lvl w:ilvl="0" w:tplc="B43C02CA">
      <w:start w:val="1"/>
      <w:numFmt w:val="bullet"/>
      <w:lvlText w:val=""/>
      <w:lvlJc w:val="left"/>
      <w:pPr>
        <w:tabs>
          <w:tab w:val="num" w:pos="720"/>
        </w:tabs>
        <w:ind w:left="720" w:hanging="360"/>
      </w:pPr>
      <w:rPr>
        <w:rFonts w:ascii="Wingdings" w:hAnsi="Wingdings" w:hint="default"/>
      </w:rPr>
    </w:lvl>
    <w:lvl w:ilvl="1" w:tplc="60A88252" w:tentative="1">
      <w:start w:val="1"/>
      <w:numFmt w:val="bullet"/>
      <w:lvlText w:val=""/>
      <w:lvlJc w:val="left"/>
      <w:pPr>
        <w:tabs>
          <w:tab w:val="num" w:pos="1440"/>
        </w:tabs>
        <w:ind w:left="1440" w:hanging="360"/>
      </w:pPr>
      <w:rPr>
        <w:rFonts w:ascii="Wingdings" w:hAnsi="Wingdings" w:hint="default"/>
      </w:rPr>
    </w:lvl>
    <w:lvl w:ilvl="2" w:tplc="173245A2" w:tentative="1">
      <w:start w:val="1"/>
      <w:numFmt w:val="bullet"/>
      <w:lvlText w:val=""/>
      <w:lvlJc w:val="left"/>
      <w:pPr>
        <w:tabs>
          <w:tab w:val="num" w:pos="2160"/>
        </w:tabs>
        <w:ind w:left="2160" w:hanging="360"/>
      </w:pPr>
      <w:rPr>
        <w:rFonts w:ascii="Wingdings" w:hAnsi="Wingdings" w:hint="default"/>
      </w:rPr>
    </w:lvl>
    <w:lvl w:ilvl="3" w:tplc="C8A4E228" w:tentative="1">
      <w:start w:val="1"/>
      <w:numFmt w:val="bullet"/>
      <w:lvlText w:val=""/>
      <w:lvlJc w:val="left"/>
      <w:pPr>
        <w:tabs>
          <w:tab w:val="num" w:pos="2880"/>
        </w:tabs>
        <w:ind w:left="2880" w:hanging="360"/>
      </w:pPr>
      <w:rPr>
        <w:rFonts w:ascii="Wingdings" w:hAnsi="Wingdings" w:hint="default"/>
      </w:rPr>
    </w:lvl>
    <w:lvl w:ilvl="4" w:tplc="941EC742" w:tentative="1">
      <w:start w:val="1"/>
      <w:numFmt w:val="bullet"/>
      <w:lvlText w:val=""/>
      <w:lvlJc w:val="left"/>
      <w:pPr>
        <w:tabs>
          <w:tab w:val="num" w:pos="3600"/>
        </w:tabs>
        <w:ind w:left="3600" w:hanging="360"/>
      </w:pPr>
      <w:rPr>
        <w:rFonts w:ascii="Wingdings" w:hAnsi="Wingdings" w:hint="default"/>
      </w:rPr>
    </w:lvl>
    <w:lvl w:ilvl="5" w:tplc="B97C59D2" w:tentative="1">
      <w:start w:val="1"/>
      <w:numFmt w:val="bullet"/>
      <w:lvlText w:val=""/>
      <w:lvlJc w:val="left"/>
      <w:pPr>
        <w:tabs>
          <w:tab w:val="num" w:pos="4320"/>
        </w:tabs>
        <w:ind w:left="4320" w:hanging="360"/>
      </w:pPr>
      <w:rPr>
        <w:rFonts w:ascii="Wingdings" w:hAnsi="Wingdings" w:hint="default"/>
      </w:rPr>
    </w:lvl>
    <w:lvl w:ilvl="6" w:tplc="68700930" w:tentative="1">
      <w:start w:val="1"/>
      <w:numFmt w:val="bullet"/>
      <w:lvlText w:val=""/>
      <w:lvlJc w:val="left"/>
      <w:pPr>
        <w:tabs>
          <w:tab w:val="num" w:pos="5040"/>
        </w:tabs>
        <w:ind w:left="5040" w:hanging="360"/>
      </w:pPr>
      <w:rPr>
        <w:rFonts w:ascii="Wingdings" w:hAnsi="Wingdings" w:hint="default"/>
      </w:rPr>
    </w:lvl>
    <w:lvl w:ilvl="7" w:tplc="BD783A6A" w:tentative="1">
      <w:start w:val="1"/>
      <w:numFmt w:val="bullet"/>
      <w:lvlText w:val=""/>
      <w:lvlJc w:val="left"/>
      <w:pPr>
        <w:tabs>
          <w:tab w:val="num" w:pos="5760"/>
        </w:tabs>
        <w:ind w:left="5760" w:hanging="360"/>
      </w:pPr>
      <w:rPr>
        <w:rFonts w:ascii="Wingdings" w:hAnsi="Wingdings" w:hint="default"/>
      </w:rPr>
    </w:lvl>
    <w:lvl w:ilvl="8" w:tplc="7F346288"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20"/>
  <w:characterSpacingControl w:val="doNotCompress"/>
  <w:compat/>
  <w:rsids>
    <w:rsidRoot w:val="009D4CC6"/>
    <w:rsid w:val="00122E7A"/>
    <w:rsid w:val="0013217E"/>
    <w:rsid w:val="001E45E7"/>
    <w:rsid w:val="002C7C8E"/>
    <w:rsid w:val="003E30F3"/>
    <w:rsid w:val="005B7DAC"/>
    <w:rsid w:val="00786F78"/>
    <w:rsid w:val="007F41DA"/>
    <w:rsid w:val="0085004C"/>
    <w:rsid w:val="009D4CC6"/>
    <w:rsid w:val="00A57274"/>
    <w:rsid w:val="00AC18FB"/>
    <w:rsid w:val="00AE7918"/>
    <w:rsid w:val="00FB385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7C8E"/>
  </w:style>
  <w:style w:type="paragraph" w:styleId="2">
    <w:name w:val="heading 2"/>
    <w:basedOn w:val="a"/>
    <w:next w:val="a"/>
    <w:link w:val="2Char"/>
    <w:autoRedefine/>
    <w:uiPriority w:val="9"/>
    <w:unhideWhenUsed/>
    <w:qFormat/>
    <w:rsid w:val="003E30F3"/>
    <w:pPr>
      <w:keepNext/>
      <w:keepLines/>
      <w:spacing w:before="200" w:after="0"/>
      <w:ind w:right="-450"/>
      <w:outlineLvl w:val="1"/>
    </w:pPr>
    <w:rPr>
      <w:rFonts w:eastAsiaTheme="majorEastAsia" w:cstheme="minorHAnsi"/>
      <w:b/>
      <w:bCs/>
      <w:noProof/>
      <w:sz w:val="28"/>
      <w:szCs w:val="28"/>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عنوان 2 Char"/>
    <w:basedOn w:val="a0"/>
    <w:link w:val="2"/>
    <w:uiPriority w:val="9"/>
    <w:rsid w:val="003E30F3"/>
    <w:rPr>
      <w:rFonts w:eastAsiaTheme="majorEastAsia" w:cstheme="minorHAnsi"/>
      <w:b/>
      <w:bCs/>
      <w:noProof/>
      <w:sz w:val="28"/>
      <w:szCs w:val="28"/>
      <w:u w:val="single"/>
    </w:rPr>
  </w:style>
  <w:style w:type="paragraph" w:customStyle="1" w:styleId="Style1">
    <w:name w:val="Style1"/>
    <w:basedOn w:val="a"/>
    <w:qFormat/>
    <w:rsid w:val="009D4CC6"/>
    <w:pPr>
      <w:spacing w:line="360" w:lineRule="auto"/>
      <w:ind w:firstLine="720"/>
      <w:jc w:val="lowKashida"/>
    </w:pPr>
    <w:rPr>
      <w:rFonts w:asciiTheme="majorBidi" w:hAnsiTheme="majorBidi" w:cstheme="majorBidi"/>
      <w:sz w:val="24"/>
      <w:szCs w:val="24"/>
    </w:rPr>
  </w:style>
  <w:style w:type="character" w:styleId="a3">
    <w:name w:val="Intense Emphasis"/>
    <w:basedOn w:val="a0"/>
    <w:uiPriority w:val="21"/>
    <w:qFormat/>
    <w:rsid w:val="009D4CC6"/>
    <w:rPr>
      <w:rFonts w:asciiTheme="minorBidi" w:hAnsiTheme="minorBidi" w:cstheme="minorBidi"/>
      <w:color w:val="000000" w:themeColor="text1"/>
    </w:rPr>
  </w:style>
  <w:style w:type="paragraph" w:styleId="a4">
    <w:name w:val="Normal (Web)"/>
    <w:basedOn w:val="a"/>
    <w:uiPriority w:val="99"/>
    <w:semiHidden/>
    <w:unhideWhenUsed/>
    <w:rsid w:val="00A57274"/>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Title"/>
    <w:basedOn w:val="a"/>
    <w:next w:val="a"/>
    <w:link w:val="Char"/>
    <w:uiPriority w:val="10"/>
    <w:qFormat/>
    <w:rsid w:val="003E30F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العنوان Char"/>
    <w:basedOn w:val="a0"/>
    <w:link w:val="a5"/>
    <w:uiPriority w:val="10"/>
    <w:rsid w:val="003E30F3"/>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133529184">
      <w:bodyDiv w:val="1"/>
      <w:marLeft w:val="0"/>
      <w:marRight w:val="0"/>
      <w:marTop w:val="0"/>
      <w:marBottom w:val="0"/>
      <w:divBdr>
        <w:top w:val="none" w:sz="0" w:space="0" w:color="auto"/>
        <w:left w:val="none" w:sz="0" w:space="0" w:color="auto"/>
        <w:bottom w:val="none" w:sz="0" w:space="0" w:color="auto"/>
        <w:right w:val="none" w:sz="0" w:space="0" w:color="auto"/>
      </w:divBdr>
      <w:divsChild>
        <w:div w:id="1460682066">
          <w:marLeft w:val="576"/>
          <w:marRight w:val="0"/>
          <w:marTop w:val="60"/>
          <w:marBottom w:val="0"/>
          <w:divBdr>
            <w:top w:val="none" w:sz="0" w:space="0" w:color="auto"/>
            <w:left w:val="none" w:sz="0" w:space="0" w:color="auto"/>
            <w:bottom w:val="none" w:sz="0" w:space="0" w:color="auto"/>
            <w:right w:val="none" w:sz="0" w:space="0" w:color="auto"/>
          </w:divBdr>
        </w:div>
        <w:div w:id="64648871">
          <w:marLeft w:val="576"/>
          <w:marRight w:val="0"/>
          <w:marTop w:val="60"/>
          <w:marBottom w:val="0"/>
          <w:divBdr>
            <w:top w:val="none" w:sz="0" w:space="0" w:color="auto"/>
            <w:left w:val="none" w:sz="0" w:space="0" w:color="auto"/>
            <w:bottom w:val="none" w:sz="0" w:space="0" w:color="auto"/>
            <w:right w:val="none" w:sz="0" w:space="0" w:color="auto"/>
          </w:divBdr>
        </w:div>
      </w:divsChild>
    </w:div>
    <w:div w:id="558981431">
      <w:bodyDiv w:val="1"/>
      <w:marLeft w:val="0"/>
      <w:marRight w:val="0"/>
      <w:marTop w:val="0"/>
      <w:marBottom w:val="0"/>
      <w:divBdr>
        <w:top w:val="none" w:sz="0" w:space="0" w:color="auto"/>
        <w:left w:val="none" w:sz="0" w:space="0" w:color="auto"/>
        <w:bottom w:val="none" w:sz="0" w:space="0" w:color="auto"/>
        <w:right w:val="none" w:sz="0" w:space="0" w:color="auto"/>
      </w:divBdr>
    </w:div>
    <w:div w:id="605622911">
      <w:bodyDiv w:val="1"/>
      <w:marLeft w:val="0"/>
      <w:marRight w:val="0"/>
      <w:marTop w:val="0"/>
      <w:marBottom w:val="0"/>
      <w:divBdr>
        <w:top w:val="none" w:sz="0" w:space="0" w:color="auto"/>
        <w:left w:val="none" w:sz="0" w:space="0" w:color="auto"/>
        <w:bottom w:val="none" w:sz="0" w:space="0" w:color="auto"/>
        <w:right w:val="none" w:sz="0" w:space="0" w:color="auto"/>
      </w:divBdr>
    </w:div>
    <w:div w:id="651715343">
      <w:bodyDiv w:val="1"/>
      <w:marLeft w:val="0"/>
      <w:marRight w:val="0"/>
      <w:marTop w:val="0"/>
      <w:marBottom w:val="0"/>
      <w:divBdr>
        <w:top w:val="none" w:sz="0" w:space="0" w:color="auto"/>
        <w:left w:val="none" w:sz="0" w:space="0" w:color="auto"/>
        <w:bottom w:val="none" w:sz="0" w:space="0" w:color="auto"/>
        <w:right w:val="none" w:sz="0" w:space="0" w:color="auto"/>
      </w:divBdr>
      <w:divsChild>
        <w:div w:id="1441416597">
          <w:marLeft w:val="576"/>
          <w:marRight w:val="0"/>
          <w:marTop w:val="60"/>
          <w:marBottom w:val="0"/>
          <w:divBdr>
            <w:top w:val="none" w:sz="0" w:space="0" w:color="auto"/>
            <w:left w:val="none" w:sz="0" w:space="0" w:color="auto"/>
            <w:bottom w:val="none" w:sz="0" w:space="0" w:color="auto"/>
            <w:right w:val="none" w:sz="0" w:space="0" w:color="auto"/>
          </w:divBdr>
        </w:div>
        <w:div w:id="288706343">
          <w:marLeft w:val="576"/>
          <w:marRight w:val="0"/>
          <w:marTop w:val="60"/>
          <w:marBottom w:val="0"/>
          <w:divBdr>
            <w:top w:val="none" w:sz="0" w:space="0" w:color="auto"/>
            <w:left w:val="none" w:sz="0" w:space="0" w:color="auto"/>
            <w:bottom w:val="none" w:sz="0" w:space="0" w:color="auto"/>
            <w:right w:val="none" w:sz="0" w:space="0" w:color="auto"/>
          </w:divBdr>
        </w:div>
      </w:divsChild>
    </w:div>
    <w:div w:id="671104233">
      <w:bodyDiv w:val="1"/>
      <w:marLeft w:val="0"/>
      <w:marRight w:val="0"/>
      <w:marTop w:val="0"/>
      <w:marBottom w:val="0"/>
      <w:divBdr>
        <w:top w:val="none" w:sz="0" w:space="0" w:color="auto"/>
        <w:left w:val="none" w:sz="0" w:space="0" w:color="auto"/>
        <w:bottom w:val="none" w:sz="0" w:space="0" w:color="auto"/>
        <w:right w:val="none" w:sz="0" w:space="0" w:color="auto"/>
      </w:divBdr>
      <w:divsChild>
        <w:div w:id="900360147">
          <w:marLeft w:val="576"/>
          <w:marRight w:val="0"/>
          <w:marTop w:val="60"/>
          <w:marBottom w:val="0"/>
          <w:divBdr>
            <w:top w:val="none" w:sz="0" w:space="0" w:color="auto"/>
            <w:left w:val="none" w:sz="0" w:space="0" w:color="auto"/>
            <w:bottom w:val="none" w:sz="0" w:space="0" w:color="auto"/>
            <w:right w:val="none" w:sz="0" w:space="0" w:color="auto"/>
          </w:divBdr>
        </w:div>
      </w:divsChild>
    </w:div>
    <w:div w:id="955598409">
      <w:bodyDiv w:val="1"/>
      <w:marLeft w:val="0"/>
      <w:marRight w:val="0"/>
      <w:marTop w:val="0"/>
      <w:marBottom w:val="0"/>
      <w:divBdr>
        <w:top w:val="none" w:sz="0" w:space="0" w:color="auto"/>
        <w:left w:val="none" w:sz="0" w:space="0" w:color="auto"/>
        <w:bottom w:val="none" w:sz="0" w:space="0" w:color="auto"/>
        <w:right w:val="none" w:sz="0" w:space="0" w:color="auto"/>
      </w:divBdr>
    </w:div>
    <w:div w:id="1962035347">
      <w:bodyDiv w:val="1"/>
      <w:marLeft w:val="0"/>
      <w:marRight w:val="0"/>
      <w:marTop w:val="0"/>
      <w:marBottom w:val="0"/>
      <w:divBdr>
        <w:top w:val="none" w:sz="0" w:space="0" w:color="auto"/>
        <w:left w:val="none" w:sz="0" w:space="0" w:color="auto"/>
        <w:bottom w:val="none" w:sz="0" w:space="0" w:color="auto"/>
        <w:right w:val="none" w:sz="0" w:space="0" w:color="auto"/>
      </w:divBdr>
      <w:divsChild>
        <w:div w:id="347371993">
          <w:marLeft w:val="576"/>
          <w:marRight w:val="0"/>
          <w:marTop w:val="60"/>
          <w:marBottom w:val="0"/>
          <w:divBdr>
            <w:top w:val="none" w:sz="0" w:space="0" w:color="auto"/>
            <w:left w:val="none" w:sz="0" w:space="0" w:color="auto"/>
            <w:bottom w:val="none" w:sz="0" w:space="0" w:color="auto"/>
            <w:right w:val="none" w:sz="0" w:space="0" w:color="auto"/>
          </w:divBdr>
        </w:div>
        <w:div w:id="465511666">
          <w:marLeft w:val="576"/>
          <w:marRight w:val="0"/>
          <w:marTop w:val="6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2</Pages>
  <Words>495</Words>
  <Characters>2823</Characters>
  <Application>Microsoft Office Word</Application>
  <DocSecurity>0</DocSecurity>
  <Lines>23</Lines>
  <Paragraphs>6</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medad</dc:creator>
  <cp:lastModifiedBy>medad</cp:lastModifiedBy>
  <cp:revision>10</cp:revision>
  <dcterms:created xsi:type="dcterms:W3CDTF">2018-08-18T05:30:00Z</dcterms:created>
  <dcterms:modified xsi:type="dcterms:W3CDTF">2018-08-20T10:06:00Z</dcterms:modified>
</cp:coreProperties>
</file>