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BF9" w:rsidRPr="00472BF9" w:rsidRDefault="00472BF9" w:rsidP="00472BF9">
      <w:pPr>
        <w:rPr>
          <w:sz w:val="32"/>
          <w:szCs w:val="32"/>
        </w:rPr>
      </w:pPr>
      <w:r w:rsidRPr="00472BF9">
        <w:rPr>
          <w:sz w:val="32"/>
          <w:szCs w:val="32"/>
        </w:rPr>
        <w:t>Clinical Outcomes of Adult Convergent and Divergent Squint Surgeries at Eye</w:t>
      </w:r>
      <w:r w:rsidR="00AE3A4F">
        <w:rPr>
          <w:sz w:val="32"/>
          <w:szCs w:val="32"/>
        </w:rPr>
        <w:t xml:space="preserve"> Hospital</w:t>
      </w:r>
      <w:r w:rsidRPr="00472BF9">
        <w:rPr>
          <w:sz w:val="32"/>
          <w:szCs w:val="32"/>
        </w:rPr>
        <w:t>, Hull University Teaching Hospital</w:t>
      </w:r>
      <w:r w:rsidR="00AE3A4F">
        <w:rPr>
          <w:sz w:val="32"/>
          <w:szCs w:val="32"/>
        </w:rPr>
        <w:t>s</w:t>
      </w:r>
      <w:r w:rsidRPr="00472BF9">
        <w:rPr>
          <w:sz w:val="32"/>
          <w:szCs w:val="32"/>
        </w:rPr>
        <w:t xml:space="preserve"> NHS Trust</w:t>
      </w:r>
    </w:p>
    <w:p w:rsidR="00472BF9" w:rsidRDefault="00472BF9" w:rsidP="00472BF9"/>
    <w:p w:rsidR="00472BF9" w:rsidRDefault="00472BF9" w:rsidP="00472BF9"/>
    <w:p w:rsidR="00472BF9" w:rsidRPr="00472BF9" w:rsidRDefault="00472BF9" w:rsidP="00472BF9">
      <w:pPr>
        <w:rPr>
          <w:b/>
          <w:u w:val="single"/>
        </w:rPr>
      </w:pPr>
      <w:r w:rsidRPr="00472BF9">
        <w:rPr>
          <w:b/>
          <w:u w:val="single"/>
        </w:rPr>
        <w:t>Author:</w:t>
      </w:r>
    </w:p>
    <w:p w:rsidR="00472BF9" w:rsidRDefault="00472BF9" w:rsidP="00472BF9">
      <w:pPr>
        <w:spacing w:after="0"/>
      </w:pPr>
      <w:r>
        <w:t xml:space="preserve">Muhammad Khursheed Ullah Khan Marwat </w:t>
      </w:r>
      <w:r w:rsidRPr="00472BF9">
        <w:rPr>
          <w:i/>
          <w:sz w:val="20"/>
        </w:rPr>
        <w:t>Trust Doctor</w:t>
      </w:r>
      <w:r w:rsidRPr="00472BF9">
        <w:rPr>
          <w:sz w:val="20"/>
        </w:rPr>
        <w:t xml:space="preserve"> </w:t>
      </w:r>
    </w:p>
    <w:p w:rsidR="00472BF9" w:rsidRDefault="00472BF9" w:rsidP="00472BF9">
      <w:pPr>
        <w:spacing w:after="0"/>
      </w:pPr>
      <w:r>
        <w:t xml:space="preserve">Email: </w:t>
      </w:r>
      <w:r w:rsidRPr="00B700D1">
        <w:rPr>
          <w:i/>
        </w:rPr>
        <w:t>m.marwat@nhs.net</w:t>
      </w:r>
    </w:p>
    <w:p w:rsidR="00472BF9" w:rsidRDefault="00472BF9" w:rsidP="00472BF9">
      <w:pPr>
        <w:rPr>
          <w:b/>
          <w:u w:val="single"/>
        </w:rPr>
      </w:pPr>
    </w:p>
    <w:p w:rsidR="00472BF9" w:rsidRPr="00472BF9" w:rsidRDefault="00472BF9" w:rsidP="00472BF9">
      <w:pPr>
        <w:rPr>
          <w:b/>
          <w:u w:val="single"/>
        </w:rPr>
      </w:pPr>
      <w:r w:rsidRPr="00472BF9">
        <w:rPr>
          <w:b/>
          <w:u w:val="single"/>
        </w:rPr>
        <w:t>Affiliation:</w:t>
      </w:r>
    </w:p>
    <w:p w:rsidR="00B700D1" w:rsidRDefault="00B700D1" w:rsidP="00B700D1">
      <w:pPr>
        <w:spacing w:after="0"/>
      </w:pPr>
      <w:r>
        <w:t>Eye Hospital, Hull Royal Infirmary</w:t>
      </w:r>
    </w:p>
    <w:p w:rsidR="00472BF9" w:rsidRDefault="00472BF9" w:rsidP="00B700D1">
      <w:pPr>
        <w:spacing w:after="0"/>
      </w:pPr>
      <w:r>
        <w:t>Hull University Teaching Hospital NHS Trust</w:t>
      </w:r>
    </w:p>
    <w:p w:rsidR="00B700D1" w:rsidRDefault="00B700D1" w:rsidP="00472BF9"/>
    <w:p w:rsidR="00472BF9" w:rsidRDefault="00472BF9" w:rsidP="00472BF9"/>
    <w:p w:rsidR="00472BF9" w:rsidRPr="00472BF9" w:rsidRDefault="00472BF9" w:rsidP="00472BF9">
      <w:pPr>
        <w:rPr>
          <w:b/>
          <w:sz w:val="24"/>
          <w:u w:val="single"/>
        </w:rPr>
      </w:pPr>
      <w:r w:rsidRPr="00472BF9">
        <w:rPr>
          <w:b/>
          <w:sz w:val="24"/>
          <w:u w:val="single"/>
        </w:rPr>
        <w:t>Introduction</w:t>
      </w:r>
      <w:r w:rsidR="00B700D1">
        <w:rPr>
          <w:b/>
          <w:sz w:val="24"/>
          <w:u w:val="single"/>
        </w:rPr>
        <w:t>:</w:t>
      </w:r>
    </w:p>
    <w:p w:rsidR="00472BF9" w:rsidRDefault="00472BF9" w:rsidP="00472BF9">
      <w:r>
        <w:t>Squint surgery, also known as strabismus surgery, is a procedure designed to correct misalignment of the eyes, which can significantly impact an individual's vision and quality of life. While strabismus correction is commonly associated with paediatric patients, it is equally relevant in adults.</w:t>
      </w:r>
    </w:p>
    <w:p w:rsidR="00472BF9" w:rsidRDefault="00472BF9" w:rsidP="00472BF9">
      <w:r>
        <w:t>The aim of this clinical audit is to evaluate the outcomes of squint surgeries in adult patients, specifically comparing the pre-operative deviation with two post-operative follow-ups conducted at 2 weeks and 3 months after the operation.</w:t>
      </w:r>
    </w:p>
    <w:p w:rsidR="00472BF9" w:rsidRDefault="00472BF9" w:rsidP="00472BF9">
      <w:r>
        <w:t>The primary purpose of this audit is to assess the effectiveness of squint surgery in adults and determine the degree of alignment achieved after surgery. This comparison is crucial in understanding the success of the surgical intervention and provides insights into the stability and sustainability of the outcomes over time.</w:t>
      </w:r>
    </w:p>
    <w:p w:rsidR="00472BF9" w:rsidRPr="00472BF9" w:rsidRDefault="00472BF9" w:rsidP="00472BF9">
      <w:pPr>
        <w:rPr>
          <w:b/>
          <w:sz w:val="24"/>
          <w:u w:val="single"/>
        </w:rPr>
      </w:pPr>
      <w:r w:rsidRPr="00472BF9">
        <w:rPr>
          <w:b/>
          <w:sz w:val="24"/>
          <w:u w:val="single"/>
        </w:rPr>
        <w:t>Literature Review</w:t>
      </w:r>
      <w:r w:rsidR="00B700D1">
        <w:rPr>
          <w:b/>
          <w:sz w:val="24"/>
          <w:u w:val="single"/>
        </w:rPr>
        <w:t>:</w:t>
      </w:r>
    </w:p>
    <w:p w:rsidR="00472BF9" w:rsidRDefault="00472BF9" w:rsidP="00472BF9">
      <w:r>
        <w:t xml:space="preserve">Strabismus surgery, is a specialized field of ophthalmology aimed at correcting ocular misalignment. While historically associated primarily with paediatric patients, adult squint conditions have gained recognition for their impact on visual function and quality of life. Convergent and divergent squints, also known as esotropia and exotropia, respectively, are not rare conditions. The prevalence of adult strabismus varies, with estimates ranging from 2% to 5% of the population [1]. These conditions may develop in adulthood due to a multitude of factors, including muscle imbalances, neurological issues, or unresolved childhood strabismus. In some cases, adult-onset squint can be associated with systemic diseases, such as thyroid disorders or neurological conditions like myasthenia gravis [2]. </w:t>
      </w:r>
    </w:p>
    <w:p w:rsidR="00472BF9" w:rsidRDefault="00472BF9" w:rsidP="00472BF9">
      <w:r>
        <w:t xml:space="preserve">Squint surgery aims to restore binocular vision by realigning the eyes. The choice of surgical technique depends on the type and severity of the squint. For convergent squints (esotropia), surgical options include medial rectus muscle recession, medial rectus muscle resection, and </w:t>
      </w:r>
      <w:r>
        <w:lastRenderedPageBreak/>
        <w:t xml:space="preserve">adjustable suture techniques. In contrast, for divergent squints (exotropia), lateral rectus muscle recession, lateral rectus muscle resection, or adjustable suture surgery may be employed [3]. </w:t>
      </w:r>
    </w:p>
    <w:p w:rsidR="00472BF9" w:rsidRDefault="00472BF9" w:rsidP="00472BF9">
      <w:r>
        <w:t>Existing research has reported varying success rates for squint surgery in adults, with some studies suggesting a high rate of initial alignment achievement but a propensity for recurrence over time [4]. Factors affecting outcomes, including age, type of squint, and surgical technique, have also been explored in the literature.</w:t>
      </w:r>
    </w:p>
    <w:p w:rsidR="00472BF9" w:rsidRDefault="00472BF9" w:rsidP="00472BF9"/>
    <w:p w:rsidR="00472BF9" w:rsidRPr="00472BF9" w:rsidRDefault="00B700D1" w:rsidP="00472BF9">
      <w:pPr>
        <w:rPr>
          <w:b/>
          <w:sz w:val="24"/>
          <w:u w:val="single"/>
        </w:rPr>
      </w:pPr>
      <w:r>
        <w:rPr>
          <w:b/>
          <w:sz w:val="24"/>
          <w:u w:val="single"/>
        </w:rPr>
        <w:t>Methodology:</w:t>
      </w:r>
    </w:p>
    <w:p w:rsidR="00472BF9" w:rsidRDefault="00472BF9" w:rsidP="00472BF9">
      <w:r>
        <w:t xml:space="preserve">This retrospective clinical audit was conducted using data collected between January and May 2023 from adult patients who underwent squint surgery at Eye Hospital, Hull University teaching Hospitals NHS Trust. </w:t>
      </w:r>
    </w:p>
    <w:p w:rsidR="00472BF9" w:rsidRDefault="00472BF9" w:rsidP="00472BF9">
      <w:r>
        <w:t>Inclusion and exclusion criteria for patient selection: Inclusion criteria encompassed adult patients (age ≥ 18) with either convergent or divergent squints who underwent squint surgery within the specified time frame. Exclusion criteria included patients with incomplete or inadequate medical records.</w:t>
      </w:r>
    </w:p>
    <w:p w:rsidR="00472BF9" w:rsidRDefault="00472BF9" w:rsidP="00472BF9">
      <w:r>
        <w:t>Data collection methods: Data for this audit were retrieved from patient records, including pre-operative assessments, 2-week post-operative follow-ups, and 3-month post-operative evaluations. Key variables include ocular alignment measurements and presence of diplopia. The Ocular alignments were calculated with glasses and without abnormal head posture AHP.</w:t>
      </w:r>
    </w:p>
    <w:p w:rsidR="00472BF9" w:rsidRDefault="00472BF9" w:rsidP="00472BF9">
      <w:r>
        <w:t xml:space="preserve">A total of 21 patients were identified. Out of the 21 patients 2 patients did not fulfil the inclusion criteria. </w:t>
      </w:r>
    </w:p>
    <w:tbl>
      <w:tblPr>
        <w:tblStyle w:val="GridTable4-Accent1"/>
        <w:tblpPr w:leftFromText="180" w:rightFromText="180" w:vertAnchor="page" w:horzAnchor="page" w:tblpX="2191" w:tblpY="10141"/>
        <w:tblW w:w="0" w:type="auto"/>
        <w:tblLook w:val="04A0" w:firstRow="1" w:lastRow="0" w:firstColumn="1" w:lastColumn="0" w:noHBand="0" w:noVBand="1"/>
      </w:tblPr>
      <w:tblGrid>
        <w:gridCol w:w="726"/>
        <w:gridCol w:w="726"/>
        <w:gridCol w:w="726"/>
        <w:gridCol w:w="726"/>
        <w:gridCol w:w="726"/>
        <w:gridCol w:w="726"/>
        <w:gridCol w:w="1060"/>
      </w:tblGrid>
      <w:tr w:rsidR="006D7C3C" w:rsidRPr="005A7E19" w:rsidTr="006D7C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2" w:type="dxa"/>
            <w:gridSpan w:val="2"/>
          </w:tcPr>
          <w:p w:rsidR="006D7C3C" w:rsidRPr="005A7E19" w:rsidRDefault="006D7C3C" w:rsidP="006D7C3C">
            <w:pPr>
              <w:jc w:val="center"/>
            </w:pPr>
            <w:r w:rsidRPr="005A7E19">
              <w:t>Pre-Op</w:t>
            </w:r>
          </w:p>
        </w:tc>
        <w:tc>
          <w:tcPr>
            <w:tcW w:w="1452" w:type="dxa"/>
            <w:gridSpan w:val="2"/>
          </w:tcPr>
          <w:p w:rsidR="006D7C3C" w:rsidRPr="005A7E19" w:rsidRDefault="006D7C3C" w:rsidP="006D7C3C">
            <w:pPr>
              <w:jc w:val="center"/>
              <w:cnfStyle w:val="100000000000" w:firstRow="1" w:lastRow="0" w:firstColumn="0" w:lastColumn="0" w:oddVBand="0" w:evenVBand="0" w:oddHBand="0" w:evenHBand="0" w:firstRowFirstColumn="0" w:firstRowLastColumn="0" w:lastRowFirstColumn="0" w:lastRowLastColumn="0"/>
            </w:pPr>
            <w:r w:rsidRPr="005A7E19">
              <w:t>First Post-op</w:t>
            </w:r>
          </w:p>
        </w:tc>
        <w:tc>
          <w:tcPr>
            <w:tcW w:w="1452" w:type="dxa"/>
            <w:gridSpan w:val="2"/>
          </w:tcPr>
          <w:p w:rsidR="006D7C3C" w:rsidRPr="005A7E19" w:rsidRDefault="006D7C3C" w:rsidP="006D7C3C">
            <w:pPr>
              <w:jc w:val="center"/>
              <w:cnfStyle w:val="100000000000" w:firstRow="1" w:lastRow="0" w:firstColumn="0" w:lastColumn="0" w:oddVBand="0" w:evenVBand="0" w:oddHBand="0" w:evenHBand="0" w:firstRowFirstColumn="0" w:firstRowLastColumn="0" w:lastRowFirstColumn="0" w:lastRowLastColumn="0"/>
            </w:pPr>
            <w:r w:rsidRPr="005A7E19">
              <w:t>2</w:t>
            </w:r>
            <w:r w:rsidRPr="005A7E19">
              <w:rPr>
                <w:vertAlign w:val="superscript"/>
              </w:rPr>
              <w:t>nd</w:t>
            </w:r>
            <w:r w:rsidRPr="005A7E19">
              <w:t xml:space="preserve"> Post-op</w:t>
            </w:r>
          </w:p>
        </w:tc>
        <w:tc>
          <w:tcPr>
            <w:tcW w:w="1060" w:type="dxa"/>
            <w:vMerge w:val="restart"/>
          </w:tcPr>
          <w:p w:rsidR="006D7C3C" w:rsidRPr="005A7E19" w:rsidRDefault="006D7C3C" w:rsidP="006D7C3C">
            <w:pPr>
              <w:jc w:val="center"/>
              <w:cnfStyle w:val="100000000000" w:firstRow="1" w:lastRow="0" w:firstColumn="0" w:lastColumn="0" w:oddVBand="0" w:evenVBand="0" w:oddHBand="0" w:evenHBand="0" w:firstRowFirstColumn="0" w:firstRowLastColumn="0" w:lastRowFirstColumn="0" w:lastRowLastColumn="0"/>
            </w:pPr>
            <w:r>
              <w:t>Post Op Diplopia</w:t>
            </w:r>
          </w:p>
        </w:tc>
      </w:tr>
      <w:tr w:rsidR="006D7C3C" w:rsidRPr="005A7E19" w:rsidTr="006D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2" w:type="dxa"/>
            <w:gridSpan w:val="2"/>
          </w:tcPr>
          <w:p w:rsidR="006D7C3C" w:rsidRPr="005A7E19" w:rsidRDefault="006D7C3C" w:rsidP="006D7C3C">
            <w:pPr>
              <w:jc w:val="center"/>
            </w:pPr>
          </w:p>
        </w:tc>
        <w:tc>
          <w:tcPr>
            <w:tcW w:w="1452" w:type="dxa"/>
            <w:gridSpan w:val="2"/>
          </w:tcPr>
          <w:p w:rsidR="006D7C3C" w:rsidRPr="005A7E19" w:rsidRDefault="006D7C3C" w:rsidP="006D7C3C">
            <w:pPr>
              <w:jc w:val="center"/>
              <w:cnfStyle w:val="000000100000" w:firstRow="0" w:lastRow="0" w:firstColumn="0" w:lastColumn="0" w:oddVBand="0" w:evenVBand="0" w:oddHBand="1" w:evenHBand="0" w:firstRowFirstColumn="0" w:firstRowLastColumn="0" w:lastRowFirstColumn="0" w:lastRowLastColumn="0"/>
            </w:pPr>
          </w:p>
        </w:tc>
        <w:tc>
          <w:tcPr>
            <w:tcW w:w="1452" w:type="dxa"/>
            <w:gridSpan w:val="2"/>
          </w:tcPr>
          <w:p w:rsidR="006D7C3C" w:rsidRPr="005A7E19" w:rsidRDefault="006D7C3C" w:rsidP="006D7C3C">
            <w:pPr>
              <w:jc w:val="center"/>
              <w:cnfStyle w:val="000000100000" w:firstRow="0" w:lastRow="0" w:firstColumn="0" w:lastColumn="0" w:oddVBand="0" w:evenVBand="0" w:oddHBand="1" w:evenHBand="0" w:firstRowFirstColumn="0" w:firstRowLastColumn="0" w:lastRowFirstColumn="0" w:lastRowLastColumn="0"/>
            </w:pPr>
          </w:p>
        </w:tc>
        <w:tc>
          <w:tcPr>
            <w:tcW w:w="1060" w:type="dxa"/>
            <w:vMerge/>
          </w:tcPr>
          <w:p w:rsidR="006D7C3C" w:rsidRDefault="006D7C3C" w:rsidP="006D7C3C">
            <w:pPr>
              <w:jc w:val="center"/>
              <w:cnfStyle w:val="000000100000" w:firstRow="0" w:lastRow="0" w:firstColumn="0" w:lastColumn="0" w:oddVBand="0" w:evenVBand="0" w:oddHBand="1" w:evenHBand="0" w:firstRowFirstColumn="0" w:firstRowLastColumn="0" w:lastRowFirstColumn="0" w:lastRowLastColumn="0"/>
            </w:pPr>
          </w:p>
        </w:tc>
      </w:tr>
      <w:tr w:rsidR="006D7C3C" w:rsidRPr="005A7E19" w:rsidTr="006D7C3C">
        <w:tc>
          <w:tcPr>
            <w:cnfStyle w:val="001000000000" w:firstRow="0" w:lastRow="0" w:firstColumn="1" w:lastColumn="0" w:oddVBand="0" w:evenVBand="0" w:oddHBand="0" w:evenHBand="0" w:firstRowFirstColumn="0" w:firstRowLastColumn="0" w:lastRowFirstColumn="0" w:lastRowLastColumn="0"/>
            <w:tcW w:w="1452" w:type="dxa"/>
            <w:gridSpan w:val="2"/>
          </w:tcPr>
          <w:p w:rsidR="006D7C3C" w:rsidRPr="005A7E19" w:rsidRDefault="006D7C3C" w:rsidP="006D7C3C">
            <w:pPr>
              <w:jc w:val="center"/>
            </w:pPr>
          </w:p>
        </w:tc>
        <w:tc>
          <w:tcPr>
            <w:tcW w:w="1452" w:type="dxa"/>
            <w:gridSpan w:val="2"/>
          </w:tcPr>
          <w:p w:rsidR="006D7C3C" w:rsidRPr="005A7E19" w:rsidRDefault="006D7C3C" w:rsidP="006D7C3C">
            <w:pPr>
              <w:jc w:val="center"/>
              <w:cnfStyle w:val="000000000000" w:firstRow="0" w:lastRow="0" w:firstColumn="0" w:lastColumn="0" w:oddVBand="0" w:evenVBand="0" w:oddHBand="0" w:evenHBand="0" w:firstRowFirstColumn="0" w:firstRowLastColumn="0" w:lastRowFirstColumn="0" w:lastRowLastColumn="0"/>
            </w:pPr>
          </w:p>
        </w:tc>
        <w:tc>
          <w:tcPr>
            <w:tcW w:w="1452" w:type="dxa"/>
            <w:gridSpan w:val="2"/>
          </w:tcPr>
          <w:p w:rsidR="006D7C3C" w:rsidRPr="005A7E19" w:rsidRDefault="006D7C3C" w:rsidP="006D7C3C">
            <w:pPr>
              <w:jc w:val="center"/>
              <w:cnfStyle w:val="000000000000" w:firstRow="0" w:lastRow="0" w:firstColumn="0" w:lastColumn="0" w:oddVBand="0" w:evenVBand="0" w:oddHBand="0" w:evenHBand="0" w:firstRowFirstColumn="0" w:firstRowLastColumn="0" w:lastRowFirstColumn="0" w:lastRowLastColumn="0"/>
            </w:pPr>
          </w:p>
        </w:tc>
        <w:tc>
          <w:tcPr>
            <w:tcW w:w="1060" w:type="dxa"/>
            <w:vMerge/>
          </w:tcPr>
          <w:p w:rsidR="006D7C3C" w:rsidRDefault="006D7C3C" w:rsidP="006D7C3C">
            <w:pPr>
              <w:jc w:val="center"/>
              <w:cnfStyle w:val="000000000000" w:firstRow="0" w:lastRow="0" w:firstColumn="0" w:lastColumn="0" w:oddVBand="0" w:evenVBand="0" w:oddHBand="0" w:evenHBand="0" w:firstRowFirstColumn="0" w:firstRowLastColumn="0" w:lastRowFirstColumn="0" w:lastRowLastColumn="0"/>
            </w:pPr>
          </w:p>
        </w:tc>
      </w:tr>
      <w:tr w:rsidR="006D7C3C" w:rsidTr="006D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proofErr w:type="spellStart"/>
            <w:r w:rsidRPr="006D7C3C">
              <w:rPr>
                <w:b w:val="0"/>
              </w:rPr>
              <w:t>Nr</w:t>
            </w:r>
            <w:proofErr w:type="spellEnd"/>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proofErr w:type="spellStart"/>
            <w:r>
              <w:t>Dist</w:t>
            </w:r>
            <w:proofErr w:type="spellEnd"/>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proofErr w:type="spellStart"/>
            <w:r>
              <w:t>Nr</w:t>
            </w:r>
            <w:proofErr w:type="spellEnd"/>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proofErr w:type="spellStart"/>
            <w:r>
              <w:t>Dist</w:t>
            </w:r>
            <w:proofErr w:type="spellEnd"/>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proofErr w:type="spellStart"/>
            <w:r>
              <w:t>Nr</w:t>
            </w:r>
            <w:proofErr w:type="spellEnd"/>
            <w:r>
              <w:t xml:space="preserve"> </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proofErr w:type="spellStart"/>
            <w:r>
              <w:t>Dist</w:t>
            </w:r>
            <w:proofErr w:type="spellEnd"/>
          </w:p>
        </w:tc>
        <w:tc>
          <w:tcPr>
            <w:tcW w:w="1060" w:type="dxa"/>
            <w:vMerge/>
          </w:tcPr>
          <w:p w:rsidR="006D7C3C" w:rsidRDefault="006D7C3C" w:rsidP="006D7C3C">
            <w:pPr>
              <w:cnfStyle w:val="000000100000" w:firstRow="0" w:lastRow="0" w:firstColumn="0" w:lastColumn="0" w:oddVBand="0" w:evenVBand="0" w:oddHBand="1" w:evenHBand="0" w:firstRowFirstColumn="0" w:firstRowLastColumn="0" w:lastRowFirstColumn="0" w:lastRowLastColumn="0"/>
            </w:pPr>
          </w:p>
        </w:tc>
      </w:tr>
      <w:tr w:rsidR="006D7C3C" w:rsidTr="006D7C3C">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60BO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65BO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25BO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30BO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20BO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16BO</w:t>
            </w:r>
          </w:p>
        </w:tc>
        <w:tc>
          <w:tcPr>
            <w:tcW w:w="1060"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N</w:t>
            </w:r>
          </w:p>
        </w:tc>
      </w:tr>
      <w:tr w:rsidR="006D7C3C" w:rsidTr="006D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20BO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25BO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2BO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4BO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10BO</w:t>
            </w:r>
          </w:p>
        </w:tc>
        <w:tc>
          <w:tcPr>
            <w:tcW w:w="1060"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N</w:t>
            </w:r>
          </w:p>
        </w:tc>
      </w:tr>
      <w:tr w:rsidR="006D7C3C" w:rsidTr="006D7C3C">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30BO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35BO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2BI</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1BO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4BI</w:t>
            </w:r>
          </w:p>
        </w:tc>
        <w:tc>
          <w:tcPr>
            <w:tcW w:w="1060"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N</w:t>
            </w:r>
          </w:p>
        </w:tc>
      </w:tr>
      <w:tr w:rsidR="006D7C3C" w:rsidTr="006D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16BO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25BO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6BI</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4BI</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1BO</w:t>
            </w:r>
          </w:p>
        </w:tc>
        <w:tc>
          <w:tcPr>
            <w:tcW w:w="1060"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N</w:t>
            </w:r>
          </w:p>
        </w:tc>
      </w:tr>
      <w:tr w:rsidR="006D7C3C" w:rsidTr="006D7C3C">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16BO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25BO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2BI</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0</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1BO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4BO</w:t>
            </w:r>
          </w:p>
        </w:tc>
        <w:tc>
          <w:tcPr>
            <w:tcW w:w="1060"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N</w:t>
            </w:r>
          </w:p>
        </w:tc>
      </w:tr>
      <w:tr w:rsidR="006D7C3C" w:rsidTr="006D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40BO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40BO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18BO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14BO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6BO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14BO</w:t>
            </w:r>
          </w:p>
        </w:tc>
        <w:tc>
          <w:tcPr>
            <w:tcW w:w="1060"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N</w:t>
            </w:r>
          </w:p>
        </w:tc>
      </w:tr>
      <w:tr w:rsidR="006D7C3C" w:rsidTr="006D7C3C">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35BO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35BO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1BI</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1BO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2BO</w:t>
            </w:r>
          </w:p>
        </w:tc>
        <w:tc>
          <w:tcPr>
            <w:tcW w:w="1060"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N</w:t>
            </w:r>
          </w:p>
        </w:tc>
      </w:tr>
      <w:tr w:rsidR="006D7C3C" w:rsidTr="006D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85BO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80BO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4BI</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2BI</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2BO</w:t>
            </w:r>
          </w:p>
        </w:tc>
        <w:tc>
          <w:tcPr>
            <w:tcW w:w="1060"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N</w:t>
            </w:r>
          </w:p>
        </w:tc>
      </w:tr>
      <w:tr w:rsidR="006D7C3C" w:rsidTr="006D7C3C">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18BO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30BO</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6BI</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6BI</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2BI</w:t>
            </w:r>
          </w:p>
        </w:tc>
        <w:tc>
          <w:tcPr>
            <w:tcW w:w="726"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2BI</w:t>
            </w:r>
          </w:p>
        </w:tc>
        <w:tc>
          <w:tcPr>
            <w:tcW w:w="1060"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pPr>
            <w:r>
              <w:t>N</w:t>
            </w:r>
          </w:p>
        </w:tc>
      </w:tr>
      <w:tr w:rsidR="006D7C3C" w:rsidTr="006D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tcPr>
          <w:p w:rsidR="006D7C3C" w:rsidRPr="006D7C3C" w:rsidRDefault="006D7C3C" w:rsidP="006D7C3C">
            <w:pPr>
              <w:rPr>
                <w:b w:val="0"/>
              </w:rPr>
            </w:pPr>
            <w:r w:rsidRPr="006D7C3C">
              <w:rPr>
                <w:b w:val="0"/>
              </w:rPr>
              <w:t>45-50BO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45-50BO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10BO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14BO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12BO</w:t>
            </w:r>
          </w:p>
        </w:tc>
        <w:tc>
          <w:tcPr>
            <w:tcW w:w="726"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8BO</w:t>
            </w:r>
          </w:p>
        </w:tc>
        <w:tc>
          <w:tcPr>
            <w:tcW w:w="1060"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pPr>
            <w:r>
              <w:t>N</w:t>
            </w:r>
          </w:p>
        </w:tc>
      </w:tr>
    </w:tbl>
    <w:p w:rsidR="006D7C3C" w:rsidRDefault="006D7C3C" w:rsidP="00472BF9"/>
    <w:p w:rsidR="006D7C3C" w:rsidRDefault="006D7C3C" w:rsidP="00472BF9"/>
    <w:p w:rsidR="00472BF9" w:rsidRDefault="006D7C3C" w:rsidP="00472BF9">
      <w:r>
        <w:t>Figure 1: Convergent Squint (Esotropia)</w:t>
      </w:r>
    </w:p>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472BF9" w:rsidRDefault="00472BF9" w:rsidP="00472BF9"/>
    <w:p w:rsidR="006D7C3C" w:rsidRDefault="006D7C3C" w:rsidP="00472BF9">
      <w:pPr>
        <w:rPr>
          <w:b/>
          <w:sz w:val="24"/>
          <w:u w:val="single"/>
        </w:rPr>
      </w:pPr>
    </w:p>
    <w:p w:rsidR="006D7C3C" w:rsidRDefault="006D7C3C" w:rsidP="008A2883">
      <w:pPr>
        <w:spacing w:after="0"/>
        <w:rPr>
          <w:b/>
          <w:sz w:val="24"/>
          <w:u w:val="single"/>
        </w:rPr>
      </w:pPr>
    </w:p>
    <w:p w:rsidR="006D7C3C" w:rsidRPr="008A2883" w:rsidRDefault="008A2883" w:rsidP="008A2883">
      <w:pPr>
        <w:spacing w:after="0"/>
        <w:rPr>
          <w:i/>
          <w:sz w:val="20"/>
        </w:rPr>
      </w:pPr>
      <w:r w:rsidRPr="008A2883">
        <w:rPr>
          <w:i/>
          <w:sz w:val="20"/>
        </w:rPr>
        <w:tab/>
      </w:r>
      <w:proofErr w:type="spellStart"/>
      <w:r w:rsidRPr="008A2883">
        <w:rPr>
          <w:i/>
          <w:sz w:val="20"/>
        </w:rPr>
        <w:t>Nr</w:t>
      </w:r>
      <w:proofErr w:type="spellEnd"/>
      <w:r w:rsidRPr="008A2883">
        <w:rPr>
          <w:i/>
          <w:sz w:val="20"/>
        </w:rPr>
        <w:t xml:space="preserve">: Near Vision, </w:t>
      </w:r>
      <w:proofErr w:type="spellStart"/>
      <w:r w:rsidRPr="008A2883">
        <w:rPr>
          <w:i/>
          <w:sz w:val="20"/>
        </w:rPr>
        <w:t>Dist</w:t>
      </w:r>
      <w:proofErr w:type="spellEnd"/>
      <w:r w:rsidRPr="008A2883">
        <w:rPr>
          <w:i/>
          <w:sz w:val="20"/>
        </w:rPr>
        <w:t>: Distance Vision, N: No diplopia</w:t>
      </w:r>
    </w:p>
    <w:p w:rsidR="006D7C3C" w:rsidRDefault="006D7C3C" w:rsidP="00472BF9">
      <w:pPr>
        <w:rPr>
          <w:b/>
          <w:sz w:val="24"/>
          <w:u w:val="single"/>
        </w:rPr>
      </w:pPr>
    </w:p>
    <w:p w:rsidR="006D7C3C" w:rsidRPr="006D7C3C" w:rsidRDefault="006D7C3C" w:rsidP="00472BF9">
      <w:pPr>
        <w:rPr>
          <w:sz w:val="24"/>
        </w:rPr>
      </w:pPr>
      <w:r w:rsidRPr="006D7C3C">
        <w:rPr>
          <w:sz w:val="24"/>
        </w:rPr>
        <w:lastRenderedPageBreak/>
        <w:t>Figure 2: Divergent Squint</w:t>
      </w:r>
      <w:r>
        <w:rPr>
          <w:sz w:val="24"/>
        </w:rPr>
        <w:t xml:space="preserve"> (Exotropia)</w:t>
      </w:r>
    </w:p>
    <w:p w:rsidR="006D7C3C" w:rsidRDefault="006D7C3C" w:rsidP="00472BF9">
      <w:pPr>
        <w:rPr>
          <w:b/>
          <w:sz w:val="24"/>
          <w:u w:val="single"/>
        </w:rPr>
      </w:pPr>
    </w:p>
    <w:tbl>
      <w:tblPr>
        <w:tblStyle w:val="GridTable4-Accent1"/>
        <w:tblpPr w:leftFromText="180" w:rightFromText="180" w:vertAnchor="page" w:horzAnchor="page" w:tblpX="2146" w:tblpY="2341"/>
        <w:tblW w:w="0" w:type="auto"/>
        <w:tblLook w:val="04A0" w:firstRow="1" w:lastRow="0" w:firstColumn="1" w:lastColumn="0" w:noHBand="0" w:noVBand="1"/>
      </w:tblPr>
      <w:tblGrid>
        <w:gridCol w:w="714"/>
        <w:gridCol w:w="714"/>
        <w:gridCol w:w="724"/>
        <w:gridCol w:w="714"/>
        <w:gridCol w:w="724"/>
        <w:gridCol w:w="68"/>
        <w:gridCol w:w="792"/>
        <w:gridCol w:w="1348"/>
      </w:tblGrid>
      <w:tr w:rsidR="008A2883" w:rsidRPr="005A7E19" w:rsidTr="008A28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8" w:type="dxa"/>
            <w:gridSpan w:val="2"/>
          </w:tcPr>
          <w:p w:rsidR="008A2883" w:rsidRPr="005A7E19" w:rsidRDefault="008A2883" w:rsidP="008A2883">
            <w:pPr>
              <w:jc w:val="center"/>
            </w:pPr>
            <w:r w:rsidRPr="005A7E19">
              <w:t>Pre-Op</w:t>
            </w:r>
          </w:p>
        </w:tc>
        <w:tc>
          <w:tcPr>
            <w:tcW w:w="1438" w:type="dxa"/>
            <w:gridSpan w:val="2"/>
          </w:tcPr>
          <w:p w:rsidR="008A2883" w:rsidRPr="005A7E19" w:rsidRDefault="008A2883" w:rsidP="008A2883">
            <w:pPr>
              <w:jc w:val="center"/>
              <w:cnfStyle w:val="100000000000" w:firstRow="1" w:lastRow="0" w:firstColumn="0" w:lastColumn="0" w:oddVBand="0" w:evenVBand="0" w:oddHBand="0" w:evenHBand="0" w:firstRowFirstColumn="0" w:firstRowLastColumn="0" w:lastRowFirstColumn="0" w:lastRowLastColumn="0"/>
            </w:pPr>
            <w:r w:rsidRPr="005A7E19">
              <w:t>First Post-op</w:t>
            </w:r>
          </w:p>
        </w:tc>
        <w:tc>
          <w:tcPr>
            <w:tcW w:w="1584" w:type="dxa"/>
            <w:gridSpan w:val="3"/>
          </w:tcPr>
          <w:p w:rsidR="008A2883" w:rsidRPr="005A7E19" w:rsidRDefault="008A2883" w:rsidP="008A2883">
            <w:pPr>
              <w:jc w:val="center"/>
              <w:cnfStyle w:val="100000000000" w:firstRow="1" w:lastRow="0" w:firstColumn="0" w:lastColumn="0" w:oddVBand="0" w:evenVBand="0" w:oddHBand="0" w:evenHBand="0" w:firstRowFirstColumn="0" w:firstRowLastColumn="0" w:lastRowFirstColumn="0" w:lastRowLastColumn="0"/>
            </w:pPr>
            <w:r w:rsidRPr="005A7E19">
              <w:t>2</w:t>
            </w:r>
            <w:r w:rsidRPr="005A7E19">
              <w:rPr>
                <w:vertAlign w:val="superscript"/>
              </w:rPr>
              <w:t>nd</w:t>
            </w:r>
            <w:r w:rsidRPr="005A7E19">
              <w:t xml:space="preserve"> Post-op</w:t>
            </w:r>
          </w:p>
        </w:tc>
        <w:tc>
          <w:tcPr>
            <w:tcW w:w="1348" w:type="dxa"/>
            <w:vMerge w:val="restart"/>
          </w:tcPr>
          <w:p w:rsidR="008A2883" w:rsidRPr="005A7E19" w:rsidRDefault="008A2883" w:rsidP="008A2883">
            <w:pPr>
              <w:jc w:val="center"/>
              <w:cnfStyle w:val="100000000000" w:firstRow="1" w:lastRow="0" w:firstColumn="0" w:lastColumn="0" w:oddVBand="0" w:evenVBand="0" w:oddHBand="0" w:evenHBand="0" w:firstRowFirstColumn="0" w:firstRowLastColumn="0" w:lastRowFirstColumn="0" w:lastRowLastColumn="0"/>
            </w:pPr>
            <w:r>
              <w:t>Post Op Diplopia</w:t>
            </w:r>
          </w:p>
        </w:tc>
      </w:tr>
      <w:tr w:rsidR="008A2883" w:rsidTr="008A2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dxa"/>
          </w:tcPr>
          <w:p w:rsidR="008A2883" w:rsidRPr="006D7C3C" w:rsidRDefault="008A2883" w:rsidP="008A2883">
            <w:pPr>
              <w:rPr>
                <w:b w:val="0"/>
              </w:rPr>
            </w:pPr>
            <w:proofErr w:type="spellStart"/>
            <w:r w:rsidRPr="006D7C3C">
              <w:rPr>
                <w:b w:val="0"/>
              </w:rPr>
              <w:t>Nr</w:t>
            </w:r>
            <w:proofErr w:type="spellEnd"/>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proofErr w:type="spellStart"/>
            <w:r>
              <w:t>Dist</w:t>
            </w:r>
            <w:proofErr w:type="spellEnd"/>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proofErr w:type="spellStart"/>
            <w:r>
              <w:t>Nr</w:t>
            </w:r>
            <w:proofErr w:type="spellEnd"/>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proofErr w:type="spellStart"/>
            <w:r>
              <w:t>Dist</w:t>
            </w:r>
            <w:proofErr w:type="spellEnd"/>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proofErr w:type="spellStart"/>
            <w:r>
              <w:t>Nr</w:t>
            </w:r>
            <w:proofErr w:type="spellEnd"/>
            <w:r>
              <w:t xml:space="preserve"> </w:t>
            </w:r>
          </w:p>
        </w:tc>
        <w:tc>
          <w:tcPr>
            <w:tcW w:w="860" w:type="dxa"/>
            <w:gridSpan w:val="2"/>
          </w:tcPr>
          <w:p w:rsidR="008A2883" w:rsidRDefault="008A2883" w:rsidP="008A2883">
            <w:pPr>
              <w:cnfStyle w:val="000000100000" w:firstRow="0" w:lastRow="0" w:firstColumn="0" w:lastColumn="0" w:oddVBand="0" w:evenVBand="0" w:oddHBand="1" w:evenHBand="0" w:firstRowFirstColumn="0" w:firstRowLastColumn="0" w:lastRowFirstColumn="0" w:lastRowLastColumn="0"/>
            </w:pPr>
            <w:proofErr w:type="spellStart"/>
            <w:r>
              <w:t>Dist</w:t>
            </w:r>
            <w:proofErr w:type="spellEnd"/>
            <w:r>
              <w:t xml:space="preserve">(no </w:t>
            </w:r>
            <w:proofErr w:type="spellStart"/>
            <w:r>
              <w:t>gls</w:t>
            </w:r>
            <w:proofErr w:type="spellEnd"/>
            <w:r>
              <w:t>)</w:t>
            </w:r>
          </w:p>
        </w:tc>
        <w:tc>
          <w:tcPr>
            <w:tcW w:w="1348" w:type="dxa"/>
            <w:vMerge/>
          </w:tcPr>
          <w:p w:rsidR="008A2883" w:rsidRDefault="008A2883" w:rsidP="008A2883">
            <w:pPr>
              <w:cnfStyle w:val="000000100000" w:firstRow="0" w:lastRow="0" w:firstColumn="0" w:lastColumn="0" w:oddVBand="0" w:evenVBand="0" w:oddHBand="1" w:evenHBand="0" w:firstRowFirstColumn="0" w:firstRowLastColumn="0" w:lastRowFirstColumn="0" w:lastRowLastColumn="0"/>
            </w:pPr>
          </w:p>
        </w:tc>
      </w:tr>
      <w:tr w:rsidR="008A2883" w:rsidTr="008A2883">
        <w:tc>
          <w:tcPr>
            <w:cnfStyle w:val="001000000000" w:firstRow="0" w:lastRow="0" w:firstColumn="1" w:lastColumn="0" w:oddVBand="0" w:evenVBand="0" w:oddHBand="0" w:evenHBand="0" w:firstRowFirstColumn="0" w:firstRowLastColumn="0" w:lastRowFirstColumn="0" w:lastRowLastColumn="0"/>
            <w:tcW w:w="714" w:type="dxa"/>
          </w:tcPr>
          <w:p w:rsidR="008A2883" w:rsidRPr="006D7C3C" w:rsidRDefault="008A2883" w:rsidP="008A2883">
            <w:pPr>
              <w:rPr>
                <w:b w:val="0"/>
              </w:rPr>
            </w:pPr>
            <w:r w:rsidRPr="006D7C3C">
              <w:rPr>
                <w:b w:val="0"/>
              </w:rPr>
              <w:t>40BI</w:t>
            </w:r>
          </w:p>
        </w:tc>
        <w:tc>
          <w:tcPr>
            <w:tcW w:w="71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40BI</w:t>
            </w:r>
          </w:p>
        </w:tc>
        <w:tc>
          <w:tcPr>
            <w:tcW w:w="72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2BO</w:t>
            </w:r>
          </w:p>
        </w:tc>
        <w:tc>
          <w:tcPr>
            <w:tcW w:w="71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2BO</w:t>
            </w:r>
          </w:p>
        </w:tc>
        <w:tc>
          <w:tcPr>
            <w:tcW w:w="72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9BI</w:t>
            </w:r>
          </w:p>
        </w:tc>
        <w:tc>
          <w:tcPr>
            <w:tcW w:w="860" w:type="dxa"/>
            <w:gridSpan w:val="2"/>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9BI</w:t>
            </w:r>
          </w:p>
        </w:tc>
        <w:tc>
          <w:tcPr>
            <w:tcW w:w="1348"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N</w:t>
            </w:r>
          </w:p>
        </w:tc>
      </w:tr>
      <w:tr w:rsidR="008A2883" w:rsidTr="008A2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dxa"/>
          </w:tcPr>
          <w:p w:rsidR="008A2883" w:rsidRPr="006D7C3C" w:rsidRDefault="008A2883" w:rsidP="008A2883">
            <w:pPr>
              <w:rPr>
                <w:b w:val="0"/>
              </w:rPr>
            </w:pPr>
            <w:r w:rsidRPr="006D7C3C">
              <w:rPr>
                <w:b w:val="0"/>
              </w:rPr>
              <w:t>35BI</w:t>
            </w:r>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30BI</w:t>
            </w:r>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14BO</w:t>
            </w:r>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w:t>
            </w:r>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14BO</w:t>
            </w:r>
          </w:p>
        </w:tc>
        <w:tc>
          <w:tcPr>
            <w:tcW w:w="860" w:type="dxa"/>
            <w:gridSpan w:val="2"/>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w:t>
            </w:r>
          </w:p>
        </w:tc>
        <w:tc>
          <w:tcPr>
            <w:tcW w:w="1348"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N</w:t>
            </w:r>
          </w:p>
        </w:tc>
      </w:tr>
      <w:tr w:rsidR="008A2883" w:rsidTr="008A2883">
        <w:trPr>
          <w:trHeight w:val="270"/>
        </w:trPr>
        <w:tc>
          <w:tcPr>
            <w:cnfStyle w:val="001000000000" w:firstRow="0" w:lastRow="0" w:firstColumn="1" w:lastColumn="0" w:oddVBand="0" w:evenVBand="0" w:oddHBand="0" w:evenHBand="0" w:firstRowFirstColumn="0" w:firstRowLastColumn="0" w:lastRowFirstColumn="0" w:lastRowLastColumn="0"/>
            <w:tcW w:w="714" w:type="dxa"/>
            <w:vMerge w:val="restart"/>
          </w:tcPr>
          <w:p w:rsidR="008A2883" w:rsidRPr="006D7C3C" w:rsidRDefault="008A2883" w:rsidP="008A2883">
            <w:pPr>
              <w:rPr>
                <w:b w:val="0"/>
              </w:rPr>
            </w:pPr>
            <w:r w:rsidRPr="006D7C3C">
              <w:rPr>
                <w:b w:val="0"/>
              </w:rPr>
              <w:t>50BI</w:t>
            </w:r>
          </w:p>
        </w:tc>
        <w:tc>
          <w:tcPr>
            <w:tcW w:w="714" w:type="dxa"/>
            <w:vMerge w:val="restart"/>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40BI</w:t>
            </w:r>
          </w:p>
        </w:tc>
        <w:tc>
          <w:tcPr>
            <w:tcW w:w="724" w:type="dxa"/>
            <w:vMerge w:val="restart"/>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30BI</w:t>
            </w:r>
          </w:p>
        </w:tc>
        <w:tc>
          <w:tcPr>
            <w:tcW w:w="714" w:type="dxa"/>
            <w:vMerge w:val="restart"/>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18BI</w:t>
            </w:r>
          </w:p>
        </w:tc>
        <w:tc>
          <w:tcPr>
            <w:tcW w:w="792" w:type="dxa"/>
            <w:gridSpan w:val="2"/>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25BI</w:t>
            </w:r>
          </w:p>
        </w:tc>
        <w:tc>
          <w:tcPr>
            <w:tcW w:w="792"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 xml:space="preserve">14BO </w:t>
            </w:r>
          </w:p>
        </w:tc>
        <w:tc>
          <w:tcPr>
            <w:tcW w:w="1348" w:type="dxa"/>
            <w:vMerge w:val="restart"/>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Y</w:t>
            </w:r>
            <w:r w:rsidRPr="006D7C3C">
              <w:rPr>
                <w:sz w:val="18"/>
              </w:rPr>
              <w:t>(Intermittent</w:t>
            </w:r>
            <w:r>
              <w:t>)</w:t>
            </w:r>
          </w:p>
        </w:tc>
      </w:tr>
      <w:tr w:rsidR="008A2883" w:rsidTr="008A2883">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14" w:type="dxa"/>
            <w:vMerge/>
          </w:tcPr>
          <w:p w:rsidR="008A2883" w:rsidRPr="006D7C3C" w:rsidRDefault="008A2883" w:rsidP="008A2883">
            <w:pPr>
              <w:rPr>
                <w:b w:val="0"/>
              </w:rPr>
            </w:pPr>
          </w:p>
        </w:tc>
        <w:tc>
          <w:tcPr>
            <w:tcW w:w="714" w:type="dxa"/>
            <w:vMerge/>
          </w:tcPr>
          <w:p w:rsidR="008A2883" w:rsidRDefault="008A2883" w:rsidP="008A2883">
            <w:pPr>
              <w:cnfStyle w:val="000000100000" w:firstRow="0" w:lastRow="0" w:firstColumn="0" w:lastColumn="0" w:oddVBand="0" w:evenVBand="0" w:oddHBand="1" w:evenHBand="0" w:firstRowFirstColumn="0" w:firstRowLastColumn="0" w:lastRowFirstColumn="0" w:lastRowLastColumn="0"/>
            </w:pPr>
          </w:p>
        </w:tc>
        <w:tc>
          <w:tcPr>
            <w:tcW w:w="724" w:type="dxa"/>
            <w:vMerge/>
          </w:tcPr>
          <w:p w:rsidR="008A2883" w:rsidRDefault="008A2883" w:rsidP="008A2883">
            <w:pPr>
              <w:cnfStyle w:val="000000100000" w:firstRow="0" w:lastRow="0" w:firstColumn="0" w:lastColumn="0" w:oddVBand="0" w:evenVBand="0" w:oddHBand="1" w:evenHBand="0" w:firstRowFirstColumn="0" w:firstRowLastColumn="0" w:lastRowFirstColumn="0" w:lastRowLastColumn="0"/>
            </w:pPr>
          </w:p>
        </w:tc>
        <w:tc>
          <w:tcPr>
            <w:tcW w:w="714" w:type="dxa"/>
            <w:vMerge/>
          </w:tcPr>
          <w:p w:rsidR="008A2883" w:rsidRDefault="008A2883" w:rsidP="008A2883">
            <w:pPr>
              <w:cnfStyle w:val="000000100000" w:firstRow="0" w:lastRow="0" w:firstColumn="0" w:lastColumn="0" w:oddVBand="0" w:evenVBand="0" w:oddHBand="1" w:evenHBand="0" w:firstRowFirstColumn="0" w:firstRowLastColumn="0" w:lastRowFirstColumn="0" w:lastRowLastColumn="0"/>
            </w:pPr>
          </w:p>
        </w:tc>
        <w:tc>
          <w:tcPr>
            <w:tcW w:w="792" w:type="dxa"/>
            <w:gridSpan w:val="2"/>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 xml:space="preserve">10BI </w:t>
            </w:r>
            <w:r w:rsidRPr="00D63866">
              <w:rPr>
                <w:sz w:val="14"/>
              </w:rPr>
              <w:t xml:space="preserve"> WITH FRESNEL</w:t>
            </w:r>
          </w:p>
        </w:tc>
        <w:tc>
          <w:tcPr>
            <w:tcW w:w="792"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 xml:space="preserve">6BO </w:t>
            </w:r>
            <w:r w:rsidRPr="00D63866">
              <w:rPr>
                <w:sz w:val="14"/>
              </w:rPr>
              <w:t>WITH FRESNEL</w:t>
            </w:r>
          </w:p>
        </w:tc>
        <w:tc>
          <w:tcPr>
            <w:tcW w:w="1348" w:type="dxa"/>
            <w:vMerge/>
          </w:tcPr>
          <w:p w:rsidR="008A2883" w:rsidRDefault="008A2883" w:rsidP="008A2883">
            <w:pPr>
              <w:cnfStyle w:val="000000100000" w:firstRow="0" w:lastRow="0" w:firstColumn="0" w:lastColumn="0" w:oddVBand="0" w:evenVBand="0" w:oddHBand="1" w:evenHBand="0" w:firstRowFirstColumn="0" w:firstRowLastColumn="0" w:lastRowFirstColumn="0" w:lastRowLastColumn="0"/>
            </w:pPr>
          </w:p>
        </w:tc>
      </w:tr>
      <w:tr w:rsidR="008A2883" w:rsidTr="008A2883">
        <w:tc>
          <w:tcPr>
            <w:cnfStyle w:val="001000000000" w:firstRow="0" w:lastRow="0" w:firstColumn="1" w:lastColumn="0" w:oddVBand="0" w:evenVBand="0" w:oddHBand="0" w:evenHBand="0" w:firstRowFirstColumn="0" w:firstRowLastColumn="0" w:lastRowFirstColumn="0" w:lastRowLastColumn="0"/>
            <w:tcW w:w="714" w:type="dxa"/>
          </w:tcPr>
          <w:p w:rsidR="008A2883" w:rsidRPr="006D7C3C" w:rsidRDefault="008A2883" w:rsidP="008A2883">
            <w:pPr>
              <w:rPr>
                <w:b w:val="0"/>
              </w:rPr>
            </w:pPr>
            <w:r w:rsidRPr="006D7C3C">
              <w:rPr>
                <w:b w:val="0"/>
              </w:rPr>
              <w:t>50BI</w:t>
            </w:r>
          </w:p>
        </w:tc>
        <w:tc>
          <w:tcPr>
            <w:tcW w:w="71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w:t>
            </w:r>
          </w:p>
        </w:tc>
        <w:tc>
          <w:tcPr>
            <w:tcW w:w="72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0</w:t>
            </w:r>
          </w:p>
        </w:tc>
        <w:tc>
          <w:tcPr>
            <w:tcW w:w="71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0</w:t>
            </w:r>
          </w:p>
        </w:tc>
        <w:tc>
          <w:tcPr>
            <w:tcW w:w="72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14BI</w:t>
            </w:r>
          </w:p>
        </w:tc>
        <w:tc>
          <w:tcPr>
            <w:tcW w:w="860" w:type="dxa"/>
            <w:gridSpan w:val="2"/>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18BI</w:t>
            </w:r>
          </w:p>
        </w:tc>
        <w:tc>
          <w:tcPr>
            <w:tcW w:w="1348"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N</w:t>
            </w:r>
          </w:p>
        </w:tc>
      </w:tr>
      <w:tr w:rsidR="008A2883" w:rsidTr="008A2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dxa"/>
          </w:tcPr>
          <w:p w:rsidR="008A2883" w:rsidRPr="006D7C3C" w:rsidRDefault="008A2883" w:rsidP="008A2883">
            <w:pPr>
              <w:rPr>
                <w:b w:val="0"/>
              </w:rPr>
            </w:pPr>
            <w:r w:rsidRPr="006D7C3C">
              <w:rPr>
                <w:b w:val="0"/>
              </w:rPr>
              <w:t>40BI</w:t>
            </w:r>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40BI</w:t>
            </w:r>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0</w:t>
            </w:r>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8BO</w:t>
            </w:r>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1BI</w:t>
            </w:r>
          </w:p>
        </w:tc>
        <w:tc>
          <w:tcPr>
            <w:tcW w:w="860" w:type="dxa"/>
            <w:gridSpan w:val="2"/>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2BI</w:t>
            </w:r>
          </w:p>
        </w:tc>
        <w:tc>
          <w:tcPr>
            <w:tcW w:w="1348"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N</w:t>
            </w:r>
          </w:p>
        </w:tc>
      </w:tr>
      <w:tr w:rsidR="008A2883" w:rsidTr="008A2883">
        <w:tc>
          <w:tcPr>
            <w:cnfStyle w:val="001000000000" w:firstRow="0" w:lastRow="0" w:firstColumn="1" w:lastColumn="0" w:oddVBand="0" w:evenVBand="0" w:oddHBand="0" w:evenHBand="0" w:firstRowFirstColumn="0" w:firstRowLastColumn="0" w:lastRowFirstColumn="0" w:lastRowLastColumn="0"/>
            <w:tcW w:w="714" w:type="dxa"/>
          </w:tcPr>
          <w:p w:rsidR="008A2883" w:rsidRPr="006D7C3C" w:rsidRDefault="008A2883" w:rsidP="008A2883">
            <w:pPr>
              <w:rPr>
                <w:b w:val="0"/>
              </w:rPr>
            </w:pPr>
            <w:r w:rsidRPr="006D7C3C">
              <w:rPr>
                <w:b w:val="0"/>
              </w:rPr>
              <w:t>20BI</w:t>
            </w:r>
          </w:p>
        </w:tc>
        <w:tc>
          <w:tcPr>
            <w:tcW w:w="71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20BI</w:t>
            </w:r>
          </w:p>
        </w:tc>
        <w:tc>
          <w:tcPr>
            <w:tcW w:w="72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12BO</w:t>
            </w:r>
          </w:p>
        </w:tc>
        <w:tc>
          <w:tcPr>
            <w:tcW w:w="71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14BO</w:t>
            </w:r>
          </w:p>
        </w:tc>
        <w:tc>
          <w:tcPr>
            <w:tcW w:w="72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6BO</w:t>
            </w:r>
          </w:p>
        </w:tc>
        <w:tc>
          <w:tcPr>
            <w:tcW w:w="860" w:type="dxa"/>
            <w:gridSpan w:val="2"/>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10BO</w:t>
            </w:r>
          </w:p>
        </w:tc>
        <w:tc>
          <w:tcPr>
            <w:tcW w:w="1348"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N</w:t>
            </w:r>
          </w:p>
        </w:tc>
      </w:tr>
      <w:tr w:rsidR="008A2883" w:rsidTr="008A2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dxa"/>
          </w:tcPr>
          <w:p w:rsidR="008A2883" w:rsidRPr="006D7C3C" w:rsidRDefault="008A2883" w:rsidP="008A2883">
            <w:pPr>
              <w:rPr>
                <w:b w:val="0"/>
              </w:rPr>
            </w:pPr>
            <w:r w:rsidRPr="006D7C3C">
              <w:rPr>
                <w:b w:val="0"/>
              </w:rPr>
              <w:t>30BI</w:t>
            </w:r>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50BI</w:t>
            </w:r>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6BI</w:t>
            </w:r>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2BI</w:t>
            </w:r>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10BI</w:t>
            </w:r>
          </w:p>
        </w:tc>
        <w:tc>
          <w:tcPr>
            <w:tcW w:w="860" w:type="dxa"/>
            <w:gridSpan w:val="2"/>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8BI</w:t>
            </w:r>
          </w:p>
        </w:tc>
        <w:tc>
          <w:tcPr>
            <w:tcW w:w="1348"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N</w:t>
            </w:r>
          </w:p>
        </w:tc>
      </w:tr>
      <w:tr w:rsidR="008A2883" w:rsidTr="008A2883">
        <w:tc>
          <w:tcPr>
            <w:cnfStyle w:val="001000000000" w:firstRow="0" w:lastRow="0" w:firstColumn="1" w:lastColumn="0" w:oddVBand="0" w:evenVBand="0" w:oddHBand="0" w:evenHBand="0" w:firstRowFirstColumn="0" w:firstRowLastColumn="0" w:lastRowFirstColumn="0" w:lastRowLastColumn="0"/>
            <w:tcW w:w="714" w:type="dxa"/>
          </w:tcPr>
          <w:p w:rsidR="008A2883" w:rsidRPr="006D7C3C" w:rsidRDefault="008A2883" w:rsidP="008A2883">
            <w:pPr>
              <w:rPr>
                <w:b w:val="0"/>
              </w:rPr>
            </w:pPr>
            <w:r w:rsidRPr="006D7C3C">
              <w:rPr>
                <w:b w:val="0"/>
              </w:rPr>
              <w:t>50BI</w:t>
            </w:r>
          </w:p>
        </w:tc>
        <w:tc>
          <w:tcPr>
            <w:tcW w:w="71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35BI</w:t>
            </w:r>
          </w:p>
        </w:tc>
        <w:tc>
          <w:tcPr>
            <w:tcW w:w="72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12BI</w:t>
            </w:r>
          </w:p>
        </w:tc>
        <w:tc>
          <w:tcPr>
            <w:tcW w:w="71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4BI</w:t>
            </w:r>
          </w:p>
        </w:tc>
        <w:tc>
          <w:tcPr>
            <w:tcW w:w="724"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14BI</w:t>
            </w:r>
          </w:p>
        </w:tc>
        <w:tc>
          <w:tcPr>
            <w:tcW w:w="860" w:type="dxa"/>
            <w:gridSpan w:val="2"/>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4BI</w:t>
            </w:r>
          </w:p>
        </w:tc>
        <w:tc>
          <w:tcPr>
            <w:tcW w:w="1348" w:type="dxa"/>
          </w:tcPr>
          <w:p w:rsidR="008A2883" w:rsidRDefault="008A2883" w:rsidP="008A2883">
            <w:pPr>
              <w:cnfStyle w:val="000000000000" w:firstRow="0" w:lastRow="0" w:firstColumn="0" w:lastColumn="0" w:oddVBand="0" w:evenVBand="0" w:oddHBand="0" w:evenHBand="0" w:firstRowFirstColumn="0" w:firstRowLastColumn="0" w:lastRowFirstColumn="0" w:lastRowLastColumn="0"/>
            </w:pPr>
            <w:r>
              <w:t>N</w:t>
            </w:r>
          </w:p>
        </w:tc>
      </w:tr>
      <w:tr w:rsidR="008A2883" w:rsidTr="008A28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4" w:type="dxa"/>
          </w:tcPr>
          <w:p w:rsidR="008A2883" w:rsidRPr="006D7C3C" w:rsidRDefault="008A2883" w:rsidP="008A2883">
            <w:pPr>
              <w:rPr>
                <w:b w:val="0"/>
              </w:rPr>
            </w:pPr>
            <w:r w:rsidRPr="006D7C3C">
              <w:rPr>
                <w:b w:val="0"/>
              </w:rPr>
              <w:t>30BI</w:t>
            </w:r>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30BI</w:t>
            </w:r>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2BO</w:t>
            </w:r>
          </w:p>
        </w:tc>
        <w:tc>
          <w:tcPr>
            <w:tcW w:w="71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0</w:t>
            </w:r>
          </w:p>
        </w:tc>
        <w:tc>
          <w:tcPr>
            <w:tcW w:w="724"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1B0</w:t>
            </w:r>
          </w:p>
        </w:tc>
        <w:tc>
          <w:tcPr>
            <w:tcW w:w="860" w:type="dxa"/>
            <w:gridSpan w:val="2"/>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2BO</w:t>
            </w:r>
          </w:p>
        </w:tc>
        <w:tc>
          <w:tcPr>
            <w:tcW w:w="1348" w:type="dxa"/>
          </w:tcPr>
          <w:p w:rsidR="008A2883" w:rsidRDefault="008A2883" w:rsidP="008A2883">
            <w:pPr>
              <w:cnfStyle w:val="000000100000" w:firstRow="0" w:lastRow="0" w:firstColumn="0" w:lastColumn="0" w:oddVBand="0" w:evenVBand="0" w:oddHBand="1" w:evenHBand="0" w:firstRowFirstColumn="0" w:firstRowLastColumn="0" w:lastRowFirstColumn="0" w:lastRowLastColumn="0"/>
            </w:pPr>
            <w:r>
              <w:t>N</w:t>
            </w:r>
          </w:p>
        </w:tc>
      </w:tr>
    </w:tbl>
    <w:p w:rsidR="006D7C3C" w:rsidRDefault="006D7C3C" w:rsidP="00472BF9">
      <w:pPr>
        <w:rPr>
          <w:b/>
          <w:sz w:val="24"/>
          <w:u w:val="single"/>
        </w:rPr>
      </w:pPr>
    </w:p>
    <w:p w:rsidR="006D7C3C" w:rsidRDefault="006D7C3C" w:rsidP="00472BF9">
      <w:pPr>
        <w:rPr>
          <w:b/>
          <w:sz w:val="24"/>
          <w:u w:val="single"/>
        </w:rPr>
      </w:pPr>
    </w:p>
    <w:p w:rsidR="006D7C3C" w:rsidRDefault="006D7C3C" w:rsidP="00472BF9">
      <w:pPr>
        <w:rPr>
          <w:b/>
          <w:sz w:val="24"/>
          <w:u w:val="single"/>
        </w:rPr>
      </w:pPr>
    </w:p>
    <w:p w:rsidR="006D7C3C" w:rsidRDefault="006D7C3C" w:rsidP="00472BF9">
      <w:pPr>
        <w:rPr>
          <w:b/>
          <w:sz w:val="24"/>
          <w:u w:val="single"/>
        </w:rPr>
      </w:pPr>
    </w:p>
    <w:p w:rsidR="006D7C3C" w:rsidRDefault="006D7C3C" w:rsidP="00472BF9">
      <w:pPr>
        <w:rPr>
          <w:b/>
          <w:sz w:val="24"/>
          <w:u w:val="single"/>
        </w:rPr>
      </w:pPr>
      <w:bookmarkStart w:id="0" w:name="_GoBack"/>
      <w:bookmarkEnd w:id="0"/>
    </w:p>
    <w:p w:rsidR="006D7C3C" w:rsidRDefault="006D7C3C" w:rsidP="00472BF9">
      <w:pPr>
        <w:rPr>
          <w:b/>
          <w:sz w:val="24"/>
          <w:u w:val="single"/>
        </w:rPr>
      </w:pPr>
    </w:p>
    <w:p w:rsidR="006D7C3C" w:rsidRDefault="006D7C3C" w:rsidP="00472BF9">
      <w:pPr>
        <w:rPr>
          <w:b/>
          <w:sz w:val="24"/>
          <w:u w:val="single"/>
        </w:rPr>
      </w:pPr>
    </w:p>
    <w:p w:rsidR="006D7C3C" w:rsidRDefault="006D7C3C" w:rsidP="00472BF9">
      <w:pPr>
        <w:rPr>
          <w:b/>
          <w:sz w:val="24"/>
          <w:u w:val="single"/>
        </w:rPr>
      </w:pPr>
    </w:p>
    <w:p w:rsidR="008A2883" w:rsidRDefault="008A2883" w:rsidP="008A2883">
      <w:pPr>
        <w:spacing w:after="0"/>
        <w:rPr>
          <w:sz w:val="24"/>
        </w:rPr>
      </w:pPr>
      <w:r>
        <w:rPr>
          <w:sz w:val="24"/>
        </w:rPr>
        <w:tab/>
      </w:r>
    </w:p>
    <w:p w:rsidR="006D7C3C" w:rsidRPr="008A2883" w:rsidRDefault="008A2883" w:rsidP="008A2883">
      <w:pPr>
        <w:spacing w:after="0"/>
        <w:ind w:left="720"/>
        <w:rPr>
          <w:i/>
          <w:sz w:val="24"/>
        </w:rPr>
      </w:pPr>
      <w:proofErr w:type="spellStart"/>
      <w:r w:rsidRPr="008A2883">
        <w:rPr>
          <w:i/>
          <w:sz w:val="20"/>
        </w:rPr>
        <w:t>Nr</w:t>
      </w:r>
      <w:proofErr w:type="spellEnd"/>
      <w:r w:rsidRPr="008A2883">
        <w:rPr>
          <w:i/>
          <w:sz w:val="20"/>
        </w:rPr>
        <w:t xml:space="preserve">: Near Vision, </w:t>
      </w:r>
      <w:proofErr w:type="spellStart"/>
      <w:r w:rsidRPr="008A2883">
        <w:rPr>
          <w:i/>
          <w:sz w:val="20"/>
        </w:rPr>
        <w:t>Dist</w:t>
      </w:r>
      <w:proofErr w:type="spellEnd"/>
      <w:r w:rsidRPr="008A2883">
        <w:rPr>
          <w:i/>
          <w:sz w:val="20"/>
        </w:rPr>
        <w:t>: Distance Vision, N: No diplopia</w:t>
      </w:r>
    </w:p>
    <w:p w:rsidR="006D7C3C" w:rsidRDefault="006D7C3C" w:rsidP="00472BF9">
      <w:pPr>
        <w:rPr>
          <w:sz w:val="24"/>
        </w:rPr>
      </w:pPr>
    </w:p>
    <w:p w:rsidR="006D7C3C" w:rsidRDefault="006D7C3C" w:rsidP="00472BF9">
      <w:pPr>
        <w:rPr>
          <w:sz w:val="24"/>
        </w:rPr>
      </w:pPr>
      <w:r w:rsidRPr="006D7C3C">
        <w:rPr>
          <w:sz w:val="24"/>
        </w:rPr>
        <w:t xml:space="preserve">Figure 3: </w:t>
      </w:r>
      <w:r>
        <w:rPr>
          <w:sz w:val="24"/>
        </w:rPr>
        <w:t xml:space="preserve">Outcomes </w:t>
      </w:r>
    </w:p>
    <w:tbl>
      <w:tblPr>
        <w:tblStyle w:val="GridTable4-Accent5"/>
        <w:tblpPr w:leftFromText="180" w:rightFromText="180" w:vertAnchor="text" w:horzAnchor="page" w:tblpX="2206" w:tblpY="381"/>
        <w:tblW w:w="0" w:type="auto"/>
        <w:tblLook w:val="04A0" w:firstRow="1" w:lastRow="0" w:firstColumn="1" w:lastColumn="0" w:noHBand="0" w:noVBand="1"/>
      </w:tblPr>
      <w:tblGrid>
        <w:gridCol w:w="2254"/>
        <w:gridCol w:w="2254"/>
        <w:gridCol w:w="2254"/>
        <w:gridCol w:w="2254"/>
      </w:tblGrid>
      <w:tr w:rsidR="006D7C3C" w:rsidTr="006D7C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6D7C3C" w:rsidRDefault="006D7C3C" w:rsidP="006D7C3C">
            <w:pPr>
              <w:rPr>
                <w:sz w:val="24"/>
              </w:rPr>
            </w:pPr>
          </w:p>
        </w:tc>
        <w:tc>
          <w:tcPr>
            <w:tcW w:w="2254" w:type="dxa"/>
          </w:tcPr>
          <w:p w:rsidR="006D7C3C" w:rsidRDefault="006D7C3C" w:rsidP="006D7C3C">
            <w:pPr>
              <w:cnfStyle w:val="100000000000" w:firstRow="1" w:lastRow="0" w:firstColumn="0" w:lastColumn="0" w:oddVBand="0" w:evenVBand="0" w:oddHBand="0" w:evenHBand="0" w:firstRowFirstColumn="0" w:firstRowLastColumn="0" w:lastRowFirstColumn="0" w:lastRowLastColumn="0"/>
              <w:rPr>
                <w:sz w:val="24"/>
              </w:rPr>
            </w:pPr>
            <w:r>
              <w:rPr>
                <w:sz w:val="24"/>
              </w:rPr>
              <w:t>Successful</w:t>
            </w:r>
          </w:p>
        </w:tc>
        <w:tc>
          <w:tcPr>
            <w:tcW w:w="2254" w:type="dxa"/>
          </w:tcPr>
          <w:p w:rsidR="006D7C3C" w:rsidRDefault="006D7C3C" w:rsidP="006D7C3C">
            <w:pPr>
              <w:cnfStyle w:val="100000000000" w:firstRow="1" w:lastRow="0" w:firstColumn="0" w:lastColumn="0" w:oddVBand="0" w:evenVBand="0" w:oddHBand="0" w:evenHBand="0" w:firstRowFirstColumn="0" w:firstRowLastColumn="0" w:lastRowFirstColumn="0" w:lastRowLastColumn="0"/>
              <w:rPr>
                <w:sz w:val="24"/>
              </w:rPr>
            </w:pPr>
            <w:r>
              <w:rPr>
                <w:sz w:val="24"/>
              </w:rPr>
              <w:t>Under-Correction</w:t>
            </w:r>
          </w:p>
        </w:tc>
        <w:tc>
          <w:tcPr>
            <w:tcW w:w="2254" w:type="dxa"/>
          </w:tcPr>
          <w:p w:rsidR="006D7C3C" w:rsidRDefault="006D7C3C" w:rsidP="006D7C3C">
            <w:pPr>
              <w:cnfStyle w:val="100000000000" w:firstRow="1" w:lastRow="0" w:firstColumn="0" w:lastColumn="0" w:oddVBand="0" w:evenVBand="0" w:oddHBand="0" w:evenHBand="0" w:firstRowFirstColumn="0" w:firstRowLastColumn="0" w:lastRowFirstColumn="0" w:lastRowLastColumn="0"/>
              <w:rPr>
                <w:sz w:val="24"/>
              </w:rPr>
            </w:pPr>
            <w:r>
              <w:rPr>
                <w:sz w:val="24"/>
              </w:rPr>
              <w:t>Over-Correction</w:t>
            </w:r>
          </w:p>
        </w:tc>
      </w:tr>
      <w:tr w:rsidR="006D7C3C" w:rsidTr="006D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6D7C3C" w:rsidRDefault="006D7C3C" w:rsidP="006D7C3C">
            <w:pPr>
              <w:rPr>
                <w:sz w:val="24"/>
              </w:rPr>
            </w:pPr>
            <w:r>
              <w:t>Exotropia Surgery</w:t>
            </w:r>
          </w:p>
        </w:tc>
        <w:tc>
          <w:tcPr>
            <w:tcW w:w="2254"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rPr>
                <w:sz w:val="24"/>
              </w:rPr>
            </w:pPr>
            <w:r>
              <w:t>n=6 (66.6%)</w:t>
            </w:r>
          </w:p>
        </w:tc>
        <w:tc>
          <w:tcPr>
            <w:tcW w:w="2254"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rPr>
                <w:sz w:val="24"/>
              </w:rPr>
            </w:pPr>
            <w:r>
              <w:t>n</w:t>
            </w:r>
            <w:r>
              <w:t>=2 (22.2%)</w:t>
            </w:r>
          </w:p>
        </w:tc>
        <w:tc>
          <w:tcPr>
            <w:tcW w:w="2254"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rPr>
                <w:sz w:val="24"/>
              </w:rPr>
            </w:pPr>
            <w:r>
              <w:t>n</w:t>
            </w:r>
            <w:r>
              <w:t>=1</w:t>
            </w:r>
          </w:p>
        </w:tc>
      </w:tr>
      <w:tr w:rsidR="006D7C3C" w:rsidTr="006D7C3C">
        <w:tc>
          <w:tcPr>
            <w:cnfStyle w:val="001000000000" w:firstRow="0" w:lastRow="0" w:firstColumn="1" w:lastColumn="0" w:oddVBand="0" w:evenVBand="0" w:oddHBand="0" w:evenHBand="0" w:firstRowFirstColumn="0" w:firstRowLastColumn="0" w:lastRowFirstColumn="0" w:lastRowLastColumn="0"/>
            <w:tcW w:w="2254" w:type="dxa"/>
          </w:tcPr>
          <w:p w:rsidR="006D7C3C" w:rsidRDefault="006D7C3C" w:rsidP="006D7C3C">
            <w:pPr>
              <w:rPr>
                <w:sz w:val="24"/>
              </w:rPr>
            </w:pPr>
            <w:r>
              <w:t>Esotropia Surgery</w:t>
            </w:r>
          </w:p>
        </w:tc>
        <w:tc>
          <w:tcPr>
            <w:tcW w:w="2254"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rPr>
                <w:sz w:val="24"/>
              </w:rPr>
            </w:pPr>
            <w:r>
              <w:t>n=7 (70%)</w:t>
            </w:r>
          </w:p>
        </w:tc>
        <w:tc>
          <w:tcPr>
            <w:tcW w:w="2254"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rPr>
                <w:sz w:val="24"/>
              </w:rPr>
            </w:pPr>
            <w:r>
              <w:t>n</w:t>
            </w:r>
            <w:r>
              <w:t>=3 (30%)</w:t>
            </w:r>
          </w:p>
        </w:tc>
        <w:tc>
          <w:tcPr>
            <w:tcW w:w="2254" w:type="dxa"/>
          </w:tcPr>
          <w:p w:rsidR="006D7C3C" w:rsidRDefault="006D7C3C" w:rsidP="006D7C3C">
            <w:pPr>
              <w:cnfStyle w:val="000000000000" w:firstRow="0" w:lastRow="0" w:firstColumn="0" w:lastColumn="0" w:oddVBand="0" w:evenVBand="0" w:oddHBand="0" w:evenHBand="0" w:firstRowFirstColumn="0" w:firstRowLastColumn="0" w:lastRowFirstColumn="0" w:lastRowLastColumn="0"/>
              <w:rPr>
                <w:sz w:val="24"/>
              </w:rPr>
            </w:pPr>
            <w:r>
              <w:t>n</w:t>
            </w:r>
            <w:r>
              <w:t>=0</w:t>
            </w:r>
          </w:p>
        </w:tc>
      </w:tr>
      <w:tr w:rsidR="006D7C3C" w:rsidTr="006D7C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54" w:type="dxa"/>
          </w:tcPr>
          <w:p w:rsidR="006D7C3C" w:rsidRDefault="006D7C3C" w:rsidP="006D7C3C">
            <w:pPr>
              <w:rPr>
                <w:sz w:val="24"/>
              </w:rPr>
            </w:pPr>
            <w:r>
              <w:t>Overall</w:t>
            </w:r>
          </w:p>
        </w:tc>
        <w:tc>
          <w:tcPr>
            <w:tcW w:w="2254"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rPr>
                <w:sz w:val="24"/>
              </w:rPr>
            </w:pPr>
            <w:r>
              <w:t>n=13 (68.4%)</w:t>
            </w:r>
          </w:p>
        </w:tc>
        <w:tc>
          <w:tcPr>
            <w:tcW w:w="2254"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rPr>
                <w:sz w:val="24"/>
              </w:rPr>
            </w:pPr>
            <w:r>
              <w:t>n</w:t>
            </w:r>
            <w:r>
              <w:t>=5 (31.5%)</w:t>
            </w:r>
          </w:p>
        </w:tc>
        <w:tc>
          <w:tcPr>
            <w:tcW w:w="2254" w:type="dxa"/>
          </w:tcPr>
          <w:p w:rsidR="006D7C3C" w:rsidRDefault="006D7C3C" w:rsidP="006D7C3C">
            <w:pPr>
              <w:cnfStyle w:val="000000100000" w:firstRow="0" w:lastRow="0" w:firstColumn="0" w:lastColumn="0" w:oddVBand="0" w:evenVBand="0" w:oddHBand="1" w:evenHBand="0" w:firstRowFirstColumn="0" w:firstRowLastColumn="0" w:lastRowFirstColumn="0" w:lastRowLastColumn="0"/>
              <w:rPr>
                <w:sz w:val="24"/>
              </w:rPr>
            </w:pPr>
            <w:r>
              <w:t>n=1</w:t>
            </w:r>
          </w:p>
        </w:tc>
      </w:tr>
    </w:tbl>
    <w:p w:rsidR="006D7C3C" w:rsidRDefault="006D7C3C" w:rsidP="00472BF9">
      <w:pPr>
        <w:rPr>
          <w:sz w:val="24"/>
        </w:rPr>
      </w:pPr>
    </w:p>
    <w:p w:rsidR="006D7C3C" w:rsidRDefault="006D7C3C" w:rsidP="00472BF9">
      <w:pPr>
        <w:rPr>
          <w:sz w:val="24"/>
        </w:rPr>
      </w:pPr>
    </w:p>
    <w:p w:rsidR="006D7C3C" w:rsidRDefault="006D7C3C" w:rsidP="00472BF9">
      <w:pPr>
        <w:rPr>
          <w:sz w:val="24"/>
        </w:rPr>
      </w:pPr>
    </w:p>
    <w:p w:rsidR="006D7C3C" w:rsidRDefault="006D7C3C" w:rsidP="00472BF9">
      <w:pPr>
        <w:rPr>
          <w:sz w:val="24"/>
        </w:rPr>
      </w:pPr>
    </w:p>
    <w:p w:rsidR="006D7C3C" w:rsidRDefault="006D7C3C" w:rsidP="00472BF9">
      <w:pPr>
        <w:rPr>
          <w:sz w:val="24"/>
        </w:rPr>
      </w:pPr>
    </w:p>
    <w:p w:rsidR="006D7C3C" w:rsidRPr="006D7C3C" w:rsidRDefault="006D7C3C" w:rsidP="00472BF9">
      <w:pPr>
        <w:rPr>
          <w:sz w:val="24"/>
        </w:rPr>
      </w:pPr>
    </w:p>
    <w:p w:rsidR="00472BF9" w:rsidRPr="00472BF9" w:rsidRDefault="00B700D1" w:rsidP="00472BF9">
      <w:pPr>
        <w:rPr>
          <w:b/>
          <w:sz w:val="24"/>
          <w:u w:val="single"/>
        </w:rPr>
      </w:pPr>
      <w:r>
        <w:rPr>
          <w:b/>
          <w:sz w:val="24"/>
          <w:u w:val="single"/>
        </w:rPr>
        <w:t>Results:</w:t>
      </w:r>
    </w:p>
    <w:p w:rsidR="00472BF9" w:rsidRDefault="00472BF9" w:rsidP="00472BF9"/>
    <w:p w:rsidR="00472BF9" w:rsidRDefault="00472BF9" w:rsidP="00472BF9">
      <w:r>
        <w:t>Out of 19 patients 10 patients (52.6%) had preoperative esotropia while 9 patients (47.3%) had exotropia.  Mean age of the patients was 53 years and range of age was 47 (77-30). Study included 47.3% males while 52.6% of participants were females. Only 1(5.7%) patient had maximum distance or near preoperative deviation ≤20PD, 11(57.8%) patients had maximum distance or near deviation of 21-40PD, while 7 (36.8%) patients had maximum deviation ≥41PD.</w:t>
      </w:r>
    </w:p>
    <w:p w:rsidR="00472BF9" w:rsidRDefault="00472BF9" w:rsidP="00472BF9">
      <w:r>
        <w:t>Post-operative follow-up at 2 weeks showed 12 out of 19(63.1%) patients had ≤10PD.</w:t>
      </w:r>
    </w:p>
    <w:p w:rsidR="00472BF9" w:rsidRDefault="00472BF9" w:rsidP="00472BF9">
      <w:r>
        <w:t>5 out of 19(26.3%) patients had under-correction (&gt;10PD deviation). While 2 out of 19(10.5%) patients had over-correction.</w:t>
      </w:r>
    </w:p>
    <w:p w:rsidR="00472BF9" w:rsidRDefault="00472BF9" w:rsidP="00472BF9">
      <w:r>
        <w:t>Moreover, Post-operative follow-up at 3 months showed 13 out of 19(68.4%) patients had successful outcome (≤10PD)</w:t>
      </w:r>
    </w:p>
    <w:p w:rsidR="00472BF9" w:rsidRDefault="00472BF9" w:rsidP="00472BF9">
      <w:r>
        <w:lastRenderedPageBreak/>
        <w:t>5 out of 19(26.3%) patients had under-correction (&gt;10PD deviation). While 1</w:t>
      </w:r>
      <w:proofErr w:type="gramStart"/>
      <w:r>
        <w:t>( 5.2</w:t>
      </w:r>
      <w:proofErr w:type="gramEnd"/>
      <w:r>
        <w:t>%)  patient had over-correction [Figure 3]</w:t>
      </w:r>
    </w:p>
    <w:p w:rsidR="00472BF9" w:rsidRDefault="00472BF9" w:rsidP="00472BF9">
      <w:r>
        <w:t>Only 1 out of 19(5.2%) patients complained of intermittent diplopia at 3 months follow-up.</w:t>
      </w:r>
    </w:p>
    <w:p w:rsidR="00C954B9" w:rsidRDefault="00472BF9" w:rsidP="00472BF9">
      <w:r>
        <w:t>The success rate was higher for esotropia surgery (70%) as compared to exotropia at 66.6%.</w:t>
      </w:r>
    </w:p>
    <w:p w:rsidR="00472BF9" w:rsidRDefault="00472BF9" w:rsidP="00472BF9"/>
    <w:p w:rsidR="00AE3A4F" w:rsidRDefault="00AE3A4F" w:rsidP="00472BF9">
      <w:pPr>
        <w:rPr>
          <w:b/>
          <w:u w:val="single"/>
        </w:rPr>
      </w:pPr>
      <w:r w:rsidRPr="00AE3A4F">
        <w:rPr>
          <w:b/>
          <w:u w:val="single"/>
        </w:rPr>
        <w:t>Conclusion:</w:t>
      </w:r>
    </w:p>
    <w:p w:rsidR="00AE3A4F" w:rsidRPr="00AE3A4F" w:rsidRDefault="00AE3A4F" w:rsidP="00472BF9">
      <w:r>
        <w:t>The ophthalmology department at Hull University Teaching Hospital is adhering strictly to the pre and post-operative standardised assessment</w:t>
      </w:r>
      <w:r w:rsidR="004C0200">
        <w:t xml:space="preserve"> of patients as per our</w:t>
      </w:r>
      <w:r>
        <w:t xml:space="preserve"> retrospective analysis.</w:t>
      </w:r>
    </w:p>
    <w:p w:rsidR="00472BF9" w:rsidRDefault="00472BF9" w:rsidP="00472BF9"/>
    <w:p w:rsidR="00472BF9" w:rsidRDefault="00472BF9" w:rsidP="00472BF9">
      <w:pPr>
        <w:rPr>
          <w:b/>
          <w:sz w:val="24"/>
          <w:u w:val="single"/>
        </w:rPr>
      </w:pPr>
    </w:p>
    <w:p w:rsidR="00472BF9" w:rsidRPr="00472BF9" w:rsidRDefault="00472BF9" w:rsidP="00472BF9">
      <w:pPr>
        <w:rPr>
          <w:b/>
          <w:sz w:val="24"/>
          <w:u w:val="single"/>
        </w:rPr>
      </w:pPr>
      <w:r w:rsidRPr="00472BF9">
        <w:rPr>
          <w:b/>
          <w:sz w:val="24"/>
          <w:u w:val="single"/>
        </w:rPr>
        <w:t>References</w:t>
      </w:r>
    </w:p>
    <w:p w:rsidR="00472BF9" w:rsidRDefault="00472BF9" w:rsidP="00472BF9">
      <w:pPr>
        <w:spacing w:after="0"/>
      </w:pPr>
      <w:r>
        <w:t>1.</w:t>
      </w:r>
      <w:r>
        <w:tab/>
        <w:t>Kushner, B. J. (2006). The incidence of ocular misalignment in the first six hours after surgical correction of adult-onset strabismus. Ophthalmology, 113(5), 877-880.</w:t>
      </w:r>
    </w:p>
    <w:p w:rsidR="00472BF9" w:rsidRDefault="00472BF9" w:rsidP="00472BF9">
      <w:pPr>
        <w:spacing w:after="0"/>
      </w:pPr>
      <w:r>
        <w:t>2.</w:t>
      </w:r>
      <w:r>
        <w:tab/>
        <w:t xml:space="preserve">Von </w:t>
      </w:r>
      <w:proofErr w:type="spellStart"/>
      <w:r>
        <w:t>Noorden</w:t>
      </w:r>
      <w:proofErr w:type="spellEnd"/>
      <w:r>
        <w:t>, G. K., &amp; Campos, E. C. (2002). Binocular vision and ocular motility: Theory and management of strabismus. Mosby.</w:t>
      </w:r>
    </w:p>
    <w:p w:rsidR="00472BF9" w:rsidRDefault="00472BF9" w:rsidP="00472BF9">
      <w:pPr>
        <w:spacing w:after="0"/>
      </w:pPr>
      <w:r>
        <w:t>3.</w:t>
      </w:r>
      <w:r>
        <w:tab/>
        <w:t>Hunter, D. G. (2002). Adult strabismus: challenges and recent advances. Current Opinion in Ophthalmology, 13(5), 347-351.</w:t>
      </w:r>
    </w:p>
    <w:p w:rsidR="00472BF9" w:rsidRDefault="00472BF9" w:rsidP="00472BF9">
      <w:pPr>
        <w:spacing w:after="0"/>
      </w:pPr>
      <w:r>
        <w:t>4.</w:t>
      </w:r>
      <w:r>
        <w:tab/>
        <w:t xml:space="preserve">Holmes, J. M., &amp; </w:t>
      </w:r>
      <w:proofErr w:type="spellStart"/>
      <w:r>
        <w:t>Leske</w:t>
      </w:r>
      <w:proofErr w:type="spellEnd"/>
      <w:r>
        <w:t>, D. A. (2000). Long-term outcomes after surgical correction of adult acquired esotropia. Journal of AAPOS, 4(3), 129-134.</w:t>
      </w:r>
    </w:p>
    <w:sectPr w:rsidR="00472B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BF9"/>
    <w:rsid w:val="00472BF9"/>
    <w:rsid w:val="004C0200"/>
    <w:rsid w:val="006D7C3C"/>
    <w:rsid w:val="008A2883"/>
    <w:rsid w:val="00A8373B"/>
    <w:rsid w:val="00AE3A4F"/>
    <w:rsid w:val="00B700D1"/>
    <w:rsid w:val="00C42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3A361"/>
  <w15:chartTrackingRefBased/>
  <w15:docId w15:val="{C820246E-0517-4C6C-9B3F-DFADF7F09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Accent1">
    <w:name w:val="Grid Table 4 Accent 1"/>
    <w:basedOn w:val="TableNormal"/>
    <w:uiPriority w:val="49"/>
    <w:rsid w:val="00472BF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leGrid">
    <w:name w:val="Table Grid"/>
    <w:basedOn w:val="TableNormal"/>
    <w:uiPriority w:val="39"/>
    <w:rsid w:val="006D7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6D7C3C"/>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1030</Words>
  <Characters>5873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Hull Teaching Hospitals</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Marwat, Muhammad</dc:creator>
  <cp:keywords/>
  <dc:description/>
  <cp:lastModifiedBy>Marwat, Muhammad</cp:lastModifiedBy>
  <cp:revision>4</cp:revision>
  <cp:lastPrinted>2023-09-10T20:31:00Z</cp:lastPrinted>
  <dcterms:created xsi:type="dcterms:W3CDTF">2023-09-10T16:43:00Z</dcterms:created>
  <dcterms:modified xsi:type="dcterms:W3CDTF">2023-09-10T20:34:00Z</dcterms:modified>
</cp:coreProperties>
</file>