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BD7B8" w14:textId="77777777" w:rsidR="00B2537D" w:rsidRPr="00E3353D" w:rsidRDefault="00307914" w:rsidP="00B2537D">
      <w:pPr>
        <w:suppressLineNumbers/>
        <w:spacing w:line="480" w:lineRule="auto"/>
        <w:jc w:val="both"/>
        <w:rPr>
          <w:b/>
          <w:bCs/>
        </w:rPr>
      </w:pPr>
      <w:r w:rsidRPr="00E3353D">
        <w:rPr>
          <w:b/>
          <w:bCs/>
          <w:noProof/>
          <w:color w:val="000000"/>
        </w:rPr>
        <w:t xml:space="preserve"> Intraoperative Aberrometry (ORA) Versus Conventional Biometry for IOL Power Selection: A prospective observational study</w:t>
      </w:r>
      <w:r w:rsidR="00A22F83" w:rsidRPr="00E3353D">
        <w:rPr>
          <w:b/>
          <w:bCs/>
          <w:noProof/>
          <w:color w:val="000000"/>
        </w:rPr>
        <w:t xml:space="preserve"> from a tertiary referral centre</w:t>
      </w:r>
    </w:p>
    <w:p w14:paraId="7F767693" w14:textId="77777777" w:rsidR="00B2537D" w:rsidRPr="00A41496" w:rsidRDefault="00B2537D" w:rsidP="00B2537D">
      <w:pPr>
        <w:suppressLineNumbers/>
        <w:spacing w:line="480" w:lineRule="auto"/>
        <w:jc w:val="both"/>
        <w:rPr>
          <w:b/>
        </w:rPr>
      </w:pPr>
    </w:p>
    <w:p w14:paraId="030B90F3" w14:textId="4A3F74F3" w:rsidR="008946CF" w:rsidRPr="008430F9" w:rsidRDefault="005F3D8B" w:rsidP="00B2537D">
      <w:pPr>
        <w:suppressLineNumbers/>
        <w:spacing w:line="480" w:lineRule="auto"/>
        <w:jc w:val="both"/>
        <w:rPr>
          <w:b/>
          <w:sz w:val="28"/>
          <w:szCs w:val="28"/>
        </w:rPr>
      </w:pPr>
      <w:r w:rsidRPr="008430F9">
        <w:rPr>
          <w:rFonts w:eastAsia="Calibri"/>
          <w:b/>
          <w:sz w:val="28"/>
          <w:szCs w:val="28"/>
        </w:rPr>
        <w:t>Abstract</w:t>
      </w:r>
    </w:p>
    <w:p w14:paraId="0E6C7A47" w14:textId="0060A28A" w:rsidR="005F3D8B" w:rsidRPr="00A41496" w:rsidRDefault="008946CF" w:rsidP="005F3D8B">
      <w:pPr>
        <w:tabs>
          <w:tab w:val="left" w:pos="2118"/>
          <w:tab w:val="left" w:pos="4395"/>
        </w:tabs>
        <w:spacing w:line="480" w:lineRule="auto"/>
        <w:jc w:val="both"/>
        <w:outlineLvl w:val="0"/>
      </w:pPr>
      <w:r w:rsidRPr="00A41496">
        <w:rPr>
          <w:rFonts w:eastAsia="Calibri"/>
          <w:b/>
        </w:rPr>
        <w:t xml:space="preserve"> </w:t>
      </w:r>
      <w:r w:rsidRPr="00A41496">
        <w:rPr>
          <w:rFonts w:eastAsia="Calibri"/>
          <w:bCs/>
        </w:rPr>
        <w:t xml:space="preserve">Cataract surgery has acquired the status of refractive surgery at present time. Proper selection of intraocular lens based on preoperative biometry has utmost importance. Till now optical biometry were considered gold standard </w:t>
      </w:r>
      <w:r w:rsidR="001713ED" w:rsidRPr="00A41496">
        <w:rPr>
          <w:rFonts w:eastAsia="Calibri"/>
          <w:bCs/>
        </w:rPr>
        <w:t>methods.</w:t>
      </w:r>
      <w:r w:rsidRPr="00A41496">
        <w:rPr>
          <w:rFonts w:eastAsia="Calibri"/>
          <w:bCs/>
        </w:rPr>
        <w:t xml:space="preserve"> </w:t>
      </w:r>
      <w:r w:rsidRPr="00A41496">
        <w:t>Intraoperative wavefront aberrometry</w:t>
      </w:r>
      <w:r w:rsidR="001713ED" w:rsidRPr="00A41496">
        <w:t xml:space="preserve"> i.e. </w:t>
      </w:r>
      <w:r w:rsidR="00D670D1" w:rsidRPr="00A41496">
        <w:t>Optiwave refractive analysis (ORA) (Alcon, Fort Worth, TX, USA) system, is an</w:t>
      </w:r>
      <w:r w:rsidRPr="00A41496">
        <w:t xml:space="preserve"> established method for IOL power calculation for astigmatism</w:t>
      </w:r>
      <w:r w:rsidR="001713ED" w:rsidRPr="00A41496">
        <w:t xml:space="preserve"> and</w:t>
      </w:r>
      <w:r w:rsidRPr="00A41496">
        <w:t xml:space="preserve"> post refractive surgery </w:t>
      </w:r>
      <w:r w:rsidR="00D670D1" w:rsidRPr="00A41496">
        <w:t>cases</w:t>
      </w:r>
      <w:r w:rsidRPr="00A41496">
        <w:t xml:space="preserve"> in literature. </w:t>
      </w:r>
      <w:r w:rsidR="00B75203" w:rsidRPr="00A41496">
        <w:t>There is not much data in literature comparing aberrometry with conventional methods in monofocal IOLs.</w:t>
      </w:r>
    </w:p>
    <w:p w14:paraId="611D9E2D" w14:textId="75B13A46" w:rsidR="00207578" w:rsidRPr="00A41496" w:rsidRDefault="00207578" w:rsidP="005F3D8B">
      <w:pPr>
        <w:tabs>
          <w:tab w:val="left" w:pos="2118"/>
          <w:tab w:val="left" w:pos="4395"/>
        </w:tabs>
        <w:spacing w:line="480" w:lineRule="auto"/>
        <w:jc w:val="both"/>
        <w:outlineLvl w:val="0"/>
      </w:pPr>
      <w:r w:rsidRPr="00373FF8">
        <w:rPr>
          <w:b/>
          <w:bCs/>
        </w:rPr>
        <w:t>Clinical Practice</w:t>
      </w:r>
      <w:r w:rsidR="00373FF8">
        <w:t>:</w:t>
      </w:r>
    </w:p>
    <w:p w14:paraId="2483F4DA" w14:textId="19AA9CB5" w:rsidR="00207578" w:rsidRPr="00A41496" w:rsidRDefault="00207578" w:rsidP="005F3D8B">
      <w:pPr>
        <w:tabs>
          <w:tab w:val="left" w:pos="2118"/>
          <w:tab w:val="left" w:pos="4395"/>
        </w:tabs>
        <w:spacing w:line="480" w:lineRule="auto"/>
        <w:jc w:val="both"/>
        <w:outlineLvl w:val="0"/>
        <w:rPr>
          <w:rFonts w:eastAsia="Calibri"/>
          <w:bCs/>
        </w:rPr>
      </w:pPr>
      <w:r w:rsidRPr="00A41496">
        <w:t xml:space="preserve">This is </w:t>
      </w:r>
      <w:r w:rsidR="00B2537D" w:rsidRPr="00A41496">
        <w:t>prospective</w:t>
      </w:r>
      <w:r w:rsidRPr="00A41496">
        <w:t xml:space="preserve"> observational study done at tertiary care centre</w:t>
      </w:r>
    </w:p>
    <w:p w14:paraId="764658FB" w14:textId="14124BC8" w:rsidR="005F3D8B" w:rsidRPr="00A41496" w:rsidRDefault="005F3D8B" w:rsidP="005F3D8B">
      <w:pPr>
        <w:tabs>
          <w:tab w:val="left" w:pos="2118"/>
          <w:tab w:val="left" w:pos="4395"/>
        </w:tabs>
        <w:spacing w:line="480" w:lineRule="auto"/>
        <w:jc w:val="both"/>
        <w:outlineLvl w:val="0"/>
        <w:rPr>
          <w:rFonts w:eastAsia="Calibri"/>
          <w:b/>
        </w:rPr>
      </w:pPr>
      <w:r w:rsidRPr="00A41496">
        <w:rPr>
          <w:rFonts w:eastAsia="Calibri"/>
          <w:b/>
        </w:rPr>
        <w:t>Methods</w:t>
      </w:r>
      <w:r w:rsidR="00207578" w:rsidRPr="00A41496">
        <w:rPr>
          <w:rFonts w:eastAsia="Calibri"/>
          <w:b/>
        </w:rPr>
        <w:t>:</w:t>
      </w:r>
    </w:p>
    <w:p w14:paraId="1D658724" w14:textId="3EF3D344" w:rsidR="00A9056E" w:rsidRPr="00A41496" w:rsidRDefault="00FA1B02" w:rsidP="005F3D8B">
      <w:pPr>
        <w:tabs>
          <w:tab w:val="left" w:pos="4395"/>
        </w:tabs>
        <w:spacing w:line="480" w:lineRule="auto"/>
        <w:jc w:val="both"/>
        <w:rPr>
          <w:bCs/>
        </w:rPr>
      </w:pPr>
      <w:r w:rsidRPr="00A41496">
        <w:rPr>
          <w:bCs/>
        </w:rPr>
        <w:t>P</w:t>
      </w:r>
      <w:r w:rsidR="00A9056E" w:rsidRPr="00A41496">
        <w:rPr>
          <w:bCs/>
        </w:rPr>
        <w:t>atients</w:t>
      </w:r>
      <w:r w:rsidRPr="00A41496">
        <w:rPr>
          <w:bCs/>
        </w:rPr>
        <w:t xml:space="preserve"> </w:t>
      </w:r>
      <w:r w:rsidR="00A9056E" w:rsidRPr="00A41496">
        <w:rPr>
          <w:bCs/>
        </w:rPr>
        <w:t xml:space="preserve">planned for phacoemulsification by a single surgeon under topical anaesthesia were enrolled. All </w:t>
      </w:r>
      <w:r w:rsidR="00B01349" w:rsidRPr="00A41496">
        <w:rPr>
          <w:bCs/>
        </w:rPr>
        <w:t xml:space="preserve">patients </w:t>
      </w:r>
      <w:r w:rsidR="00A9056E" w:rsidRPr="00A41496">
        <w:rPr>
          <w:bCs/>
        </w:rPr>
        <w:t xml:space="preserve">underwent preoperative biometry (Manual SRK-II </w:t>
      </w:r>
      <w:r w:rsidR="00B01349" w:rsidRPr="00A41496">
        <w:rPr>
          <w:bCs/>
        </w:rPr>
        <w:t xml:space="preserve">and </w:t>
      </w:r>
      <w:r w:rsidR="00A9056E" w:rsidRPr="00A41496">
        <w:rPr>
          <w:bCs/>
        </w:rPr>
        <w:t>IOLMaster</w:t>
      </w:r>
      <w:r w:rsidR="00C31449" w:rsidRPr="00A41496">
        <w:rPr>
          <w:vertAlign w:val="superscript"/>
        </w:rPr>
        <w:t>®</w:t>
      </w:r>
      <w:r w:rsidR="00A9056E" w:rsidRPr="00A41496">
        <w:rPr>
          <w:bCs/>
        </w:rPr>
        <w:t xml:space="preserve"> 500)</w:t>
      </w:r>
      <w:r w:rsidR="001E2F66" w:rsidRPr="00A41496">
        <w:rPr>
          <w:bCs/>
        </w:rPr>
        <w:t>; and i</w:t>
      </w:r>
      <w:r w:rsidR="00A9056E" w:rsidRPr="00A41496">
        <w:rPr>
          <w:bCs/>
        </w:rPr>
        <w:t>ntraoperative Aberrometry using OR</w:t>
      </w:r>
      <w:r w:rsidR="001E2F66" w:rsidRPr="00A41496">
        <w:rPr>
          <w:bCs/>
        </w:rPr>
        <w:t>A;</w:t>
      </w:r>
      <w:r w:rsidR="00A9056E" w:rsidRPr="00A41496">
        <w:rPr>
          <w:bCs/>
        </w:rPr>
        <w:t xml:space="preserve"> however, IOL was inserted according to IOLMaster</w:t>
      </w:r>
      <w:r w:rsidR="00C31449" w:rsidRPr="00A41496">
        <w:rPr>
          <w:vertAlign w:val="superscript"/>
        </w:rPr>
        <w:t>®</w:t>
      </w:r>
      <w:r w:rsidR="00A9056E" w:rsidRPr="00A41496">
        <w:rPr>
          <w:bCs/>
        </w:rPr>
        <w:t xml:space="preserve"> (SRK/T). Spherical Equivalent (SE) </w:t>
      </w:r>
      <w:r w:rsidR="00B01349" w:rsidRPr="00A41496">
        <w:rPr>
          <w:bCs/>
        </w:rPr>
        <w:t xml:space="preserve">was </w:t>
      </w:r>
      <w:r w:rsidR="00A9056E" w:rsidRPr="00A41496">
        <w:rPr>
          <w:bCs/>
        </w:rPr>
        <w:t xml:space="preserve">recorded on postoperative day 1,7 and 30. Patients were divided into </w:t>
      </w:r>
      <w:r w:rsidRPr="00A41496">
        <w:rPr>
          <w:bCs/>
        </w:rPr>
        <w:t xml:space="preserve">three </w:t>
      </w:r>
      <w:r w:rsidR="001E2F66" w:rsidRPr="00A41496">
        <w:rPr>
          <w:bCs/>
        </w:rPr>
        <w:t>axial length groups</w:t>
      </w:r>
      <w:r w:rsidR="00A9056E" w:rsidRPr="00A41496">
        <w:rPr>
          <w:bCs/>
        </w:rPr>
        <w:t xml:space="preserve"> for analysis. Comparative analysis was done </w:t>
      </w:r>
      <w:r w:rsidRPr="00A41496">
        <w:rPr>
          <w:bCs/>
        </w:rPr>
        <w:t xml:space="preserve">of </w:t>
      </w:r>
      <w:r w:rsidR="00A9056E" w:rsidRPr="00A41496">
        <w:rPr>
          <w:bCs/>
        </w:rPr>
        <w:t xml:space="preserve">the calculated IOL powers and </w:t>
      </w:r>
      <w:r w:rsidRPr="00A41496">
        <w:rPr>
          <w:bCs/>
        </w:rPr>
        <w:t>p</w:t>
      </w:r>
      <w:r w:rsidR="00A9056E" w:rsidRPr="00A41496">
        <w:rPr>
          <w:bCs/>
        </w:rPr>
        <w:t xml:space="preserve">rediction errors of ORA </w:t>
      </w:r>
      <w:r w:rsidRPr="00A41496">
        <w:rPr>
          <w:bCs/>
        </w:rPr>
        <w:t xml:space="preserve">with </w:t>
      </w:r>
      <w:r w:rsidR="00A9056E" w:rsidRPr="00A41496">
        <w:rPr>
          <w:bCs/>
        </w:rPr>
        <w:t xml:space="preserve">conventional methods. Adjusted IOL power to calculate the emmetropic IOL using </w:t>
      </w:r>
      <w:r w:rsidR="00205C9F" w:rsidRPr="00A41496">
        <w:rPr>
          <w:bCs/>
        </w:rPr>
        <w:t xml:space="preserve">the </w:t>
      </w:r>
      <w:r w:rsidR="00A9056E" w:rsidRPr="00A41496">
        <w:rPr>
          <w:bCs/>
        </w:rPr>
        <w:t>LiHue formula</w:t>
      </w:r>
      <w:r w:rsidR="009A7288" w:rsidRPr="00A41496">
        <w:rPr>
          <w:bCs/>
        </w:rPr>
        <w:t xml:space="preserve"> </w:t>
      </w:r>
      <w:r w:rsidR="00A9056E" w:rsidRPr="00A41496">
        <w:rPr>
          <w:bCs/>
        </w:rPr>
        <w:t xml:space="preserve">was also </w:t>
      </w:r>
      <w:r w:rsidR="00205C9F" w:rsidRPr="00A41496">
        <w:rPr>
          <w:bCs/>
        </w:rPr>
        <w:t xml:space="preserve">determined </w:t>
      </w:r>
      <w:r w:rsidR="00A9056E" w:rsidRPr="00A41496">
        <w:rPr>
          <w:bCs/>
        </w:rPr>
        <w:t>and was compared with existing methods.</w:t>
      </w:r>
      <w:r w:rsidR="007F403A" w:rsidRPr="00A41496">
        <w:rPr>
          <w:bCs/>
        </w:rPr>
        <w:t xml:space="preserve"> </w:t>
      </w:r>
    </w:p>
    <w:p w14:paraId="6B4B0B0D" w14:textId="380313AD" w:rsidR="005F3D8B" w:rsidRPr="00A41496" w:rsidRDefault="005F3D8B" w:rsidP="005F3D8B">
      <w:pPr>
        <w:tabs>
          <w:tab w:val="left" w:pos="4395"/>
        </w:tabs>
        <w:spacing w:line="480" w:lineRule="auto"/>
        <w:jc w:val="both"/>
        <w:rPr>
          <w:b/>
        </w:rPr>
      </w:pPr>
      <w:r w:rsidRPr="00A41496">
        <w:rPr>
          <w:b/>
        </w:rPr>
        <w:t>Results</w:t>
      </w:r>
      <w:r w:rsidR="008430F9">
        <w:rPr>
          <w:b/>
        </w:rPr>
        <w:t>:</w:t>
      </w:r>
    </w:p>
    <w:p w14:paraId="170FCAEB" w14:textId="40E92609" w:rsidR="005F3D8B" w:rsidRPr="00A41496" w:rsidRDefault="009A7288" w:rsidP="00A443F6">
      <w:pPr>
        <w:spacing w:line="480" w:lineRule="auto"/>
        <w:jc w:val="both"/>
        <w:rPr>
          <w:b/>
        </w:rPr>
      </w:pPr>
      <w:r w:rsidRPr="00A41496">
        <w:t xml:space="preserve">A total of 115 eyes from </w:t>
      </w:r>
      <w:r w:rsidR="00A443F6" w:rsidRPr="00A41496">
        <w:t>11</w:t>
      </w:r>
      <w:r w:rsidR="00B66B8A" w:rsidRPr="00A41496">
        <w:t>3</w:t>
      </w:r>
      <w:r w:rsidR="00A443F6" w:rsidRPr="00A41496">
        <w:t xml:space="preserve"> </w:t>
      </w:r>
      <w:r w:rsidRPr="00A41496">
        <w:t>patients were included</w:t>
      </w:r>
      <w:r w:rsidR="00DD46E6" w:rsidRPr="00A41496">
        <w:t>,</w:t>
      </w:r>
      <w:r w:rsidRPr="00A41496">
        <w:t xml:space="preserve"> with a median age of 54.90</w:t>
      </w:r>
      <w:r w:rsidRPr="00A41496">
        <w:rPr>
          <w:rFonts w:eastAsia="PalatinoLinotype-Roman"/>
        </w:rPr>
        <w:t xml:space="preserve">±14.3 years. </w:t>
      </w:r>
      <w:r w:rsidR="00205C9F" w:rsidRPr="00A41496">
        <w:rPr>
          <w:rFonts w:eastAsia="PalatinoLinotype-Roman"/>
        </w:rPr>
        <w:t>The m</w:t>
      </w:r>
      <w:r w:rsidRPr="00A41496">
        <w:rPr>
          <w:rFonts w:eastAsia="PalatinoLinotype-Roman"/>
        </w:rPr>
        <w:t>ean axial length was found to be 23.94</w:t>
      </w:r>
      <w:bookmarkStart w:id="0" w:name="_Hlk72482600"/>
      <w:r w:rsidRPr="00A41496">
        <w:rPr>
          <w:rFonts w:eastAsia="PalatinoLinotype-Roman"/>
        </w:rPr>
        <w:t>±</w:t>
      </w:r>
      <w:bookmarkEnd w:id="0"/>
      <w:r w:rsidRPr="00A41496">
        <w:rPr>
          <w:rFonts w:eastAsia="PalatinoLinotype-Roman"/>
        </w:rPr>
        <w:t xml:space="preserve">2.3mm. There was good agreement (87%) </w:t>
      </w:r>
      <w:r w:rsidRPr="00A41496">
        <w:rPr>
          <w:rFonts w:eastAsia="PalatinoLinotype-Roman"/>
        </w:rPr>
        <w:lastRenderedPageBreak/>
        <w:t>between ORA and IOLMaster</w:t>
      </w:r>
      <w:r w:rsidR="00C31449" w:rsidRPr="00A41496">
        <w:rPr>
          <w:vertAlign w:val="superscript"/>
        </w:rPr>
        <w:t>®</w:t>
      </w:r>
      <w:r w:rsidRPr="00A41496">
        <w:rPr>
          <w:color w:val="4D5156"/>
          <w:shd w:val="clear" w:color="auto" w:fill="FFFFFF"/>
        </w:rPr>
        <w:t xml:space="preserve"> </w:t>
      </w:r>
      <w:r w:rsidRPr="00A41496">
        <w:rPr>
          <w:rFonts w:eastAsia="PalatinoLinotype-Roman"/>
        </w:rPr>
        <w:t xml:space="preserve">for calculated IOL powers with </w:t>
      </w:r>
      <w:r w:rsidR="00205C9F" w:rsidRPr="00A41496">
        <w:rPr>
          <w:rFonts w:eastAsia="PalatinoLinotype-Roman"/>
        </w:rPr>
        <w:t xml:space="preserve">a </w:t>
      </w:r>
      <w:r w:rsidR="007F403A" w:rsidRPr="00A41496">
        <w:rPr>
          <w:rFonts w:eastAsia="PalatinoLinotype-Roman"/>
        </w:rPr>
        <w:t>mean difference of 0.047</w:t>
      </w:r>
      <w:r w:rsidR="0034602D" w:rsidRPr="00A41496">
        <w:rPr>
          <w:rFonts w:eastAsia="PalatinoLinotype-Roman"/>
        </w:rPr>
        <w:t>±0.5D</w:t>
      </w:r>
      <w:r w:rsidR="007F403A" w:rsidRPr="00A41496">
        <w:rPr>
          <w:rFonts w:eastAsia="PalatinoLinotype-Roman"/>
        </w:rPr>
        <w:t xml:space="preserve"> between the two (P=0.33). </w:t>
      </w:r>
      <w:r w:rsidR="00B01349" w:rsidRPr="00A41496">
        <w:rPr>
          <w:rFonts w:eastAsia="PalatinoLinotype-Roman"/>
        </w:rPr>
        <w:t xml:space="preserve">A </w:t>
      </w:r>
      <w:r w:rsidR="00B01349" w:rsidRPr="00A41496">
        <w:t>p</w:t>
      </w:r>
      <w:r w:rsidRPr="00A41496">
        <w:t xml:space="preserve">ositive correlation was found between IOL power calculated </w:t>
      </w:r>
      <w:r w:rsidR="00B01349" w:rsidRPr="00A41496">
        <w:t xml:space="preserve">using </w:t>
      </w:r>
      <w:r w:rsidRPr="00A41496">
        <w:t>ORA, IOLMaster</w:t>
      </w:r>
      <w:r w:rsidR="007F403A" w:rsidRPr="00A41496">
        <w:rPr>
          <w:vertAlign w:val="superscript"/>
        </w:rPr>
        <w:t>®</w:t>
      </w:r>
      <w:r w:rsidRPr="00A41496">
        <w:t>, SRK</w:t>
      </w:r>
      <w:r w:rsidR="0034602D" w:rsidRPr="00A41496">
        <w:t>-</w:t>
      </w:r>
      <w:r w:rsidRPr="00A41496">
        <w:t>II and adjusted IOL</w:t>
      </w:r>
      <w:r w:rsidR="00B01349" w:rsidRPr="00A41496">
        <w:t>.</w:t>
      </w:r>
      <w:r w:rsidRPr="00A41496">
        <w:t xml:space="preserve"> </w:t>
      </w:r>
    </w:p>
    <w:p w14:paraId="13010530" w14:textId="69169615" w:rsidR="005F3D8B" w:rsidRPr="00A41496" w:rsidRDefault="005F3D8B" w:rsidP="005F3D8B">
      <w:pPr>
        <w:tabs>
          <w:tab w:val="left" w:pos="4395"/>
        </w:tabs>
        <w:spacing w:line="480" w:lineRule="auto"/>
        <w:jc w:val="both"/>
        <w:rPr>
          <w:b/>
        </w:rPr>
      </w:pPr>
      <w:r w:rsidRPr="00A41496">
        <w:rPr>
          <w:b/>
        </w:rPr>
        <w:t>Conclusions</w:t>
      </w:r>
      <w:r w:rsidR="008430F9">
        <w:rPr>
          <w:b/>
        </w:rPr>
        <w:t>:</w:t>
      </w:r>
    </w:p>
    <w:p w14:paraId="3CF2C98F" w14:textId="77777777" w:rsidR="00140E0F" w:rsidRPr="00A41496" w:rsidRDefault="0034602D" w:rsidP="0089395C">
      <w:pPr>
        <w:pStyle w:val="NormalWeb"/>
        <w:tabs>
          <w:tab w:val="left" w:pos="2018"/>
        </w:tabs>
        <w:spacing w:before="120" w:beforeAutospacing="0" w:after="0" w:afterAutospacing="0" w:line="480" w:lineRule="auto"/>
        <w:ind w:firstLine="0"/>
        <w:jc w:val="both"/>
        <w:rPr>
          <w:rFonts w:ascii="Times New Roman" w:hAnsi="Times New Roman"/>
          <w:color w:val="000000"/>
        </w:rPr>
      </w:pPr>
      <w:r w:rsidRPr="00A41496">
        <w:rPr>
          <w:rFonts w:ascii="Times New Roman" w:hAnsi="Times New Roman"/>
          <w:color w:val="000000"/>
        </w:rPr>
        <w:t xml:space="preserve">The use of intraoperative aberrometry (ORA) </w:t>
      </w:r>
      <w:r w:rsidR="00205C9F" w:rsidRPr="00A41496">
        <w:rPr>
          <w:rFonts w:ascii="Times New Roman" w:hAnsi="Times New Roman"/>
          <w:color w:val="000000"/>
        </w:rPr>
        <w:t>to calculate</w:t>
      </w:r>
      <w:r w:rsidRPr="00A41496">
        <w:rPr>
          <w:rFonts w:ascii="Times New Roman" w:hAnsi="Times New Roman"/>
          <w:color w:val="000000"/>
        </w:rPr>
        <w:t xml:space="preserve"> IOL power in patients undergoing uncomplicated phacoemulsification does not appear to provide significant benefit relative to standard preoperative measurement and planning.</w:t>
      </w:r>
    </w:p>
    <w:p w14:paraId="1CFFB520" w14:textId="77777777" w:rsidR="00140E0F" w:rsidRPr="00A41496" w:rsidRDefault="00140E0F" w:rsidP="0089395C">
      <w:pPr>
        <w:pStyle w:val="NormalWeb"/>
        <w:tabs>
          <w:tab w:val="left" w:pos="2018"/>
        </w:tabs>
        <w:spacing w:before="120" w:beforeAutospacing="0" w:after="0" w:afterAutospacing="0" w:line="480" w:lineRule="auto"/>
        <w:ind w:firstLine="0"/>
        <w:jc w:val="both"/>
        <w:rPr>
          <w:rFonts w:ascii="Times New Roman" w:hAnsi="Times New Roman"/>
          <w:color w:val="000000"/>
        </w:rPr>
      </w:pPr>
    </w:p>
    <w:p w14:paraId="25BC884E" w14:textId="77777777" w:rsidR="00140E0F" w:rsidRPr="00A41496" w:rsidRDefault="00140E0F" w:rsidP="0089395C">
      <w:pPr>
        <w:pStyle w:val="NormalWeb"/>
        <w:tabs>
          <w:tab w:val="left" w:pos="2018"/>
        </w:tabs>
        <w:spacing w:before="120" w:beforeAutospacing="0" w:after="0" w:afterAutospacing="0" w:line="480" w:lineRule="auto"/>
        <w:ind w:firstLine="0"/>
        <w:jc w:val="both"/>
        <w:rPr>
          <w:rFonts w:ascii="Times New Roman" w:hAnsi="Times New Roman"/>
          <w:color w:val="000000"/>
        </w:rPr>
      </w:pPr>
    </w:p>
    <w:p w14:paraId="1278D1E3" w14:textId="7C41A773" w:rsidR="00140E0F" w:rsidRPr="00A41496" w:rsidRDefault="00140E0F" w:rsidP="0089395C">
      <w:pPr>
        <w:pStyle w:val="NormalWeb"/>
        <w:tabs>
          <w:tab w:val="left" w:pos="2018"/>
        </w:tabs>
        <w:spacing w:before="120" w:beforeAutospacing="0" w:after="0" w:afterAutospacing="0" w:line="480" w:lineRule="auto"/>
        <w:ind w:firstLine="0"/>
        <w:jc w:val="both"/>
        <w:rPr>
          <w:rFonts w:ascii="Times New Roman" w:hAnsi="Times New Roman"/>
          <w:b/>
          <w:bCs/>
          <w:color w:val="000000"/>
          <w:sz w:val="28"/>
          <w:szCs w:val="28"/>
        </w:rPr>
      </w:pPr>
      <w:r w:rsidRPr="00A41496">
        <w:rPr>
          <w:rFonts w:ascii="Times New Roman" w:hAnsi="Times New Roman"/>
          <w:b/>
          <w:bCs/>
          <w:color w:val="000000"/>
          <w:sz w:val="28"/>
          <w:szCs w:val="28"/>
        </w:rPr>
        <w:t>Recent publications</w:t>
      </w:r>
      <w:r w:rsidR="00A41496" w:rsidRPr="00A41496">
        <w:rPr>
          <w:rFonts w:ascii="Times New Roman" w:hAnsi="Times New Roman"/>
          <w:b/>
          <w:bCs/>
          <w:color w:val="000000"/>
          <w:sz w:val="28"/>
          <w:szCs w:val="28"/>
        </w:rPr>
        <w:t>:</w:t>
      </w:r>
    </w:p>
    <w:p w14:paraId="3895F4DB" w14:textId="442AC68F" w:rsidR="00A41496" w:rsidRDefault="00A41496" w:rsidP="0009332B">
      <w:pPr>
        <w:widowControl w:val="0"/>
        <w:autoSpaceDE w:val="0"/>
        <w:autoSpaceDN w:val="0"/>
        <w:adjustRightInd w:val="0"/>
        <w:spacing w:before="120" w:line="480" w:lineRule="auto"/>
        <w:rPr>
          <w:noProof/>
        </w:rPr>
      </w:pPr>
      <w:r w:rsidRPr="00A41496">
        <w:rPr>
          <w:color w:val="000000"/>
        </w:rPr>
        <w:fldChar w:fldCharType="begin" w:fldLock="1"/>
      </w:r>
      <w:r w:rsidRPr="00A41496">
        <w:rPr>
          <w:color w:val="000000"/>
        </w:rPr>
        <w:instrText xml:space="preserve">ADDIN Mendeley Bibliography CSL_BIBLIOGRAPHY </w:instrText>
      </w:r>
      <w:r w:rsidRPr="00A41496">
        <w:rPr>
          <w:color w:val="000000"/>
        </w:rPr>
        <w:fldChar w:fldCharType="separate"/>
      </w:r>
      <w:r w:rsidRPr="00A41496">
        <w:rPr>
          <w:b/>
          <w:bCs/>
          <w:noProof/>
        </w:rPr>
        <w:t>Fram NR, Masket S, Wang L</w:t>
      </w:r>
      <w:r w:rsidRPr="00A41496">
        <w:rPr>
          <w:noProof/>
        </w:rPr>
        <w:t xml:space="preserve">. Comparison of intraoperative aberrometry, OCT-based IOL formula, haigis-L, and masket formulae for IOL power calculation after laser vision correction. </w:t>
      </w:r>
      <w:r w:rsidRPr="00A41496">
        <w:rPr>
          <w:i/>
          <w:iCs/>
          <w:noProof/>
        </w:rPr>
        <w:t>Ophthalmology</w:t>
      </w:r>
      <w:r w:rsidRPr="00A41496">
        <w:rPr>
          <w:noProof/>
        </w:rPr>
        <w:t>. 2015;122(6):1096-1101. doi:10.1016/j.ophtha.2015.01.027</w:t>
      </w:r>
    </w:p>
    <w:p w14:paraId="381044B3" w14:textId="77777777" w:rsidR="0009332B" w:rsidRPr="00A41496" w:rsidRDefault="0009332B" w:rsidP="0009332B">
      <w:pPr>
        <w:widowControl w:val="0"/>
        <w:autoSpaceDE w:val="0"/>
        <w:autoSpaceDN w:val="0"/>
        <w:adjustRightInd w:val="0"/>
        <w:spacing w:before="120" w:line="480" w:lineRule="auto"/>
        <w:rPr>
          <w:noProof/>
        </w:rPr>
      </w:pPr>
    </w:p>
    <w:p w14:paraId="6B701CBA" w14:textId="77777777" w:rsidR="00073A0C" w:rsidRDefault="00A41496" w:rsidP="00A41496">
      <w:pPr>
        <w:widowControl w:val="0"/>
        <w:autoSpaceDE w:val="0"/>
        <w:autoSpaceDN w:val="0"/>
        <w:adjustRightInd w:val="0"/>
        <w:spacing w:before="120" w:line="480" w:lineRule="auto"/>
        <w:ind w:left="640" w:hanging="640"/>
        <w:rPr>
          <w:noProof/>
        </w:rPr>
      </w:pPr>
      <w:r w:rsidRPr="00A41496">
        <w:rPr>
          <w:b/>
          <w:bCs/>
          <w:noProof/>
        </w:rPr>
        <w:t>Hatch KM, Woodcock EC, Talamo JH</w:t>
      </w:r>
      <w:r w:rsidRPr="00A41496">
        <w:rPr>
          <w:noProof/>
        </w:rPr>
        <w:t>. Intraocular lens power selection and positioning</w:t>
      </w:r>
    </w:p>
    <w:p w14:paraId="21953018" w14:textId="77777777" w:rsidR="00073A0C" w:rsidRDefault="00A41496" w:rsidP="00A41496">
      <w:pPr>
        <w:widowControl w:val="0"/>
        <w:autoSpaceDE w:val="0"/>
        <w:autoSpaceDN w:val="0"/>
        <w:adjustRightInd w:val="0"/>
        <w:spacing w:before="120" w:line="480" w:lineRule="auto"/>
        <w:ind w:left="640" w:hanging="640"/>
        <w:rPr>
          <w:noProof/>
        </w:rPr>
      </w:pPr>
      <w:r w:rsidRPr="00A41496">
        <w:rPr>
          <w:noProof/>
        </w:rPr>
        <w:t xml:space="preserve">with and without intraoperative aberrometry. </w:t>
      </w:r>
      <w:r w:rsidRPr="00A41496">
        <w:rPr>
          <w:i/>
          <w:iCs/>
          <w:noProof/>
        </w:rPr>
        <w:t>J Refract Surg</w:t>
      </w:r>
      <w:r w:rsidRPr="00A41496">
        <w:rPr>
          <w:noProof/>
        </w:rPr>
        <w:t>. 2015;31(4):237-242.</w:t>
      </w:r>
    </w:p>
    <w:p w14:paraId="6BDF54B7" w14:textId="0ADB7E9E" w:rsidR="00A41496" w:rsidRDefault="00A41496" w:rsidP="00A41496">
      <w:pPr>
        <w:widowControl w:val="0"/>
        <w:autoSpaceDE w:val="0"/>
        <w:autoSpaceDN w:val="0"/>
        <w:adjustRightInd w:val="0"/>
        <w:spacing w:before="120" w:line="480" w:lineRule="auto"/>
        <w:ind w:left="640" w:hanging="640"/>
        <w:rPr>
          <w:noProof/>
        </w:rPr>
      </w:pPr>
      <w:r w:rsidRPr="00A41496">
        <w:rPr>
          <w:noProof/>
        </w:rPr>
        <w:t>doi:10.3928/1081597X-20150319-03</w:t>
      </w:r>
    </w:p>
    <w:p w14:paraId="3767EBF3" w14:textId="77777777" w:rsidR="0009332B" w:rsidRDefault="0009332B" w:rsidP="00A41496">
      <w:pPr>
        <w:widowControl w:val="0"/>
        <w:autoSpaceDE w:val="0"/>
        <w:autoSpaceDN w:val="0"/>
        <w:adjustRightInd w:val="0"/>
        <w:spacing w:before="120" w:line="480" w:lineRule="auto"/>
        <w:ind w:left="640" w:hanging="640"/>
        <w:rPr>
          <w:noProof/>
        </w:rPr>
      </w:pPr>
    </w:p>
    <w:p w14:paraId="689A2C74" w14:textId="77777777" w:rsidR="0009332B" w:rsidRPr="00A41496" w:rsidRDefault="0009332B" w:rsidP="00A41496">
      <w:pPr>
        <w:widowControl w:val="0"/>
        <w:autoSpaceDE w:val="0"/>
        <w:autoSpaceDN w:val="0"/>
        <w:adjustRightInd w:val="0"/>
        <w:spacing w:before="120" w:line="480" w:lineRule="auto"/>
        <w:ind w:left="640" w:hanging="640"/>
        <w:rPr>
          <w:noProof/>
        </w:rPr>
      </w:pPr>
    </w:p>
    <w:p w14:paraId="2A18426A" w14:textId="77777777" w:rsidR="00073A0C" w:rsidRDefault="00A41496" w:rsidP="00A41496">
      <w:pPr>
        <w:widowControl w:val="0"/>
        <w:autoSpaceDE w:val="0"/>
        <w:autoSpaceDN w:val="0"/>
        <w:adjustRightInd w:val="0"/>
        <w:spacing w:before="120" w:line="480" w:lineRule="auto"/>
        <w:ind w:left="640" w:hanging="640"/>
        <w:rPr>
          <w:noProof/>
        </w:rPr>
      </w:pPr>
      <w:r w:rsidRPr="00A41496">
        <w:rPr>
          <w:b/>
          <w:bCs/>
          <w:noProof/>
        </w:rPr>
        <w:t>Huelle JO, Druchkiv V, Habib NE, Richard G, Katz T, Linke SJ</w:t>
      </w:r>
      <w:r w:rsidRPr="00A41496">
        <w:rPr>
          <w:noProof/>
        </w:rPr>
        <w:t>. Intraoperative</w:t>
      </w:r>
    </w:p>
    <w:p w14:paraId="5B88E918" w14:textId="77777777" w:rsidR="00073A0C" w:rsidRDefault="00A41496" w:rsidP="00A41496">
      <w:pPr>
        <w:widowControl w:val="0"/>
        <w:autoSpaceDE w:val="0"/>
        <w:autoSpaceDN w:val="0"/>
        <w:adjustRightInd w:val="0"/>
        <w:spacing w:before="120" w:line="480" w:lineRule="auto"/>
        <w:ind w:left="640" w:hanging="640"/>
        <w:rPr>
          <w:i/>
          <w:iCs/>
          <w:noProof/>
        </w:rPr>
      </w:pPr>
      <w:r w:rsidRPr="00A41496">
        <w:rPr>
          <w:noProof/>
        </w:rPr>
        <w:t xml:space="preserve">aberrometry-based aphakia refraction in patients with cataract: Status and options. </w:t>
      </w:r>
      <w:r w:rsidRPr="00A41496">
        <w:rPr>
          <w:i/>
          <w:iCs/>
          <w:noProof/>
        </w:rPr>
        <w:t>Br J</w:t>
      </w:r>
    </w:p>
    <w:p w14:paraId="71C1E48B" w14:textId="6C49853A" w:rsidR="00A41496" w:rsidRDefault="00A41496" w:rsidP="00A41496">
      <w:pPr>
        <w:widowControl w:val="0"/>
        <w:autoSpaceDE w:val="0"/>
        <w:autoSpaceDN w:val="0"/>
        <w:adjustRightInd w:val="0"/>
        <w:spacing w:before="120" w:line="480" w:lineRule="auto"/>
        <w:ind w:left="640" w:hanging="640"/>
        <w:rPr>
          <w:noProof/>
        </w:rPr>
      </w:pPr>
      <w:r w:rsidRPr="00A41496">
        <w:rPr>
          <w:i/>
          <w:iCs/>
          <w:noProof/>
        </w:rPr>
        <w:t>Ophthalmol</w:t>
      </w:r>
      <w:r w:rsidRPr="00A41496">
        <w:rPr>
          <w:noProof/>
        </w:rPr>
        <w:t>. 2017;101(2):97-102. doi:10.1136/bjophthalmol-2015-307594</w:t>
      </w:r>
    </w:p>
    <w:p w14:paraId="1149E76B" w14:textId="77777777" w:rsidR="0009332B" w:rsidRDefault="0009332B" w:rsidP="00A41496">
      <w:pPr>
        <w:widowControl w:val="0"/>
        <w:autoSpaceDE w:val="0"/>
        <w:autoSpaceDN w:val="0"/>
        <w:adjustRightInd w:val="0"/>
        <w:spacing w:before="120" w:line="480" w:lineRule="auto"/>
        <w:ind w:left="640" w:hanging="640"/>
        <w:rPr>
          <w:noProof/>
        </w:rPr>
      </w:pPr>
    </w:p>
    <w:p w14:paraId="3C4429A7" w14:textId="77777777" w:rsidR="0009332B" w:rsidRPr="00A41496" w:rsidRDefault="0009332B" w:rsidP="00A41496">
      <w:pPr>
        <w:widowControl w:val="0"/>
        <w:autoSpaceDE w:val="0"/>
        <w:autoSpaceDN w:val="0"/>
        <w:adjustRightInd w:val="0"/>
        <w:spacing w:before="120" w:line="480" w:lineRule="auto"/>
        <w:ind w:left="640" w:hanging="640"/>
        <w:rPr>
          <w:noProof/>
        </w:rPr>
      </w:pPr>
    </w:p>
    <w:p w14:paraId="4AC7E463" w14:textId="77777777" w:rsidR="0009332B" w:rsidRDefault="00A41496" w:rsidP="00A41496">
      <w:pPr>
        <w:widowControl w:val="0"/>
        <w:autoSpaceDE w:val="0"/>
        <w:autoSpaceDN w:val="0"/>
        <w:adjustRightInd w:val="0"/>
        <w:spacing w:before="120" w:line="480" w:lineRule="auto"/>
        <w:ind w:left="640" w:hanging="640"/>
        <w:rPr>
          <w:noProof/>
        </w:rPr>
      </w:pPr>
      <w:r w:rsidRPr="00A41496">
        <w:rPr>
          <w:b/>
          <w:bCs/>
          <w:noProof/>
        </w:rPr>
        <w:t>Tannan A, Epstein R, Virasch V, Majmudar P, Faron C, Rubenstein J</w:t>
      </w:r>
      <w:r w:rsidRPr="00A41496">
        <w:rPr>
          <w:noProof/>
        </w:rPr>
        <w:t>. Utility of</w:t>
      </w:r>
    </w:p>
    <w:p w14:paraId="4BAA8B4C" w14:textId="77777777" w:rsidR="0009332B" w:rsidRDefault="00A41496" w:rsidP="00A41496">
      <w:pPr>
        <w:widowControl w:val="0"/>
        <w:autoSpaceDE w:val="0"/>
        <w:autoSpaceDN w:val="0"/>
        <w:adjustRightInd w:val="0"/>
        <w:spacing w:before="120" w:line="480" w:lineRule="auto"/>
        <w:ind w:left="640" w:hanging="640"/>
        <w:rPr>
          <w:i/>
          <w:iCs/>
          <w:noProof/>
        </w:rPr>
      </w:pPr>
      <w:r w:rsidRPr="00A41496">
        <w:rPr>
          <w:noProof/>
        </w:rPr>
        <w:t xml:space="preserve">intraoperative wavefront aberrometry in post-refractive cataract patients. </w:t>
      </w:r>
      <w:r w:rsidRPr="00A41496">
        <w:rPr>
          <w:i/>
          <w:iCs/>
          <w:noProof/>
        </w:rPr>
        <w:t>Invest Ophthalmo</w:t>
      </w:r>
      <w:r w:rsidR="0009332B">
        <w:rPr>
          <w:i/>
          <w:iCs/>
          <w:noProof/>
        </w:rPr>
        <w:t>l</w:t>
      </w:r>
    </w:p>
    <w:p w14:paraId="36699046" w14:textId="578AA593" w:rsidR="00A41496" w:rsidRDefault="00A41496" w:rsidP="00A41496">
      <w:pPr>
        <w:widowControl w:val="0"/>
        <w:autoSpaceDE w:val="0"/>
        <w:autoSpaceDN w:val="0"/>
        <w:adjustRightInd w:val="0"/>
        <w:spacing w:before="120" w:line="480" w:lineRule="auto"/>
        <w:ind w:left="640" w:hanging="640"/>
        <w:rPr>
          <w:noProof/>
        </w:rPr>
      </w:pPr>
      <w:r w:rsidRPr="00A41496">
        <w:rPr>
          <w:i/>
          <w:iCs/>
          <w:noProof/>
        </w:rPr>
        <w:t>Vis Sci</w:t>
      </w:r>
      <w:r w:rsidRPr="00A41496">
        <w:rPr>
          <w:noProof/>
        </w:rPr>
        <w:t>. 2013;54(15):3004</w:t>
      </w:r>
    </w:p>
    <w:p w14:paraId="7CFECECB" w14:textId="77777777" w:rsidR="0009332B" w:rsidRPr="00A41496" w:rsidRDefault="0009332B" w:rsidP="00A41496">
      <w:pPr>
        <w:widowControl w:val="0"/>
        <w:autoSpaceDE w:val="0"/>
        <w:autoSpaceDN w:val="0"/>
        <w:adjustRightInd w:val="0"/>
        <w:spacing w:before="120" w:line="480" w:lineRule="auto"/>
        <w:ind w:left="640" w:hanging="640"/>
        <w:rPr>
          <w:noProof/>
        </w:rPr>
      </w:pPr>
    </w:p>
    <w:p w14:paraId="0DB0A022" w14:textId="77777777" w:rsidR="00073A0C" w:rsidRDefault="00A41496" w:rsidP="00073A0C">
      <w:pPr>
        <w:widowControl w:val="0"/>
        <w:autoSpaceDE w:val="0"/>
        <w:autoSpaceDN w:val="0"/>
        <w:adjustRightInd w:val="0"/>
        <w:spacing w:before="120" w:line="480" w:lineRule="auto"/>
        <w:ind w:left="640" w:hanging="640"/>
        <w:rPr>
          <w:noProof/>
        </w:rPr>
      </w:pPr>
      <w:r w:rsidRPr="00A41496">
        <w:rPr>
          <w:b/>
          <w:bCs/>
          <w:noProof/>
        </w:rPr>
        <w:t>Yesilirmak N, Palioura S, Culbertson W, Yoo SH, Donaldson K.</w:t>
      </w:r>
      <w:r w:rsidRPr="00A41496">
        <w:rPr>
          <w:noProof/>
        </w:rPr>
        <w:t xml:space="preserve"> Intraoperative wavefront</w:t>
      </w:r>
    </w:p>
    <w:p w14:paraId="27CA73F7" w14:textId="64A449D0" w:rsidR="00073A0C" w:rsidRDefault="00A41496" w:rsidP="00073A0C">
      <w:pPr>
        <w:widowControl w:val="0"/>
        <w:autoSpaceDE w:val="0"/>
        <w:autoSpaceDN w:val="0"/>
        <w:adjustRightInd w:val="0"/>
        <w:spacing w:before="120" w:line="480" w:lineRule="auto"/>
        <w:ind w:left="640" w:hanging="640"/>
        <w:rPr>
          <w:noProof/>
        </w:rPr>
      </w:pPr>
      <w:r w:rsidRPr="00A41496">
        <w:rPr>
          <w:noProof/>
        </w:rPr>
        <w:t>aberrometry for toric intraocular lens placement in eyes with a history of refractive</w:t>
      </w:r>
    </w:p>
    <w:p w14:paraId="1874EC2C" w14:textId="4B999419" w:rsidR="00A41496" w:rsidRDefault="00A41496" w:rsidP="00073A0C">
      <w:pPr>
        <w:widowControl w:val="0"/>
        <w:autoSpaceDE w:val="0"/>
        <w:autoSpaceDN w:val="0"/>
        <w:adjustRightInd w:val="0"/>
        <w:spacing w:before="120" w:line="480" w:lineRule="auto"/>
        <w:ind w:left="640" w:hanging="640"/>
        <w:rPr>
          <w:noProof/>
        </w:rPr>
      </w:pPr>
      <w:r w:rsidRPr="00A41496">
        <w:rPr>
          <w:noProof/>
        </w:rPr>
        <w:t xml:space="preserve">surgery. </w:t>
      </w:r>
      <w:r w:rsidRPr="00A41496">
        <w:rPr>
          <w:i/>
          <w:iCs/>
          <w:noProof/>
        </w:rPr>
        <w:t>J Refract Surg</w:t>
      </w:r>
      <w:r w:rsidRPr="00A41496">
        <w:rPr>
          <w:noProof/>
        </w:rPr>
        <w:t>. 2016;32(1):69-70. doi:10.3928/1081597X-20151210-02</w:t>
      </w:r>
    </w:p>
    <w:p w14:paraId="5DD37259" w14:textId="13D6B66C" w:rsidR="000B0970" w:rsidRDefault="000B0970" w:rsidP="00073A0C">
      <w:pPr>
        <w:widowControl w:val="0"/>
        <w:autoSpaceDE w:val="0"/>
        <w:autoSpaceDN w:val="0"/>
        <w:adjustRightInd w:val="0"/>
        <w:spacing w:before="120" w:line="480" w:lineRule="auto"/>
        <w:ind w:left="640" w:hanging="640"/>
        <w:rPr>
          <w:noProof/>
        </w:rPr>
      </w:pPr>
    </w:p>
    <w:p w14:paraId="2F210AE7" w14:textId="21AC0634" w:rsidR="000B0970" w:rsidRDefault="000B0970" w:rsidP="00073A0C">
      <w:pPr>
        <w:widowControl w:val="0"/>
        <w:autoSpaceDE w:val="0"/>
        <w:autoSpaceDN w:val="0"/>
        <w:adjustRightInd w:val="0"/>
        <w:spacing w:before="120" w:line="480" w:lineRule="auto"/>
        <w:ind w:left="640" w:hanging="640"/>
        <w:rPr>
          <w:noProof/>
        </w:rPr>
      </w:pPr>
    </w:p>
    <w:p w14:paraId="5F76BAE7" w14:textId="68ED0ABB" w:rsidR="000B0970" w:rsidRDefault="000B0970" w:rsidP="00073A0C">
      <w:pPr>
        <w:widowControl w:val="0"/>
        <w:autoSpaceDE w:val="0"/>
        <w:autoSpaceDN w:val="0"/>
        <w:adjustRightInd w:val="0"/>
        <w:spacing w:before="120" w:line="480" w:lineRule="auto"/>
        <w:ind w:left="640" w:hanging="640"/>
        <w:rPr>
          <w:noProof/>
        </w:rPr>
      </w:pPr>
    </w:p>
    <w:p w14:paraId="68C18777" w14:textId="0F4BF696" w:rsidR="000B0970" w:rsidRDefault="000B0970" w:rsidP="00073A0C">
      <w:pPr>
        <w:widowControl w:val="0"/>
        <w:autoSpaceDE w:val="0"/>
        <w:autoSpaceDN w:val="0"/>
        <w:adjustRightInd w:val="0"/>
        <w:spacing w:before="120" w:line="480" w:lineRule="auto"/>
        <w:ind w:left="640" w:hanging="640"/>
        <w:rPr>
          <w:noProof/>
        </w:rPr>
      </w:pPr>
      <w:r>
        <w:rPr>
          <w:noProof/>
        </w:rPr>
        <w:t>Biography:</w:t>
      </w:r>
    </w:p>
    <w:p w14:paraId="53C62BF9" w14:textId="77777777" w:rsidR="00553E8E" w:rsidRDefault="000B0970" w:rsidP="00073A0C">
      <w:pPr>
        <w:widowControl w:val="0"/>
        <w:autoSpaceDE w:val="0"/>
        <w:autoSpaceDN w:val="0"/>
        <w:adjustRightInd w:val="0"/>
        <w:spacing w:before="120" w:line="480" w:lineRule="auto"/>
        <w:ind w:left="640" w:hanging="640"/>
        <w:rPr>
          <w:color w:val="222222"/>
          <w:shd w:val="clear" w:color="auto" w:fill="FFFFFF"/>
        </w:rPr>
      </w:pPr>
      <w:r>
        <w:rPr>
          <w:noProof/>
        </w:rPr>
        <w:t xml:space="preserve">Sandhya Gaur has passed MD Ophthalmology from </w:t>
      </w:r>
      <w:r w:rsidRPr="000B0970">
        <w:rPr>
          <w:color w:val="222222"/>
          <w:shd w:val="clear" w:color="auto" w:fill="FFFFFF"/>
        </w:rPr>
        <w:t>Dr. Rajendra Prasad Centre for</w:t>
      </w:r>
    </w:p>
    <w:p w14:paraId="5E4D0385" w14:textId="77777777" w:rsidR="00553E8E" w:rsidRDefault="000B0970" w:rsidP="00073A0C">
      <w:pPr>
        <w:widowControl w:val="0"/>
        <w:autoSpaceDE w:val="0"/>
        <w:autoSpaceDN w:val="0"/>
        <w:adjustRightInd w:val="0"/>
        <w:spacing w:before="120" w:line="480" w:lineRule="auto"/>
        <w:ind w:left="640" w:hanging="640"/>
        <w:rPr>
          <w:color w:val="222222"/>
          <w:shd w:val="clear" w:color="auto" w:fill="FFFFFF"/>
        </w:rPr>
      </w:pPr>
      <w:r w:rsidRPr="000B0970">
        <w:rPr>
          <w:color w:val="222222"/>
          <w:shd w:val="clear" w:color="auto" w:fill="FFFFFF"/>
        </w:rPr>
        <w:t>Ophthalmic Sciences</w:t>
      </w:r>
      <w:r>
        <w:rPr>
          <w:color w:val="222222"/>
          <w:shd w:val="clear" w:color="auto" w:fill="FFFFFF"/>
        </w:rPr>
        <w:t>, AIIMS New Delhi. She is currently pursuing her fellowship in Retina</w:t>
      </w:r>
    </w:p>
    <w:p w14:paraId="703F8CA4" w14:textId="1AC6F90C" w:rsidR="000B0970" w:rsidRDefault="000B0970" w:rsidP="00073A0C">
      <w:pPr>
        <w:widowControl w:val="0"/>
        <w:autoSpaceDE w:val="0"/>
        <w:autoSpaceDN w:val="0"/>
        <w:adjustRightInd w:val="0"/>
        <w:spacing w:before="120" w:line="480" w:lineRule="auto"/>
        <w:ind w:left="640" w:hanging="640"/>
        <w:rPr>
          <w:color w:val="222222"/>
          <w:shd w:val="clear" w:color="auto" w:fill="FFFFFF"/>
        </w:rPr>
      </w:pPr>
      <w:r>
        <w:rPr>
          <w:color w:val="222222"/>
          <w:shd w:val="clear" w:color="auto" w:fill="FFFFFF"/>
        </w:rPr>
        <w:t xml:space="preserve">from Eye Q Hospital, Gurgaon. </w:t>
      </w:r>
    </w:p>
    <w:p w14:paraId="13E5AD4F" w14:textId="18F87696" w:rsidR="000B0970" w:rsidRDefault="000B0970" w:rsidP="00073A0C">
      <w:pPr>
        <w:widowControl w:val="0"/>
        <w:autoSpaceDE w:val="0"/>
        <w:autoSpaceDN w:val="0"/>
        <w:adjustRightInd w:val="0"/>
        <w:spacing w:before="120" w:line="480" w:lineRule="auto"/>
        <w:ind w:left="640" w:hanging="640"/>
        <w:rPr>
          <w:noProof/>
        </w:rPr>
      </w:pPr>
      <w:r>
        <w:rPr>
          <w:color w:val="222222"/>
          <w:shd w:val="clear" w:color="auto" w:fill="FFFFFF"/>
        </w:rPr>
        <w:t>Email: dr.sandhyagaur@gmail.com</w:t>
      </w:r>
    </w:p>
    <w:p w14:paraId="56E84DB4" w14:textId="77777777" w:rsidR="000B0970" w:rsidRDefault="000B0970" w:rsidP="00073A0C">
      <w:pPr>
        <w:widowControl w:val="0"/>
        <w:autoSpaceDE w:val="0"/>
        <w:autoSpaceDN w:val="0"/>
        <w:adjustRightInd w:val="0"/>
        <w:spacing w:before="120" w:line="480" w:lineRule="auto"/>
        <w:ind w:left="640" w:hanging="640"/>
        <w:rPr>
          <w:noProof/>
        </w:rPr>
      </w:pPr>
    </w:p>
    <w:p w14:paraId="02FB2FFF" w14:textId="77777777" w:rsidR="000B0970" w:rsidRPr="00A41496" w:rsidRDefault="000B0970" w:rsidP="00073A0C">
      <w:pPr>
        <w:widowControl w:val="0"/>
        <w:autoSpaceDE w:val="0"/>
        <w:autoSpaceDN w:val="0"/>
        <w:adjustRightInd w:val="0"/>
        <w:spacing w:before="120" w:line="480" w:lineRule="auto"/>
        <w:ind w:left="640" w:hanging="640"/>
        <w:rPr>
          <w:noProof/>
        </w:rPr>
      </w:pPr>
    </w:p>
    <w:p w14:paraId="5E865D76" w14:textId="301AF63C" w:rsidR="005865A8" w:rsidRPr="00A41496" w:rsidRDefault="00A41496" w:rsidP="00073A0C">
      <w:pPr>
        <w:pStyle w:val="NormalWeb"/>
        <w:tabs>
          <w:tab w:val="left" w:pos="2018"/>
        </w:tabs>
        <w:spacing w:before="120" w:beforeAutospacing="0" w:after="0" w:afterAutospacing="0" w:line="480" w:lineRule="auto"/>
        <w:ind w:firstLine="0"/>
        <w:jc w:val="both"/>
        <w:rPr>
          <w:rFonts w:ascii="Times New Roman" w:hAnsi="Times New Roman"/>
          <w:bCs/>
        </w:rPr>
      </w:pPr>
      <w:r w:rsidRPr="00A41496">
        <w:rPr>
          <w:rFonts w:ascii="Times New Roman" w:hAnsi="Times New Roman"/>
          <w:color w:val="000000"/>
        </w:rPr>
        <w:fldChar w:fldCharType="end"/>
      </w:r>
      <w:r w:rsidR="00A03DEE" w:rsidRPr="00A41496">
        <w:rPr>
          <w:rFonts w:ascii="Times New Roman" w:hAnsi="Times New Roman"/>
          <w:color w:val="000000"/>
        </w:rPr>
        <w:br w:type="page"/>
      </w:r>
    </w:p>
    <w:sectPr w:rsidR="005865A8" w:rsidRPr="00A41496" w:rsidSect="0089395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E645C" w14:textId="77777777" w:rsidR="00265F55" w:rsidRDefault="00265F55" w:rsidP="006328F2">
      <w:r>
        <w:separator/>
      </w:r>
    </w:p>
  </w:endnote>
  <w:endnote w:type="continuationSeparator" w:id="0">
    <w:p w14:paraId="72B61661" w14:textId="77777777" w:rsidR="00265F55" w:rsidRDefault="00265F55" w:rsidP="00632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venir Lt BT">
    <w:altName w:val="Cambria"/>
    <w:charset w:val="00"/>
    <w:family w:val="roman"/>
    <w:pitch w:val="variable"/>
    <w:sig w:usb0="00000001" w:usb1="00000000" w:usb2="00000000" w:usb3="00000000" w:csb0="0000001B" w:csb1="00000000"/>
  </w:font>
  <w:font w:name="PalatinoLinotype-Roman">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EB1E3" w14:textId="77777777" w:rsidR="00265F55" w:rsidRDefault="00265F55" w:rsidP="006328F2">
      <w:r>
        <w:separator/>
      </w:r>
    </w:p>
  </w:footnote>
  <w:footnote w:type="continuationSeparator" w:id="0">
    <w:p w14:paraId="2B0B7E6D" w14:textId="77777777" w:rsidR="00265F55" w:rsidRDefault="00265F55" w:rsidP="006328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MwM7E0MDEyNjY1tTRW0lEKTi0uzszPAykwNKgFALVFx6UtAAAA"/>
  </w:docVars>
  <w:rsids>
    <w:rsidRoot w:val="00307914"/>
    <w:rsid w:val="000007F0"/>
    <w:rsid w:val="000039FC"/>
    <w:rsid w:val="00017C4B"/>
    <w:rsid w:val="000652BC"/>
    <w:rsid w:val="00073A0C"/>
    <w:rsid w:val="0009332B"/>
    <w:rsid w:val="000A458A"/>
    <w:rsid w:val="000B0970"/>
    <w:rsid w:val="000D3615"/>
    <w:rsid w:val="000E0B68"/>
    <w:rsid w:val="000F3BDD"/>
    <w:rsid w:val="00140E0F"/>
    <w:rsid w:val="0017052E"/>
    <w:rsid w:val="001706B8"/>
    <w:rsid w:val="001713ED"/>
    <w:rsid w:val="001B5B42"/>
    <w:rsid w:val="001E2F66"/>
    <w:rsid w:val="0020003A"/>
    <w:rsid w:val="00205C9F"/>
    <w:rsid w:val="00207578"/>
    <w:rsid w:val="002311E7"/>
    <w:rsid w:val="002415CA"/>
    <w:rsid w:val="00265F55"/>
    <w:rsid w:val="002A6BAA"/>
    <w:rsid w:val="002C1CBB"/>
    <w:rsid w:val="00300BBE"/>
    <w:rsid w:val="0030245A"/>
    <w:rsid w:val="00307914"/>
    <w:rsid w:val="0034561B"/>
    <w:rsid w:val="0034602D"/>
    <w:rsid w:val="00373FF8"/>
    <w:rsid w:val="003C2B4A"/>
    <w:rsid w:val="003D72B1"/>
    <w:rsid w:val="004059F1"/>
    <w:rsid w:val="00413BDD"/>
    <w:rsid w:val="004547CA"/>
    <w:rsid w:val="004A1F1B"/>
    <w:rsid w:val="00535816"/>
    <w:rsid w:val="00553E8E"/>
    <w:rsid w:val="00555B26"/>
    <w:rsid w:val="00572B86"/>
    <w:rsid w:val="00576ACB"/>
    <w:rsid w:val="005865A8"/>
    <w:rsid w:val="005C265B"/>
    <w:rsid w:val="005D6C56"/>
    <w:rsid w:val="005E1EFF"/>
    <w:rsid w:val="005F3D8B"/>
    <w:rsid w:val="00600850"/>
    <w:rsid w:val="006328F2"/>
    <w:rsid w:val="00644C5D"/>
    <w:rsid w:val="00663E8C"/>
    <w:rsid w:val="00673B07"/>
    <w:rsid w:val="006823A5"/>
    <w:rsid w:val="00692069"/>
    <w:rsid w:val="006E3890"/>
    <w:rsid w:val="006E4750"/>
    <w:rsid w:val="00710DE7"/>
    <w:rsid w:val="00730C18"/>
    <w:rsid w:val="0076699A"/>
    <w:rsid w:val="00777CAC"/>
    <w:rsid w:val="007D7D39"/>
    <w:rsid w:val="007F3DA3"/>
    <w:rsid w:val="007F403A"/>
    <w:rsid w:val="0080349F"/>
    <w:rsid w:val="008430F9"/>
    <w:rsid w:val="0089395C"/>
    <w:rsid w:val="008946CF"/>
    <w:rsid w:val="008E6BE7"/>
    <w:rsid w:val="00946CE2"/>
    <w:rsid w:val="00996A12"/>
    <w:rsid w:val="009A338D"/>
    <w:rsid w:val="009A7288"/>
    <w:rsid w:val="009C7A65"/>
    <w:rsid w:val="009D2D97"/>
    <w:rsid w:val="009D7CDD"/>
    <w:rsid w:val="009E4995"/>
    <w:rsid w:val="00A03DEE"/>
    <w:rsid w:val="00A05351"/>
    <w:rsid w:val="00A22F83"/>
    <w:rsid w:val="00A4087C"/>
    <w:rsid w:val="00A41496"/>
    <w:rsid w:val="00A443F6"/>
    <w:rsid w:val="00A540E3"/>
    <w:rsid w:val="00A572B5"/>
    <w:rsid w:val="00A9056E"/>
    <w:rsid w:val="00A940B3"/>
    <w:rsid w:val="00AC30F7"/>
    <w:rsid w:val="00B01349"/>
    <w:rsid w:val="00B242BF"/>
    <w:rsid w:val="00B2537D"/>
    <w:rsid w:val="00B425D7"/>
    <w:rsid w:val="00B66B8A"/>
    <w:rsid w:val="00B75203"/>
    <w:rsid w:val="00B855BC"/>
    <w:rsid w:val="00BC7EDE"/>
    <w:rsid w:val="00BF48F6"/>
    <w:rsid w:val="00C03E6F"/>
    <w:rsid w:val="00C12BBE"/>
    <w:rsid w:val="00C14FE7"/>
    <w:rsid w:val="00C17718"/>
    <w:rsid w:val="00C221DD"/>
    <w:rsid w:val="00C31449"/>
    <w:rsid w:val="00C64380"/>
    <w:rsid w:val="00C91555"/>
    <w:rsid w:val="00C95BDB"/>
    <w:rsid w:val="00C96558"/>
    <w:rsid w:val="00CF1CD3"/>
    <w:rsid w:val="00D21F05"/>
    <w:rsid w:val="00D26BBE"/>
    <w:rsid w:val="00D326E9"/>
    <w:rsid w:val="00D6120B"/>
    <w:rsid w:val="00D670D1"/>
    <w:rsid w:val="00D82947"/>
    <w:rsid w:val="00DD46E6"/>
    <w:rsid w:val="00E017BC"/>
    <w:rsid w:val="00E159CD"/>
    <w:rsid w:val="00E20AF3"/>
    <w:rsid w:val="00E3353D"/>
    <w:rsid w:val="00E477C8"/>
    <w:rsid w:val="00E5479D"/>
    <w:rsid w:val="00E94984"/>
    <w:rsid w:val="00EF47D0"/>
    <w:rsid w:val="00F2373D"/>
    <w:rsid w:val="00F60E7D"/>
    <w:rsid w:val="00FA1596"/>
    <w:rsid w:val="00FA1B02"/>
    <w:rsid w:val="00FB0E62"/>
    <w:rsid w:val="00FC66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FD559C"/>
  <w15:chartTrackingRefBased/>
  <w15:docId w15:val="{F43BE56A-DEB4-496E-994C-38589742A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5A8"/>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rsid w:val="00307914"/>
    <w:pPr>
      <w:spacing w:before="100" w:beforeAutospacing="1" w:after="100" w:afterAutospacing="1"/>
      <w:ind w:firstLine="216"/>
    </w:pPr>
    <w:rPr>
      <w:rFonts w:ascii="Souvenir Lt BT" w:eastAsia="Times New Roman" w:hAnsi="Souvenir Lt BT"/>
      <w:lang w:val="en-GB"/>
    </w:rPr>
  </w:style>
  <w:style w:type="character" w:styleId="CommentReference">
    <w:name w:val="annotation reference"/>
    <w:basedOn w:val="DefaultParagraphFont"/>
    <w:uiPriority w:val="99"/>
    <w:semiHidden/>
    <w:unhideWhenUsed/>
    <w:rsid w:val="009A7288"/>
    <w:rPr>
      <w:sz w:val="16"/>
      <w:szCs w:val="16"/>
    </w:rPr>
  </w:style>
  <w:style w:type="paragraph" w:styleId="CommentText">
    <w:name w:val="annotation text"/>
    <w:basedOn w:val="Normal"/>
    <w:link w:val="CommentTextChar"/>
    <w:uiPriority w:val="99"/>
    <w:semiHidden/>
    <w:unhideWhenUsed/>
    <w:rsid w:val="009A7288"/>
    <w:rPr>
      <w:sz w:val="20"/>
      <w:szCs w:val="20"/>
    </w:rPr>
  </w:style>
  <w:style w:type="character" w:customStyle="1" w:styleId="CommentTextChar">
    <w:name w:val="Comment Text Char"/>
    <w:basedOn w:val="DefaultParagraphFont"/>
    <w:link w:val="CommentText"/>
    <w:uiPriority w:val="99"/>
    <w:semiHidden/>
    <w:rsid w:val="009A7288"/>
    <w:rPr>
      <w:rFonts w:ascii="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A7288"/>
    <w:rPr>
      <w:b/>
      <w:bCs/>
    </w:rPr>
  </w:style>
  <w:style w:type="character" w:customStyle="1" w:styleId="CommentSubjectChar">
    <w:name w:val="Comment Subject Char"/>
    <w:basedOn w:val="CommentTextChar"/>
    <w:link w:val="CommentSubject"/>
    <w:uiPriority w:val="99"/>
    <w:semiHidden/>
    <w:rsid w:val="009A7288"/>
    <w:rPr>
      <w:rFonts w:ascii="Times New Roman" w:hAnsi="Times New Roman" w:cs="Times New Roman"/>
      <w:b/>
      <w:bCs/>
      <w:sz w:val="20"/>
      <w:szCs w:val="20"/>
      <w:lang w:val="en-US"/>
    </w:rPr>
  </w:style>
  <w:style w:type="paragraph" w:styleId="Revision">
    <w:name w:val="Revision"/>
    <w:hidden/>
    <w:uiPriority w:val="99"/>
    <w:semiHidden/>
    <w:rsid w:val="00413BDD"/>
    <w:pPr>
      <w:spacing w:after="0" w:line="240" w:lineRule="auto"/>
    </w:pPr>
    <w:rPr>
      <w:rFonts w:ascii="Times New Roman" w:hAnsi="Times New Roman" w:cs="Times New Roman"/>
      <w:sz w:val="24"/>
      <w:szCs w:val="24"/>
      <w:lang w:val="en-US"/>
    </w:rPr>
  </w:style>
  <w:style w:type="paragraph" w:styleId="Header">
    <w:name w:val="header"/>
    <w:basedOn w:val="Normal"/>
    <w:link w:val="HeaderChar"/>
    <w:uiPriority w:val="99"/>
    <w:unhideWhenUsed/>
    <w:rsid w:val="006328F2"/>
    <w:pPr>
      <w:tabs>
        <w:tab w:val="center" w:pos="4513"/>
        <w:tab w:val="right" w:pos="9026"/>
      </w:tabs>
    </w:pPr>
  </w:style>
  <w:style w:type="character" w:customStyle="1" w:styleId="HeaderChar">
    <w:name w:val="Header Char"/>
    <w:basedOn w:val="DefaultParagraphFont"/>
    <w:link w:val="Header"/>
    <w:uiPriority w:val="99"/>
    <w:rsid w:val="006328F2"/>
    <w:rPr>
      <w:rFonts w:ascii="Times New Roman" w:hAnsi="Times New Roman" w:cs="Times New Roman"/>
      <w:sz w:val="24"/>
      <w:szCs w:val="24"/>
      <w:lang w:val="en-US"/>
    </w:rPr>
  </w:style>
  <w:style w:type="paragraph" w:styleId="Footer">
    <w:name w:val="footer"/>
    <w:basedOn w:val="Normal"/>
    <w:link w:val="FooterChar"/>
    <w:uiPriority w:val="99"/>
    <w:unhideWhenUsed/>
    <w:rsid w:val="006328F2"/>
    <w:pPr>
      <w:tabs>
        <w:tab w:val="center" w:pos="4513"/>
        <w:tab w:val="right" w:pos="9026"/>
      </w:tabs>
    </w:pPr>
  </w:style>
  <w:style w:type="character" w:customStyle="1" w:styleId="FooterChar">
    <w:name w:val="Footer Char"/>
    <w:basedOn w:val="DefaultParagraphFont"/>
    <w:link w:val="Footer"/>
    <w:uiPriority w:val="99"/>
    <w:rsid w:val="006328F2"/>
    <w:rPr>
      <w:rFonts w:ascii="Times New Roman" w:hAnsi="Times New Roman" w:cs="Times New Roman"/>
      <w:sz w:val="24"/>
      <w:szCs w:val="24"/>
      <w:lang w:val="en-US"/>
    </w:rPr>
  </w:style>
  <w:style w:type="character" w:styleId="LineNumber">
    <w:name w:val="line number"/>
    <w:basedOn w:val="DefaultParagraphFont"/>
    <w:uiPriority w:val="99"/>
    <w:semiHidden/>
    <w:unhideWhenUsed/>
    <w:rsid w:val="00A03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42953">
      <w:bodyDiv w:val="1"/>
      <w:marLeft w:val="0"/>
      <w:marRight w:val="0"/>
      <w:marTop w:val="0"/>
      <w:marBottom w:val="0"/>
      <w:divBdr>
        <w:top w:val="none" w:sz="0" w:space="0" w:color="auto"/>
        <w:left w:val="none" w:sz="0" w:space="0" w:color="auto"/>
        <w:bottom w:val="none" w:sz="0" w:space="0" w:color="auto"/>
        <w:right w:val="none" w:sz="0" w:space="0" w:color="auto"/>
      </w:divBdr>
    </w:div>
    <w:div w:id="254285893">
      <w:bodyDiv w:val="1"/>
      <w:marLeft w:val="0"/>
      <w:marRight w:val="0"/>
      <w:marTop w:val="0"/>
      <w:marBottom w:val="0"/>
      <w:divBdr>
        <w:top w:val="none" w:sz="0" w:space="0" w:color="auto"/>
        <w:left w:val="none" w:sz="0" w:space="0" w:color="auto"/>
        <w:bottom w:val="none" w:sz="0" w:space="0" w:color="auto"/>
        <w:right w:val="none" w:sz="0" w:space="0" w:color="auto"/>
      </w:divBdr>
    </w:div>
    <w:div w:id="536241165">
      <w:bodyDiv w:val="1"/>
      <w:marLeft w:val="0"/>
      <w:marRight w:val="0"/>
      <w:marTop w:val="0"/>
      <w:marBottom w:val="0"/>
      <w:divBdr>
        <w:top w:val="none" w:sz="0" w:space="0" w:color="auto"/>
        <w:left w:val="none" w:sz="0" w:space="0" w:color="auto"/>
        <w:bottom w:val="none" w:sz="0" w:space="0" w:color="auto"/>
        <w:right w:val="none" w:sz="0" w:space="0" w:color="auto"/>
      </w:divBdr>
    </w:div>
    <w:div w:id="884214050">
      <w:bodyDiv w:val="1"/>
      <w:marLeft w:val="0"/>
      <w:marRight w:val="0"/>
      <w:marTop w:val="0"/>
      <w:marBottom w:val="0"/>
      <w:divBdr>
        <w:top w:val="none" w:sz="0" w:space="0" w:color="auto"/>
        <w:left w:val="none" w:sz="0" w:space="0" w:color="auto"/>
        <w:bottom w:val="none" w:sz="0" w:space="0" w:color="auto"/>
        <w:right w:val="none" w:sz="0" w:space="0" w:color="auto"/>
      </w:divBdr>
      <w:divsChild>
        <w:div w:id="411391985">
          <w:marLeft w:val="0"/>
          <w:marRight w:val="0"/>
          <w:marTop w:val="0"/>
          <w:marBottom w:val="0"/>
          <w:divBdr>
            <w:top w:val="none" w:sz="0" w:space="0" w:color="auto"/>
            <w:left w:val="none" w:sz="0" w:space="0" w:color="auto"/>
            <w:bottom w:val="none" w:sz="0" w:space="0" w:color="auto"/>
            <w:right w:val="none" w:sz="0" w:space="0" w:color="auto"/>
          </w:divBdr>
          <w:divsChild>
            <w:div w:id="1099453280">
              <w:marLeft w:val="0"/>
              <w:marRight w:val="0"/>
              <w:marTop w:val="0"/>
              <w:marBottom w:val="0"/>
              <w:divBdr>
                <w:top w:val="none" w:sz="0" w:space="0" w:color="auto"/>
                <w:left w:val="none" w:sz="0" w:space="0" w:color="auto"/>
                <w:bottom w:val="none" w:sz="0" w:space="0" w:color="auto"/>
                <w:right w:val="none" w:sz="0" w:space="0" w:color="auto"/>
              </w:divBdr>
              <w:divsChild>
                <w:div w:id="59116546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6926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9D50A-69AF-41D7-BCB2-6368A81DF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TotalTime>
  <Pages>4</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Apoorv Singh</dc:creator>
  <cp:keywords/>
  <dc:description/>
  <cp:lastModifiedBy>Dr. Sandhya Gaur</cp:lastModifiedBy>
  <cp:revision>104</cp:revision>
  <dcterms:created xsi:type="dcterms:W3CDTF">2021-05-20T16:50:00Z</dcterms:created>
  <dcterms:modified xsi:type="dcterms:W3CDTF">2021-05-25T16:55:00Z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760de3f3-fe31-391d-9d27-c2abeda66c57</vt:lpwstr>
  </property>
  <property fmtid="{D5CDD505-2E9C-101B-9397-08002B2CF9AE}" pid="4" name="Mendeley Citation Style_1">
    <vt:lpwstr>http://www.zotero.org/styles/american-medical-association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