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821" w:rsidRPr="000B4821" w:rsidRDefault="000B4821" w:rsidP="000B4821">
      <w:pPr>
        <w:jc w:val="center"/>
        <w:rPr>
          <w:rFonts w:asciiTheme="majorBidi" w:hAnsiTheme="majorBidi" w:cstheme="majorBidi"/>
          <w:b/>
          <w:sz w:val="24"/>
          <w:szCs w:val="24"/>
        </w:rPr>
      </w:pPr>
      <w:r w:rsidRPr="000B4821">
        <w:rPr>
          <w:rFonts w:asciiTheme="majorBidi" w:hAnsiTheme="majorBidi" w:cstheme="majorBidi"/>
          <w:b/>
          <w:sz w:val="24"/>
          <w:szCs w:val="24"/>
        </w:rPr>
        <w:t xml:space="preserve">Clinical Profile, Evaluation, Management and Visual Outcome of Idiopathic Intracranial Hypertension in a </w:t>
      </w:r>
      <w:proofErr w:type="spellStart"/>
      <w:r w:rsidRPr="000B4821">
        <w:rPr>
          <w:rFonts w:asciiTheme="majorBidi" w:hAnsiTheme="majorBidi" w:cstheme="majorBidi"/>
          <w:b/>
          <w:sz w:val="24"/>
          <w:szCs w:val="24"/>
        </w:rPr>
        <w:t>Neuro</w:t>
      </w:r>
      <w:proofErr w:type="spellEnd"/>
      <w:r w:rsidRPr="000B4821">
        <w:rPr>
          <w:rFonts w:asciiTheme="majorBidi" w:hAnsiTheme="majorBidi" w:cstheme="majorBidi"/>
          <w:b/>
          <w:sz w:val="24"/>
          <w:szCs w:val="24"/>
        </w:rPr>
        <w:t>-Ophthalmology Clinic in Jeddah, Saudi Arabia</w:t>
      </w:r>
    </w:p>
    <w:p w:rsidR="000B4821" w:rsidRDefault="000B4821" w:rsidP="000B4821">
      <w:pPr>
        <w:rPr>
          <w:rFonts w:asciiTheme="majorBidi" w:hAnsiTheme="majorBidi" w:cstheme="majorBidi"/>
          <w:bCs/>
          <w:vertAlign w:val="superscript"/>
        </w:rPr>
      </w:pPr>
      <w:proofErr w:type="spellStart"/>
      <w:r w:rsidRPr="002E5035">
        <w:rPr>
          <w:rFonts w:asciiTheme="majorBidi" w:hAnsiTheme="majorBidi" w:cstheme="majorBidi"/>
          <w:bCs/>
        </w:rPr>
        <w:t>Rahaf</w:t>
      </w:r>
      <w:proofErr w:type="spellEnd"/>
      <w:r w:rsidRPr="002E5035">
        <w:rPr>
          <w:rFonts w:asciiTheme="majorBidi" w:hAnsiTheme="majorBidi" w:cstheme="majorBidi"/>
          <w:bCs/>
        </w:rPr>
        <w:t xml:space="preserve"> </w:t>
      </w:r>
      <w:r>
        <w:rPr>
          <w:rFonts w:asciiTheme="majorBidi" w:hAnsiTheme="majorBidi" w:cstheme="majorBidi"/>
          <w:bCs/>
        </w:rPr>
        <w:t xml:space="preserve">Abdullah </w:t>
      </w:r>
      <w:proofErr w:type="spellStart"/>
      <w:r w:rsidRPr="002E5035">
        <w:rPr>
          <w:rFonts w:asciiTheme="majorBidi" w:hAnsiTheme="majorBidi" w:cstheme="majorBidi"/>
          <w:bCs/>
        </w:rPr>
        <w:t>Mandura</w:t>
      </w:r>
      <w:proofErr w:type="spellEnd"/>
      <w:r>
        <w:rPr>
          <w:rFonts w:asciiTheme="majorBidi" w:hAnsiTheme="majorBidi" w:cstheme="majorBidi"/>
          <w:bCs/>
        </w:rPr>
        <w:t xml:space="preserve"> </w:t>
      </w:r>
      <w:r>
        <w:rPr>
          <w:rFonts w:asciiTheme="majorBidi" w:hAnsiTheme="majorBidi" w:cstheme="majorBidi"/>
          <w:bCs/>
          <w:vertAlign w:val="superscript"/>
        </w:rPr>
        <w:t>1</w:t>
      </w:r>
      <w:r>
        <w:rPr>
          <w:rFonts w:asciiTheme="majorBidi" w:hAnsiTheme="majorBidi" w:cstheme="majorBidi"/>
          <w:bCs/>
        </w:rPr>
        <w:t xml:space="preserve">, </w:t>
      </w:r>
      <w:proofErr w:type="spellStart"/>
      <w:r w:rsidRPr="00E72E48">
        <w:rPr>
          <w:rFonts w:asciiTheme="majorBidi" w:hAnsiTheme="majorBidi" w:cstheme="majorBidi"/>
          <w:bCs/>
        </w:rPr>
        <w:t>Dareen</w:t>
      </w:r>
      <w:proofErr w:type="spellEnd"/>
      <w:r w:rsidRPr="00E72E48">
        <w:rPr>
          <w:rFonts w:asciiTheme="majorBidi" w:hAnsiTheme="majorBidi" w:cstheme="majorBidi"/>
          <w:bCs/>
        </w:rPr>
        <w:t xml:space="preserve"> Adnan </w:t>
      </w:r>
      <w:proofErr w:type="spellStart"/>
      <w:r w:rsidRPr="00E72E48">
        <w:rPr>
          <w:rFonts w:asciiTheme="majorBidi" w:hAnsiTheme="majorBidi" w:cstheme="majorBidi"/>
          <w:bCs/>
        </w:rPr>
        <w:t>Khawjah</w:t>
      </w:r>
      <w:proofErr w:type="spellEnd"/>
      <w:r w:rsidRPr="00E72E48">
        <w:rPr>
          <w:rFonts w:asciiTheme="majorBidi" w:hAnsiTheme="majorBidi" w:cstheme="majorBidi"/>
          <w:bCs/>
        </w:rPr>
        <w:t xml:space="preserve"> </w:t>
      </w:r>
      <w:r>
        <w:rPr>
          <w:rFonts w:asciiTheme="majorBidi" w:hAnsiTheme="majorBidi" w:cstheme="majorBidi"/>
          <w:bCs/>
          <w:vertAlign w:val="superscript"/>
        </w:rPr>
        <w:t>1</w:t>
      </w:r>
      <w:r>
        <w:rPr>
          <w:rFonts w:asciiTheme="majorBidi" w:hAnsiTheme="majorBidi" w:cstheme="majorBidi"/>
          <w:bCs/>
        </w:rPr>
        <w:t xml:space="preserve">, </w:t>
      </w:r>
      <w:proofErr w:type="spellStart"/>
      <w:r w:rsidRPr="002E5035">
        <w:rPr>
          <w:rFonts w:asciiTheme="majorBidi" w:hAnsiTheme="majorBidi" w:cstheme="majorBidi"/>
          <w:bCs/>
        </w:rPr>
        <w:t>Abeer</w:t>
      </w:r>
      <w:proofErr w:type="spellEnd"/>
      <w:r w:rsidRPr="002E5035">
        <w:rPr>
          <w:rFonts w:asciiTheme="majorBidi" w:hAnsiTheme="majorBidi" w:cstheme="majorBidi"/>
          <w:bCs/>
        </w:rPr>
        <w:t xml:space="preserve"> </w:t>
      </w:r>
      <w:proofErr w:type="spellStart"/>
      <w:r w:rsidRPr="002E5035">
        <w:rPr>
          <w:rFonts w:asciiTheme="majorBidi" w:hAnsiTheme="majorBidi" w:cstheme="majorBidi"/>
          <w:bCs/>
        </w:rPr>
        <w:t>Surihan</w:t>
      </w:r>
      <w:proofErr w:type="spellEnd"/>
      <w:r w:rsidRPr="002E5035">
        <w:rPr>
          <w:rFonts w:asciiTheme="majorBidi" w:hAnsiTheme="majorBidi" w:cstheme="majorBidi"/>
          <w:bCs/>
        </w:rPr>
        <w:t xml:space="preserve"> </w:t>
      </w:r>
      <w:proofErr w:type="spellStart"/>
      <w:r w:rsidRPr="002E5035">
        <w:rPr>
          <w:rFonts w:asciiTheme="majorBidi" w:hAnsiTheme="majorBidi" w:cstheme="majorBidi"/>
          <w:bCs/>
        </w:rPr>
        <w:t>Alharbi</w:t>
      </w:r>
      <w:proofErr w:type="spellEnd"/>
      <w:r>
        <w:rPr>
          <w:rFonts w:asciiTheme="majorBidi" w:hAnsiTheme="majorBidi" w:cstheme="majorBidi"/>
          <w:bCs/>
        </w:rPr>
        <w:t xml:space="preserve"> </w:t>
      </w:r>
      <w:r>
        <w:rPr>
          <w:rFonts w:asciiTheme="majorBidi" w:hAnsiTheme="majorBidi" w:cstheme="majorBidi"/>
          <w:bCs/>
          <w:vertAlign w:val="superscript"/>
        </w:rPr>
        <w:t>2</w:t>
      </w:r>
      <w:r>
        <w:rPr>
          <w:rFonts w:asciiTheme="majorBidi" w:hAnsiTheme="majorBidi" w:cstheme="majorBidi"/>
          <w:bCs/>
        </w:rPr>
        <w:t xml:space="preserve">, </w:t>
      </w:r>
      <w:proofErr w:type="spellStart"/>
      <w:r>
        <w:rPr>
          <w:rFonts w:asciiTheme="majorBidi" w:hAnsiTheme="majorBidi" w:cstheme="majorBidi"/>
          <w:bCs/>
        </w:rPr>
        <w:t>Nawal</w:t>
      </w:r>
      <w:proofErr w:type="spellEnd"/>
      <w:r>
        <w:rPr>
          <w:rFonts w:asciiTheme="majorBidi" w:hAnsiTheme="majorBidi" w:cstheme="majorBidi"/>
          <w:bCs/>
        </w:rPr>
        <w:t xml:space="preserve"> Ali </w:t>
      </w:r>
      <w:proofErr w:type="spellStart"/>
      <w:r>
        <w:rPr>
          <w:rFonts w:asciiTheme="majorBidi" w:hAnsiTheme="majorBidi" w:cstheme="majorBidi"/>
          <w:bCs/>
        </w:rPr>
        <w:t>Arishi</w:t>
      </w:r>
      <w:proofErr w:type="spellEnd"/>
      <w:r>
        <w:rPr>
          <w:rFonts w:asciiTheme="majorBidi" w:hAnsiTheme="majorBidi" w:cstheme="majorBidi"/>
          <w:bCs/>
        </w:rPr>
        <w:t xml:space="preserve"> </w:t>
      </w:r>
      <w:r>
        <w:rPr>
          <w:rFonts w:asciiTheme="majorBidi" w:hAnsiTheme="majorBidi" w:cstheme="majorBidi"/>
          <w:bCs/>
          <w:vertAlign w:val="superscript"/>
        </w:rPr>
        <w:t>3</w:t>
      </w:r>
    </w:p>
    <w:p w:rsidR="000B4821" w:rsidRPr="000B4821" w:rsidRDefault="000B4821" w:rsidP="000B4821">
      <w:pPr>
        <w:rPr>
          <w:rFonts w:asciiTheme="majorBidi" w:hAnsiTheme="majorBidi" w:cstheme="majorBidi"/>
          <w:bCs/>
          <w:vertAlign w:val="superscript"/>
        </w:rPr>
      </w:pPr>
      <w:r>
        <w:rPr>
          <w:rFonts w:asciiTheme="majorBidi" w:hAnsiTheme="majorBidi" w:cstheme="majorBidi"/>
          <w:bCs/>
          <w:vertAlign w:val="superscript"/>
        </w:rPr>
        <w:t xml:space="preserve">1 </w:t>
      </w:r>
      <w:r>
        <w:rPr>
          <w:rFonts w:asciiTheme="majorBidi" w:hAnsiTheme="majorBidi" w:cstheme="majorBidi"/>
          <w:bCs/>
        </w:rPr>
        <w:t xml:space="preserve">Department of Ophthalmology, </w:t>
      </w:r>
      <w:r w:rsidRPr="002E5035">
        <w:rPr>
          <w:rFonts w:asciiTheme="majorBidi" w:hAnsiTheme="majorBidi" w:cstheme="majorBidi"/>
          <w:bCs/>
        </w:rPr>
        <w:t xml:space="preserve">King </w:t>
      </w:r>
      <w:proofErr w:type="spellStart"/>
      <w:r w:rsidRPr="002E5035">
        <w:rPr>
          <w:rFonts w:asciiTheme="majorBidi" w:hAnsiTheme="majorBidi" w:cstheme="majorBidi"/>
          <w:bCs/>
        </w:rPr>
        <w:t>Abdulaziz</w:t>
      </w:r>
      <w:proofErr w:type="spellEnd"/>
      <w:r w:rsidRPr="002E5035">
        <w:rPr>
          <w:rFonts w:asciiTheme="majorBidi" w:hAnsiTheme="majorBidi" w:cstheme="majorBidi"/>
          <w:bCs/>
        </w:rPr>
        <w:t xml:space="preserve"> University, Jeddah, Saudi Arabia</w:t>
      </w:r>
    </w:p>
    <w:p w:rsidR="000B4821" w:rsidRDefault="000B4821" w:rsidP="000B4821">
      <w:pPr>
        <w:rPr>
          <w:rFonts w:asciiTheme="majorBidi" w:hAnsiTheme="majorBidi" w:cstheme="majorBidi"/>
          <w:bCs/>
        </w:rPr>
      </w:pPr>
      <w:r>
        <w:rPr>
          <w:rFonts w:asciiTheme="majorBidi" w:hAnsiTheme="majorBidi" w:cstheme="majorBidi"/>
          <w:bCs/>
          <w:vertAlign w:val="superscript"/>
        </w:rPr>
        <w:t xml:space="preserve">2 </w:t>
      </w:r>
      <w:r>
        <w:rPr>
          <w:rFonts w:asciiTheme="majorBidi" w:hAnsiTheme="majorBidi" w:cstheme="majorBidi"/>
          <w:bCs/>
        </w:rPr>
        <w:t xml:space="preserve">Department of Ophthalmology, </w:t>
      </w:r>
      <w:proofErr w:type="spellStart"/>
      <w:r>
        <w:rPr>
          <w:rFonts w:asciiTheme="majorBidi" w:hAnsiTheme="majorBidi" w:cstheme="majorBidi"/>
          <w:bCs/>
        </w:rPr>
        <w:t>O</w:t>
      </w:r>
      <w:r w:rsidRPr="002E5035">
        <w:rPr>
          <w:rFonts w:asciiTheme="majorBidi" w:hAnsiTheme="majorBidi" w:cstheme="majorBidi"/>
          <w:bCs/>
        </w:rPr>
        <w:t>houd</w:t>
      </w:r>
      <w:proofErr w:type="spellEnd"/>
      <w:r w:rsidRPr="002E5035">
        <w:rPr>
          <w:rFonts w:asciiTheme="majorBidi" w:hAnsiTheme="majorBidi" w:cstheme="majorBidi"/>
          <w:bCs/>
        </w:rPr>
        <w:t xml:space="preserve"> hospital</w:t>
      </w:r>
      <w:r>
        <w:rPr>
          <w:rFonts w:asciiTheme="majorBidi" w:hAnsiTheme="majorBidi" w:cstheme="majorBidi"/>
          <w:bCs/>
        </w:rPr>
        <w:t xml:space="preserve">, </w:t>
      </w:r>
      <w:proofErr w:type="spellStart"/>
      <w:r w:rsidRPr="002E5035">
        <w:rPr>
          <w:rFonts w:asciiTheme="majorBidi" w:hAnsiTheme="majorBidi" w:cstheme="majorBidi"/>
          <w:bCs/>
        </w:rPr>
        <w:t>Madinah</w:t>
      </w:r>
      <w:proofErr w:type="spellEnd"/>
      <w:r>
        <w:rPr>
          <w:rFonts w:asciiTheme="majorBidi" w:hAnsiTheme="majorBidi" w:cstheme="majorBidi"/>
          <w:bCs/>
        </w:rPr>
        <w:t xml:space="preserve">, </w:t>
      </w:r>
      <w:r w:rsidRPr="002E5035">
        <w:rPr>
          <w:rFonts w:asciiTheme="majorBidi" w:hAnsiTheme="majorBidi" w:cstheme="majorBidi"/>
          <w:bCs/>
        </w:rPr>
        <w:t>Saudi Arabia</w:t>
      </w:r>
    </w:p>
    <w:p w:rsidR="000B4821" w:rsidRDefault="000B4821" w:rsidP="000B4821">
      <w:pPr>
        <w:rPr>
          <w:rFonts w:asciiTheme="majorBidi" w:hAnsiTheme="majorBidi" w:cstheme="majorBidi"/>
          <w:bCs/>
        </w:rPr>
      </w:pPr>
      <w:r>
        <w:rPr>
          <w:rFonts w:asciiTheme="majorBidi" w:hAnsiTheme="majorBidi" w:cstheme="majorBidi"/>
          <w:bCs/>
          <w:vertAlign w:val="superscript"/>
        </w:rPr>
        <w:t xml:space="preserve">3 </w:t>
      </w:r>
      <w:r>
        <w:rPr>
          <w:rFonts w:asciiTheme="majorBidi" w:hAnsiTheme="majorBidi" w:cstheme="majorBidi"/>
          <w:bCs/>
        </w:rPr>
        <w:t xml:space="preserve">Department of </w:t>
      </w:r>
      <w:proofErr w:type="spellStart"/>
      <w:r>
        <w:rPr>
          <w:rFonts w:asciiTheme="majorBidi" w:hAnsiTheme="majorBidi" w:cstheme="majorBidi"/>
          <w:bCs/>
        </w:rPr>
        <w:t>Neuro</w:t>
      </w:r>
      <w:proofErr w:type="spellEnd"/>
      <w:r>
        <w:rPr>
          <w:rFonts w:asciiTheme="majorBidi" w:hAnsiTheme="majorBidi" w:cstheme="majorBidi"/>
          <w:bCs/>
        </w:rPr>
        <w:t>-ophthalmology, Jeddah Eye hospital, Jeddah, Saudi Arabia</w:t>
      </w:r>
    </w:p>
    <w:p w:rsidR="000B4821" w:rsidRDefault="000B4821">
      <w:pPr>
        <w:rPr>
          <w:rFonts w:ascii="Arial"/>
          <w:sz w:val="21"/>
        </w:rPr>
        <w:sectPr w:rsidR="000B4821"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lastRenderedPageBreak/>
        <w:t>Abstract</w:t>
      </w:r>
      <w:r w:rsidR="00404E5B">
        <w:rPr>
          <w:color w:val="BF5A14"/>
        </w:rPr>
        <w:t xml:space="preserve"> (300 word limit)</w:t>
      </w:r>
    </w:p>
    <w:tbl>
      <w:tblPr>
        <w:tblpPr w:leftFromText="180" w:rightFromText="180" w:vertAnchor="text" w:horzAnchor="page" w:tblpX="6148" w:tblpY="418"/>
        <w:tblW w:w="5528" w:type="dxa"/>
        <w:tblLayout w:type="fixed"/>
        <w:tblLook w:val="04A0" w:firstRow="1" w:lastRow="0" w:firstColumn="1" w:lastColumn="0" w:noHBand="0" w:noVBand="1"/>
      </w:tblPr>
      <w:tblGrid>
        <w:gridCol w:w="709"/>
        <w:gridCol w:w="992"/>
        <w:gridCol w:w="567"/>
        <w:gridCol w:w="567"/>
        <w:gridCol w:w="567"/>
        <w:gridCol w:w="567"/>
        <w:gridCol w:w="567"/>
        <w:gridCol w:w="567"/>
        <w:gridCol w:w="425"/>
      </w:tblGrid>
      <w:tr w:rsidR="00CC2FEC" w:rsidRPr="00CC2FEC" w:rsidTr="00CC2FEC">
        <w:trPr>
          <w:trHeight w:val="126"/>
        </w:trPr>
        <w:tc>
          <w:tcPr>
            <w:tcW w:w="170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Response</w:t>
            </w:r>
          </w:p>
        </w:tc>
        <w:tc>
          <w:tcPr>
            <w:tcW w:w="3402" w:type="dxa"/>
            <w:gridSpan w:val="6"/>
            <w:tcBorders>
              <w:top w:val="single" w:sz="4" w:space="0" w:color="auto"/>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Acetazolamide dose (mg)</w:t>
            </w:r>
          </w:p>
        </w:tc>
        <w:tc>
          <w:tcPr>
            <w:tcW w:w="425" w:type="dxa"/>
            <w:tcBorders>
              <w:top w:val="single" w:sz="4" w:space="0" w:color="auto"/>
              <w:left w:val="nil"/>
              <w:bottom w:val="nil"/>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P-value</w:t>
            </w:r>
          </w:p>
        </w:tc>
      </w:tr>
      <w:tr w:rsidR="00CC2FEC" w:rsidRPr="00CC2FEC" w:rsidTr="00CC2FEC">
        <w:trPr>
          <w:trHeight w:val="132"/>
        </w:trPr>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b/>
                <w:bCs/>
                <w:sz w:val="12"/>
                <w:szCs w:val="12"/>
              </w:rPr>
            </w:pPr>
          </w:p>
        </w:tc>
        <w:tc>
          <w:tcPr>
            <w:tcW w:w="1134" w:type="dxa"/>
            <w:gridSpan w:val="2"/>
            <w:tcBorders>
              <w:top w:val="single" w:sz="4" w:space="0" w:color="auto"/>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500</w:t>
            </w:r>
          </w:p>
        </w:tc>
        <w:tc>
          <w:tcPr>
            <w:tcW w:w="1134" w:type="dxa"/>
            <w:gridSpan w:val="2"/>
            <w:tcBorders>
              <w:top w:val="single" w:sz="4" w:space="0" w:color="auto"/>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750</w:t>
            </w:r>
          </w:p>
        </w:tc>
        <w:tc>
          <w:tcPr>
            <w:tcW w:w="1134" w:type="dxa"/>
            <w:gridSpan w:val="2"/>
            <w:tcBorders>
              <w:top w:val="single" w:sz="4" w:space="0" w:color="auto"/>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1000</w:t>
            </w:r>
          </w:p>
        </w:tc>
        <w:tc>
          <w:tcPr>
            <w:tcW w:w="425" w:type="dxa"/>
            <w:vMerge w:val="restart"/>
            <w:tcBorders>
              <w:top w:val="nil"/>
              <w:left w:val="nil"/>
              <w:bottom w:val="single" w:sz="4" w:space="0" w:color="auto"/>
              <w:right w:val="single" w:sz="4" w:space="0" w:color="auto"/>
            </w:tcBorders>
          </w:tcPr>
          <w:p w:rsidR="00CC2FEC" w:rsidRPr="00CC2FEC" w:rsidRDefault="00CC2FEC" w:rsidP="00CC2FEC">
            <w:pPr>
              <w:jc w:val="center"/>
              <w:rPr>
                <w:rFonts w:asciiTheme="majorBidi" w:eastAsia="Times New Roman" w:hAnsiTheme="majorBidi" w:cstheme="majorBidi"/>
                <w:sz w:val="12"/>
                <w:szCs w:val="12"/>
              </w:rPr>
            </w:pPr>
          </w:p>
        </w:tc>
      </w:tr>
      <w:tr w:rsidR="00CC2FEC" w:rsidRPr="00CC2FEC" w:rsidTr="00CC2FEC">
        <w:trPr>
          <w:trHeight w:val="120"/>
        </w:trPr>
        <w:tc>
          <w:tcPr>
            <w:tcW w:w="1701" w:type="dxa"/>
            <w:gridSpan w:val="2"/>
            <w:vMerge/>
            <w:tcBorders>
              <w:top w:val="single" w:sz="4" w:space="0" w:color="auto"/>
              <w:left w:val="single" w:sz="4" w:space="0" w:color="auto"/>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b/>
                <w:bCs/>
                <w:sz w:val="12"/>
                <w:szCs w:val="12"/>
              </w:rPr>
            </w:pPr>
          </w:p>
        </w:tc>
        <w:tc>
          <w:tcPr>
            <w:tcW w:w="567"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Count</w:t>
            </w:r>
          </w:p>
        </w:tc>
        <w:tc>
          <w:tcPr>
            <w:tcW w:w="567"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w:t>
            </w:r>
          </w:p>
        </w:tc>
        <w:tc>
          <w:tcPr>
            <w:tcW w:w="567"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Count</w:t>
            </w:r>
          </w:p>
        </w:tc>
        <w:tc>
          <w:tcPr>
            <w:tcW w:w="567"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w:t>
            </w:r>
          </w:p>
        </w:tc>
        <w:tc>
          <w:tcPr>
            <w:tcW w:w="567"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Count</w:t>
            </w:r>
          </w:p>
        </w:tc>
        <w:tc>
          <w:tcPr>
            <w:tcW w:w="567"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w:t>
            </w:r>
          </w:p>
        </w:tc>
        <w:tc>
          <w:tcPr>
            <w:tcW w:w="425" w:type="dxa"/>
            <w:vMerge/>
            <w:tcBorders>
              <w:top w:val="nil"/>
              <w:left w:val="nil"/>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sz w:val="12"/>
                <w:szCs w:val="12"/>
              </w:rPr>
            </w:pPr>
          </w:p>
        </w:tc>
      </w:tr>
      <w:tr w:rsidR="00CC2FEC" w:rsidRPr="00CC2FEC" w:rsidTr="00CC2FEC">
        <w:trPr>
          <w:trHeight w:val="270"/>
        </w:trPr>
        <w:tc>
          <w:tcPr>
            <w:tcW w:w="709" w:type="dxa"/>
            <w:vMerge w:val="restart"/>
            <w:tcBorders>
              <w:top w:val="nil"/>
              <w:left w:val="single" w:sz="4" w:space="0" w:color="auto"/>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Subjective response</w:t>
            </w:r>
          </w:p>
        </w:tc>
        <w:tc>
          <w:tcPr>
            <w:tcW w:w="992"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Not reported</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18.2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0.0</w:t>
            </w:r>
          </w:p>
        </w:tc>
        <w:tc>
          <w:tcPr>
            <w:tcW w:w="425" w:type="dxa"/>
            <w:vMerge w:val="restart"/>
            <w:tcBorders>
              <w:top w:val="nil"/>
              <w:left w:val="nil"/>
              <w:bottom w:val="single" w:sz="4" w:space="0" w:color="auto"/>
              <w:right w:val="single" w:sz="4" w:space="0" w:color="auto"/>
            </w:tcBorders>
          </w:tcPr>
          <w:p w:rsidR="00CC2FEC" w:rsidRPr="00CC2FEC" w:rsidRDefault="00CC2FEC" w:rsidP="00CC2FEC">
            <w:pPr>
              <w:jc w:val="center"/>
              <w:rPr>
                <w:rFonts w:asciiTheme="majorBidi" w:eastAsia="Times New Roman" w:hAnsiTheme="majorBidi" w:cstheme="majorBidi"/>
                <w:sz w:val="12"/>
                <w:szCs w:val="12"/>
              </w:rPr>
            </w:pPr>
          </w:p>
          <w:p w:rsidR="00CC2FEC" w:rsidRPr="00CC2FEC" w:rsidRDefault="00CC2FEC" w:rsidP="00CC2FEC">
            <w:pPr>
              <w:spacing w:after="160" w:line="256" w:lineRule="auto"/>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0.162</w:t>
            </w:r>
          </w:p>
        </w:tc>
      </w:tr>
      <w:tr w:rsidR="00CC2FEC" w:rsidRPr="00CC2FEC" w:rsidTr="00CC2FEC">
        <w:trPr>
          <w:trHeight w:val="133"/>
        </w:trPr>
        <w:tc>
          <w:tcPr>
            <w:tcW w:w="709" w:type="dxa"/>
            <w:vMerge/>
            <w:tcBorders>
              <w:top w:val="nil"/>
              <w:left w:val="single" w:sz="4" w:space="0" w:color="auto"/>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b/>
                <w:bCs/>
                <w:sz w:val="12"/>
                <w:szCs w:val="12"/>
              </w:rPr>
            </w:pPr>
          </w:p>
        </w:tc>
        <w:tc>
          <w:tcPr>
            <w:tcW w:w="992"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Yes</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8</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72.7</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7</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63.6</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17</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89.5</w:t>
            </w:r>
          </w:p>
        </w:tc>
        <w:tc>
          <w:tcPr>
            <w:tcW w:w="425" w:type="dxa"/>
            <w:vMerge/>
            <w:tcBorders>
              <w:top w:val="nil"/>
              <w:left w:val="nil"/>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sz w:val="12"/>
                <w:szCs w:val="12"/>
              </w:rPr>
            </w:pPr>
          </w:p>
        </w:tc>
      </w:tr>
      <w:tr w:rsidR="00CC2FEC" w:rsidRPr="00CC2FEC" w:rsidTr="00CC2FEC">
        <w:trPr>
          <w:trHeight w:val="59"/>
        </w:trPr>
        <w:tc>
          <w:tcPr>
            <w:tcW w:w="709" w:type="dxa"/>
            <w:vMerge/>
            <w:tcBorders>
              <w:top w:val="nil"/>
              <w:left w:val="single" w:sz="4" w:space="0" w:color="auto"/>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b/>
                <w:bCs/>
                <w:sz w:val="12"/>
                <w:szCs w:val="12"/>
              </w:rPr>
            </w:pPr>
          </w:p>
        </w:tc>
        <w:tc>
          <w:tcPr>
            <w:tcW w:w="992"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No</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3</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27.3</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18.2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10.5</w:t>
            </w:r>
          </w:p>
        </w:tc>
        <w:tc>
          <w:tcPr>
            <w:tcW w:w="425" w:type="dxa"/>
            <w:vMerge/>
            <w:tcBorders>
              <w:top w:val="nil"/>
              <w:left w:val="nil"/>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sz w:val="12"/>
                <w:szCs w:val="12"/>
              </w:rPr>
            </w:pPr>
          </w:p>
        </w:tc>
      </w:tr>
      <w:tr w:rsidR="00CC2FEC" w:rsidRPr="00CC2FEC" w:rsidTr="00CC2FEC">
        <w:trPr>
          <w:trHeight w:val="99"/>
        </w:trPr>
        <w:tc>
          <w:tcPr>
            <w:tcW w:w="709" w:type="dxa"/>
            <w:vMerge w:val="restart"/>
            <w:tcBorders>
              <w:top w:val="nil"/>
              <w:left w:val="single" w:sz="4" w:space="0" w:color="auto"/>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Objective response</w:t>
            </w:r>
          </w:p>
        </w:tc>
        <w:tc>
          <w:tcPr>
            <w:tcW w:w="992"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Not reported</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18.2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0.0</w:t>
            </w:r>
          </w:p>
        </w:tc>
        <w:tc>
          <w:tcPr>
            <w:tcW w:w="425" w:type="dxa"/>
            <w:vMerge w:val="restart"/>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0.023*</w:t>
            </w:r>
          </w:p>
        </w:tc>
      </w:tr>
      <w:tr w:rsidR="00CC2FEC" w:rsidRPr="00CC2FEC" w:rsidTr="00CC2FEC">
        <w:trPr>
          <w:trHeight w:val="133"/>
        </w:trPr>
        <w:tc>
          <w:tcPr>
            <w:tcW w:w="709" w:type="dxa"/>
            <w:vMerge/>
            <w:tcBorders>
              <w:top w:val="nil"/>
              <w:left w:val="single" w:sz="4" w:space="0" w:color="auto"/>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b/>
                <w:bCs/>
                <w:sz w:val="12"/>
                <w:szCs w:val="12"/>
              </w:rPr>
            </w:pPr>
          </w:p>
        </w:tc>
        <w:tc>
          <w:tcPr>
            <w:tcW w:w="992"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Normal</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8</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72.7</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9</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81.8</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12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63.2</w:t>
            </w:r>
          </w:p>
        </w:tc>
        <w:tc>
          <w:tcPr>
            <w:tcW w:w="425" w:type="dxa"/>
            <w:vMerge/>
            <w:tcBorders>
              <w:top w:val="nil"/>
              <w:left w:val="nil"/>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sz w:val="12"/>
                <w:szCs w:val="12"/>
              </w:rPr>
            </w:pPr>
          </w:p>
        </w:tc>
      </w:tr>
      <w:tr w:rsidR="00CC2FEC" w:rsidRPr="00CC2FEC" w:rsidTr="00CC2FEC">
        <w:trPr>
          <w:trHeight w:val="166"/>
        </w:trPr>
        <w:tc>
          <w:tcPr>
            <w:tcW w:w="709" w:type="dxa"/>
            <w:vMerge/>
            <w:tcBorders>
              <w:top w:val="nil"/>
              <w:left w:val="single" w:sz="4" w:space="0" w:color="auto"/>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b/>
                <w:bCs/>
                <w:sz w:val="12"/>
                <w:szCs w:val="12"/>
              </w:rPr>
            </w:pPr>
          </w:p>
        </w:tc>
        <w:tc>
          <w:tcPr>
            <w:tcW w:w="992"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Pale</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3</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27.3</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2</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10.5</w:t>
            </w:r>
          </w:p>
        </w:tc>
        <w:tc>
          <w:tcPr>
            <w:tcW w:w="425" w:type="dxa"/>
            <w:vMerge/>
            <w:tcBorders>
              <w:top w:val="nil"/>
              <w:left w:val="nil"/>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sz w:val="12"/>
                <w:szCs w:val="12"/>
              </w:rPr>
            </w:pPr>
          </w:p>
        </w:tc>
      </w:tr>
      <w:tr w:rsidR="00CC2FEC" w:rsidRPr="00CC2FEC" w:rsidTr="00CC2FEC">
        <w:trPr>
          <w:trHeight w:val="56"/>
        </w:trPr>
        <w:tc>
          <w:tcPr>
            <w:tcW w:w="709" w:type="dxa"/>
            <w:vMerge/>
            <w:tcBorders>
              <w:top w:val="nil"/>
              <w:left w:val="single" w:sz="4" w:space="0" w:color="auto"/>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b/>
                <w:bCs/>
                <w:sz w:val="12"/>
                <w:szCs w:val="12"/>
              </w:rPr>
            </w:pPr>
          </w:p>
        </w:tc>
        <w:tc>
          <w:tcPr>
            <w:tcW w:w="992" w:type="dxa"/>
            <w:tcBorders>
              <w:top w:val="nil"/>
              <w:left w:val="nil"/>
              <w:bottom w:val="single" w:sz="4" w:space="0" w:color="auto"/>
              <w:right w:val="single" w:sz="4" w:space="0" w:color="auto"/>
            </w:tcBorders>
            <w:vAlign w:val="center"/>
            <w:hideMark/>
          </w:tcPr>
          <w:p w:rsidR="00CC2FEC" w:rsidRPr="00CC2FEC" w:rsidRDefault="00CC2FEC" w:rsidP="00CC2FEC">
            <w:pPr>
              <w:jc w:val="center"/>
              <w:rPr>
                <w:rFonts w:asciiTheme="majorBidi" w:eastAsia="Times New Roman" w:hAnsiTheme="majorBidi" w:cstheme="majorBidi"/>
                <w:b/>
                <w:bCs/>
                <w:sz w:val="12"/>
                <w:szCs w:val="12"/>
              </w:rPr>
            </w:pPr>
            <w:r w:rsidRPr="00CC2FEC">
              <w:rPr>
                <w:rFonts w:asciiTheme="majorBidi" w:eastAsia="Times New Roman" w:hAnsiTheme="majorBidi" w:cstheme="majorBidi"/>
                <w:b/>
                <w:bCs/>
                <w:sz w:val="12"/>
                <w:szCs w:val="12"/>
              </w:rPr>
              <w:t>Blurry</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0.0</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5</w:t>
            </w:r>
          </w:p>
        </w:tc>
        <w:tc>
          <w:tcPr>
            <w:tcW w:w="567" w:type="dxa"/>
            <w:tcBorders>
              <w:top w:val="nil"/>
              <w:left w:val="nil"/>
              <w:bottom w:val="single" w:sz="4" w:space="0" w:color="auto"/>
              <w:right w:val="single" w:sz="4" w:space="0" w:color="auto"/>
            </w:tcBorders>
            <w:noWrap/>
            <w:vAlign w:val="center"/>
            <w:hideMark/>
          </w:tcPr>
          <w:p w:rsidR="00CC2FEC" w:rsidRPr="00CC2FEC" w:rsidRDefault="00CC2FEC" w:rsidP="00CC2FEC">
            <w:pPr>
              <w:jc w:val="center"/>
              <w:rPr>
                <w:rFonts w:asciiTheme="majorBidi" w:eastAsia="Times New Roman" w:hAnsiTheme="majorBidi" w:cstheme="majorBidi"/>
                <w:sz w:val="12"/>
                <w:szCs w:val="12"/>
              </w:rPr>
            </w:pPr>
            <w:r w:rsidRPr="00CC2FEC">
              <w:rPr>
                <w:rFonts w:asciiTheme="majorBidi" w:eastAsia="Times New Roman" w:hAnsiTheme="majorBidi" w:cstheme="majorBidi"/>
                <w:sz w:val="12"/>
                <w:szCs w:val="12"/>
              </w:rPr>
              <w:t>26.3</w:t>
            </w:r>
          </w:p>
        </w:tc>
        <w:tc>
          <w:tcPr>
            <w:tcW w:w="425" w:type="dxa"/>
            <w:vMerge/>
            <w:tcBorders>
              <w:top w:val="nil"/>
              <w:left w:val="nil"/>
              <w:bottom w:val="single" w:sz="4" w:space="0" w:color="auto"/>
              <w:right w:val="single" w:sz="4" w:space="0" w:color="auto"/>
            </w:tcBorders>
            <w:vAlign w:val="center"/>
            <w:hideMark/>
          </w:tcPr>
          <w:p w:rsidR="00CC2FEC" w:rsidRPr="00CC2FEC" w:rsidRDefault="00CC2FEC" w:rsidP="00CC2FEC">
            <w:pPr>
              <w:rPr>
                <w:rFonts w:asciiTheme="majorBidi" w:eastAsia="Times New Roman" w:hAnsiTheme="majorBidi" w:cstheme="majorBidi"/>
                <w:sz w:val="12"/>
                <w:szCs w:val="12"/>
              </w:rPr>
            </w:pPr>
          </w:p>
        </w:tc>
      </w:tr>
    </w:tbl>
    <w:p w:rsidR="00AE3E37" w:rsidRPr="00827681" w:rsidRDefault="000B4821" w:rsidP="00827681">
      <w:pPr>
        <w:jc w:val="both"/>
        <w:rPr>
          <w:rFonts w:asciiTheme="majorBidi" w:hAnsiTheme="majorBidi" w:cstheme="majorBidi"/>
          <w:bCs/>
        </w:rPr>
      </w:pPr>
      <w:r w:rsidRPr="002827E4">
        <w:rPr>
          <w:rFonts w:asciiTheme="majorBidi" w:hAnsiTheme="majorBidi" w:cstheme="majorBidi"/>
          <w:bCs/>
        </w:rPr>
        <w:t>Idiopathic intracranial hypertension (IIH) is a disorder with elevated intracranial pressure (ICP) more than 250 mm H2O, without evidence of meningeal inflammation, space-occupying lesion, or venous thrombosis. In this study, we aim to study the clinical profile, evaluation, management, and visual outcome in a hospital-based pop</w:t>
      </w:r>
      <w:r>
        <w:rPr>
          <w:rFonts w:asciiTheme="majorBidi" w:hAnsiTheme="majorBidi" w:cstheme="majorBidi"/>
          <w:bCs/>
        </w:rPr>
        <w:t>ulation of IIH cases in Jeddah. It</w:t>
      </w:r>
      <w:r w:rsidRPr="002827E4">
        <w:rPr>
          <w:rFonts w:asciiTheme="majorBidi" w:hAnsiTheme="majorBidi" w:cstheme="majorBidi"/>
          <w:bCs/>
        </w:rPr>
        <w:t xml:space="preserve"> is a retrospective observational study</w:t>
      </w:r>
      <w:r w:rsidRPr="002827E4">
        <w:rPr>
          <w:rFonts w:asciiTheme="majorBidi" w:hAnsiTheme="majorBidi" w:cstheme="majorBidi" w:hint="cs"/>
          <w:bCs/>
          <w:rtl/>
        </w:rPr>
        <w:t xml:space="preserve"> </w:t>
      </w:r>
      <w:r w:rsidRPr="002827E4">
        <w:rPr>
          <w:rFonts w:asciiTheme="majorBidi" w:hAnsiTheme="majorBidi" w:cstheme="majorBidi"/>
          <w:bCs/>
        </w:rPr>
        <w:t xml:space="preserve">that included the medical records of all patients referred to </w:t>
      </w:r>
      <w:proofErr w:type="spellStart"/>
      <w:r w:rsidRPr="002827E4">
        <w:rPr>
          <w:rFonts w:asciiTheme="majorBidi" w:hAnsiTheme="majorBidi" w:cstheme="majorBidi"/>
          <w:bCs/>
        </w:rPr>
        <w:t>neuro</w:t>
      </w:r>
      <w:proofErr w:type="spellEnd"/>
      <w:r w:rsidRPr="002827E4">
        <w:rPr>
          <w:rFonts w:asciiTheme="majorBidi" w:hAnsiTheme="majorBidi" w:cstheme="majorBidi"/>
          <w:bCs/>
        </w:rPr>
        <w:t xml:space="preserve">-ophthalmology service for evaluation of papilledema. The medical records have been reviewed from October 2018 to February 2020 at Jeddah Eye Hospital (JEH), Saudi Arabia. A total of fifty-one patients presented with papilledema in the studied period. Forty-seven patients met our inclusion criteria </w:t>
      </w:r>
      <w:r>
        <w:rPr>
          <w:rFonts w:asciiTheme="majorBidi" w:hAnsiTheme="majorBidi" w:cstheme="majorBidi"/>
          <w:bCs/>
        </w:rPr>
        <w:t xml:space="preserve">and were included in the study. </w:t>
      </w:r>
      <w:r w:rsidRPr="002827E4">
        <w:rPr>
          <w:rFonts w:asciiTheme="majorBidi" w:hAnsiTheme="majorBidi" w:cstheme="majorBidi"/>
          <w:bCs/>
        </w:rPr>
        <w:t>Most of the patients were females (43, 91.5%) with a mean age of presentation of 30.83±11.40 years.</w:t>
      </w:r>
      <w:r w:rsidRPr="002827E4">
        <w:t xml:space="preserve"> </w:t>
      </w:r>
      <w:r w:rsidRPr="002827E4">
        <w:rPr>
          <w:rFonts w:asciiTheme="majorBidi" w:hAnsiTheme="majorBidi" w:cstheme="majorBidi"/>
          <w:bCs/>
        </w:rPr>
        <w:t xml:space="preserve">The most common presenting symptom was headache (40 patients, 85.1%), followed by transient visual obscuration (20 patients, 42.6%), and reduced visual acuity (15 patients, 31.9%). All 47 patients were started on medical treatment with oral acetazolamide with four patients (8.5%) shifted to </w:t>
      </w:r>
      <w:proofErr w:type="spellStart"/>
      <w:r w:rsidRPr="002827E4">
        <w:rPr>
          <w:rFonts w:asciiTheme="majorBidi" w:hAnsiTheme="majorBidi" w:cstheme="majorBidi"/>
          <w:bCs/>
        </w:rPr>
        <w:t>topiramate</w:t>
      </w:r>
      <w:proofErr w:type="spellEnd"/>
      <w:r w:rsidRPr="002827E4">
        <w:rPr>
          <w:rFonts w:asciiTheme="majorBidi" w:hAnsiTheme="majorBidi" w:cstheme="majorBidi"/>
          <w:bCs/>
        </w:rPr>
        <w:t xml:space="preserve"> because of the lack of response or intolerance to acetazolamide while four patients (8.5%) underwent lumbar-peritoneal shunt because of inadequate control of the disease despite the treatment with medical therapy. For both eyes, the change in visual acuity across all assessment points was statistically significant. Nevertheless, there were no significant changes in the visual field findings among all of </w:t>
      </w:r>
      <w:r>
        <w:rPr>
          <w:rFonts w:asciiTheme="majorBidi" w:hAnsiTheme="majorBidi" w:cstheme="majorBidi"/>
          <w:bCs/>
        </w:rPr>
        <w:t>the compared assessment points. Our</w:t>
      </w:r>
      <w:r w:rsidRPr="002827E4">
        <w:rPr>
          <w:rFonts w:asciiTheme="majorBidi" w:hAnsiTheme="majorBidi" w:cstheme="majorBidi"/>
          <w:bCs/>
        </w:rPr>
        <w:t xml:space="preserve"> study has shown that </w:t>
      </w:r>
      <w:r>
        <w:rPr>
          <w:rFonts w:asciiTheme="majorBidi" w:hAnsiTheme="majorBidi" w:cstheme="majorBidi"/>
          <w:bCs/>
        </w:rPr>
        <w:t>this disease</w:t>
      </w:r>
      <w:r w:rsidRPr="002827E4">
        <w:rPr>
          <w:rFonts w:asciiTheme="majorBidi" w:hAnsiTheme="majorBidi" w:cstheme="majorBidi"/>
          <w:bCs/>
        </w:rPr>
        <w:t xml:space="preserve"> is common in young female patients with headaches, </w:t>
      </w:r>
      <w:r w:rsidRPr="002827E4">
        <w:rPr>
          <w:rFonts w:asciiTheme="majorBidi" w:hAnsiTheme="majorBidi" w:cstheme="majorBidi"/>
        </w:rPr>
        <w:t>transient visual obscurations</w:t>
      </w:r>
      <w:r w:rsidRPr="002827E4">
        <w:rPr>
          <w:rFonts w:asciiTheme="majorBidi" w:hAnsiTheme="majorBidi" w:cstheme="majorBidi"/>
          <w:bCs/>
        </w:rPr>
        <w:t xml:space="preserve"> and reduced visual acuity. Medical treatment of IIH is significantly efficacious and should be considered in order to enhance the prognosis of IIH-related complications. Therefore, the visual status should be frequently monitored for these patients.</w:t>
      </w:r>
      <w:r w:rsidR="00827681" w:rsidRPr="00827681">
        <w:rPr>
          <w:rFonts w:ascii="Calibri"/>
          <w:noProof/>
          <w:sz w:val="4"/>
        </w:rPr>
        <w:t xml:space="preserve"> </w:t>
      </w:r>
      <w:r w:rsidR="00827681">
        <w:rPr>
          <w:rFonts w:ascii="Calibri"/>
          <w:noProof/>
          <w:sz w:val="4"/>
        </w:rPr>
        <mc:AlternateContent>
          <mc:Choice Requires="wpg">
            <w:drawing>
              <wp:inline distT="0" distB="0" distL="0" distR="0" wp14:anchorId="234E2FC1" wp14:editId="098ABF8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r w:rsidR="00A9710C">
        <w:br w:type="column"/>
      </w:r>
      <w:r w:rsidR="00A9710C">
        <w:rPr>
          <w:color w:val="BF5A14"/>
        </w:rPr>
        <w:lastRenderedPageBreak/>
        <w:t>Image</w:t>
      </w:r>
    </w:p>
    <w:p w:rsidR="00AE3E37" w:rsidRDefault="00AE3E37">
      <w:pPr>
        <w:pStyle w:val="a3"/>
        <w:spacing w:before="2"/>
        <w:rPr>
          <w:rFonts w:ascii="Arial"/>
          <w:b/>
          <w:sz w:val="16"/>
        </w:rPr>
      </w:pPr>
    </w:p>
    <w:p w:rsidR="00CC2FEC" w:rsidRDefault="005973B9" w:rsidP="00827681">
      <w:pPr>
        <w:spacing w:line="204" w:lineRule="exact"/>
        <w:rPr>
          <w:rFonts w:ascii="Arial"/>
          <w:b/>
          <w:color w:val="BF5A14"/>
          <w:sz w:val="20"/>
        </w:rPr>
      </w:pPr>
      <w:bookmarkStart w:id="0" w:name="_GoBack"/>
      <w:r>
        <w:rPr>
          <w:rFonts w:ascii="Arial"/>
          <w:b/>
          <w:color w:val="BF5A14"/>
          <w:sz w:val="20"/>
        </w:rPr>
        <w:br/>
      </w:r>
      <w:bookmarkEnd w:id="0"/>
    </w:p>
    <w:p w:rsidR="005973B9" w:rsidRDefault="005973B9" w:rsidP="005973B9">
      <w:pPr>
        <w:spacing w:line="204" w:lineRule="exact"/>
        <w:rPr>
          <w:rFonts w:ascii="Arial"/>
          <w:b/>
          <w:sz w:val="20"/>
        </w:rPr>
      </w:pPr>
      <w:r>
        <w:rPr>
          <w:rFonts w:ascii="Arial"/>
          <w:b/>
          <w:color w:val="BF5A14"/>
          <w:sz w:val="20"/>
        </w:rPr>
        <w:t>Recent Publications (minimum 5)</w:t>
      </w:r>
    </w:p>
    <w:p w:rsidR="00827681" w:rsidRPr="00827681" w:rsidRDefault="00827681" w:rsidP="00827681">
      <w:pPr>
        <w:pStyle w:val="EndNoteBibliography"/>
        <w:ind w:left="720" w:hanging="720"/>
        <w:rPr>
          <w:rFonts w:asciiTheme="majorBidi" w:eastAsia="Tw Cen MT" w:hAnsiTheme="majorBidi" w:cstheme="majorBidi"/>
          <w:bCs/>
          <w:noProof w:val="0"/>
          <w:sz w:val="22"/>
          <w:szCs w:val="22"/>
        </w:rPr>
      </w:pPr>
      <w:r w:rsidRPr="00827681">
        <w:rPr>
          <w:rFonts w:asciiTheme="majorBidi" w:eastAsia="Tw Cen MT" w:hAnsiTheme="majorBidi" w:cstheme="majorBidi"/>
          <w:bCs/>
          <w:noProof w:val="0"/>
          <w:sz w:val="22"/>
          <w:szCs w:val="22"/>
        </w:rPr>
        <w:t>Wall M. Idiopathic intracranial hypertension. Neurol Clin. 2010;28(3):593-617.</w:t>
      </w:r>
    </w:p>
    <w:p w:rsidR="00827681" w:rsidRPr="00827681" w:rsidRDefault="00827681" w:rsidP="00827681">
      <w:pPr>
        <w:pStyle w:val="EndNoteBibliography"/>
        <w:ind w:left="720" w:hanging="720"/>
        <w:rPr>
          <w:rFonts w:asciiTheme="majorBidi" w:eastAsia="Tw Cen MT" w:hAnsiTheme="majorBidi" w:cstheme="majorBidi"/>
          <w:bCs/>
          <w:noProof w:val="0"/>
          <w:sz w:val="22"/>
          <w:szCs w:val="22"/>
        </w:rPr>
      </w:pPr>
      <w:r w:rsidRPr="00827681">
        <w:rPr>
          <w:rFonts w:asciiTheme="majorBidi" w:eastAsia="Tw Cen MT" w:hAnsiTheme="majorBidi" w:cstheme="majorBidi"/>
          <w:bCs/>
          <w:noProof w:val="0"/>
          <w:sz w:val="22"/>
          <w:szCs w:val="22"/>
        </w:rPr>
        <w:t>2.</w:t>
      </w:r>
      <w:r w:rsidRPr="00827681">
        <w:rPr>
          <w:rFonts w:asciiTheme="majorBidi" w:eastAsia="Tw Cen MT" w:hAnsiTheme="majorBidi" w:cstheme="majorBidi"/>
          <w:bCs/>
          <w:noProof w:val="0"/>
          <w:sz w:val="22"/>
          <w:szCs w:val="22"/>
        </w:rPr>
        <w:tab/>
        <w:t>Dandy WE. INTRACRANIAL PRESSURE WITHOUT BRAIN TUMOR: DIAGNOSIS AND TREATMENT. Annals of surgery. 1937;106(4):492-513.</w:t>
      </w:r>
    </w:p>
    <w:p w:rsidR="00827681" w:rsidRPr="00827681" w:rsidRDefault="00827681" w:rsidP="00827681">
      <w:pPr>
        <w:pStyle w:val="EndNoteBibliography"/>
        <w:ind w:left="720" w:hanging="720"/>
        <w:rPr>
          <w:rFonts w:asciiTheme="majorBidi" w:eastAsia="Tw Cen MT" w:hAnsiTheme="majorBidi" w:cstheme="majorBidi"/>
          <w:bCs/>
          <w:noProof w:val="0"/>
          <w:sz w:val="22"/>
          <w:szCs w:val="22"/>
        </w:rPr>
      </w:pPr>
      <w:r w:rsidRPr="00827681">
        <w:rPr>
          <w:rFonts w:asciiTheme="majorBidi" w:eastAsia="Tw Cen MT" w:hAnsiTheme="majorBidi" w:cstheme="majorBidi"/>
          <w:bCs/>
          <w:noProof w:val="0"/>
          <w:sz w:val="22"/>
          <w:szCs w:val="22"/>
        </w:rPr>
        <w:t>3.</w:t>
      </w:r>
      <w:r w:rsidRPr="00827681">
        <w:rPr>
          <w:rFonts w:asciiTheme="majorBidi" w:eastAsia="Tw Cen MT" w:hAnsiTheme="majorBidi" w:cstheme="majorBidi"/>
          <w:bCs/>
          <w:noProof w:val="0"/>
          <w:sz w:val="22"/>
          <w:szCs w:val="22"/>
        </w:rPr>
        <w:tab/>
        <w:t>Dhungana S, Sharrack B, Woodroofe N. Idiopathic intracranial hypertension. Acta neurologica Scandinavica. 2010;121(2):71-82.</w:t>
      </w:r>
    </w:p>
    <w:p w:rsidR="00827681" w:rsidRPr="00827681" w:rsidRDefault="00827681" w:rsidP="00827681">
      <w:pPr>
        <w:pStyle w:val="EndNoteBibliography"/>
        <w:ind w:left="720" w:hanging="720"/>
        <w:rPr>
          <w:rFonts w:asciiTheme="majorBidi" w:eastAsia="Tw Cen MT" w:hAnsiTheme="majorBidi" w:cstheme="majorBidi"/>
          <w:bCs/>
          <w:noProof w:val="0"/>
          <w:sz w:val="22"/>
          <w:szCs w:val="22"/>
        </w:rPr>
      </w:pPr>
      <w:r w:rsidRPr="00827681">
        <w:rPr>
          <w:rFonts w:asciiTheme="majorBidi" w:eastAsia="Tw Cen MT" w:hAnsiTheme="majorBidi" w:cstheme="majorBidi"/>
          <w:bCs/>
          <w:noProof w:val="0"/>
          <w:sz w:val="22"/>
          <w:szCs w:val="22"/>
        </w:rPr>
        <w:t>4.</w:t>
      </w:r>
      <w:r w:rsidRPr="00827681">
        <w:rPr>
          <w:rFonts w:asciiTheme="majorBidi" w:eastAsia="Tw Cen MT" w:hAnsiTheme="majorBidi" w:cstheme="majorBidi"/>
          <w:bCs/>
          <w:noProof w:val="0"/>
          <w:sz w:val="22"/>
          <w:szCs w:val="22"/>
        </w:rPr>
        <w:tab/>
        <w:t>Galvin JA, Van Stavern GP. Clinical characterization of idiopathic intracranial hypertension at the Detroit Medical Center. Journal of the neurological sciences. 2004;223(2):157-160.</w:t>
      </w:r>
    </w:p>
    <w:p w:rsidR="00AE3E37" w:rsidRDefault="00827681" w:rsidP="00827681">
      <w:pPr>
        <w:pStyle w:val="EndNoteBibliography"/>
        <w:ind w:left="720" w:hanging="720"/>
        <w:rPr>
          <w:rFonts w:asciiTheme="majorBidi" w:eastAsia="Tw Cen MT" w:hAnsiTheme="majorBidi" w:cstheme="majorBidi"/>
          <w:bCs/>
          <w:noProof w:val="0"/>
          <w:sz w:val="22"/>
          <w:szCs w:val="22"/>
        </w:rPr>
      </w:pPr>
      <w:r w:rsidRPr="00827681">
        <w:rPr>
          <w:rFonts w:asciiTheme="majorBidi" w:eastAsia="Tw Cen MT" w:hAnsiTheme="majorBidi" w:cstheme="majorBidi"/>
          <w:bCs/>
          <w:noProof w:val="0"/>
          <w:sz w:val="22"/>
          <w:szCs w:val="22"/>
        </w:rPr>
        <w:t>5.</w:t>
      </w:r>
      <w:r w:rsidRPr="00827681">
        <w:rPr>
          <w:rFonts w:asciiTheme="majorBidi" w:eastAsia="Tw Cen MT" w:hAnsiTheme="majorBidi" w:cstheme="majorBidi"/>
          <w:bCs/>
          <w:noProof w:val="0"/>
          <w:sz w:val="22"/>
          <w:szCs w:val="22"/>
        </w:rPr>
        <w:tab/>
        <w:t>Baheti NN, Nair M, Thomas SV. Long-term visual outcome in idiopathic intracranial hypertension. Ann Indian Acad Neurol. 2011;14(1):1</w:t>
      </w:r>
    </w:p>
    <w:p w:rsidR="00827681" w:rsidRDefault="00827681" w:rsidP="00827681">
      <w:pPr>
        <w:pStyle w:val="EndNoteBibliography"/>
        <w:ind w:left="720" w:hanging="720"/>
        <w:rPr>
          <w:rFonts w:asciiTheme="majorBidi" w:eastAsia="Tw Cen MT" w:hAnsiTheme="majorBidi" w:cstheme="majorBidi"/>
          <w:bCs/>
          <w:noProof w:val="0"/>
          <w:sz w:val="22"/>
          <w:szCs w:val="22"/>
        </w:rPr>
      </w:pPr>
    </w:p>
    <w:p w:rsidR="00827681" w:rsidRDefault="00827681" w:rsidP="00C608A4">
      <w:pPr>
        <w:spacing w:before="92"/>
        <w:ind w:right="4234"/>
        <w:rPr>
          <w:rFonts w:ascii="Arial"/>
        </w:rPr>
      </w:pPr>
      <w:r>
        <w:rPr>
          <w:rFonts w:ascii="Minion Pro"/>
          <w:noProof/>
          <w:sz w:val="24"/>
        </w:rPr>
        <w:drawing>
          <wp:anchor distT="0" distB="0" distL="114300" distR="114300" simplePos="0" relativeHeight="251659264" behindDoc="0" locked="0" layoutInCell="1" allowOverlap="1" wp14:anchorId="1B1EE8B0" wp14:editId="0BD157D2">
            <wp:simplePos x="0" y="0"/>
            <wp:positionH relativeFrom="column">
              <wp:posOffset>5486400</wp:posOffset>
            </wp:positionH>
            <wp:positionV relativeFrom="paragraph">
              <wp:posOffset>50800</wp:posOffset>
            </wp:positionV>
            <wp:extent cx="372110" cy="469265"/>
            <wp:effectExtent l="0" t="0" r="8890" b="6985"/>
            <wp:wrapNone/>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2110" cy="4692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color w:val="BF5A14"/>
        </w:rPr>
        <w:t>Biography</w:t>
      </w:r>
      <w:r w:rsidR="00C608A4">
        <w:rPr>
          <w:rFonts w:ascii="Arial"/>
          <w:color w:val="BF5A14"/>
        </w:rPr>
        <w:t xml:space="preserve"> </w:t>
      </w:r>
      <w:r w:rsidRPr="00A52075">
        <w:rPr>
          <w:rFonts w:ascii="Times New Roman" w:hAnsi="Times New Roman" w:cs="Times New Roman"/>
          <w:sz w:val="24"/>
          <w:szCs w:val="24"/>
        </w:rPr>
        <w:t xml:space="preserve"> </w:t>
      </w:r>
    </w:p>
    <w:p w:rsidR="00827681" w:rsidRDefault="00827681" w:rsidP="00827681">
      <w:pPr>
        <w:spacing w:before="41" w:line="154" w:lineRule="exact"/>
        <w:ind w:left="213" w:right="231"/>
        <w:jc w:val="both"/>
        <w:rPr>
          <w:rFonts w:ascii="Arial"/>
          <w:sz w:val="14"/>
        </w:rPr>
      </w:pPr>
      <w:proofErr w:type="spellStart"/>
      <w:r>
        <w:rPr>
          <w:rFonts w:ascii="Arial"/>
          <w:sz w:val="14"/>
        </w:rPr>
        <w:t>Rahaf</w:t>
      </w:r>
      <w:proofErr w:type="spellEnd"/>
      <w:r>
        <w:rPr>
          <w:rFonts w:ascii="Arial"/>
          <w:sz w:val="14"/>
        </w:rPr>
        <w:t xml:space="preserve"> </w:t>
      </w:r>
      <w:proofErr w:type="spellStart"/>
      <w:r>
        <w:rPr>
          <w:rFonts w:ascii="Arial"/>
          <w:sz w:val="14"/>
        </w:rPr>
        <w:t>Mandura</w:t>
      </w:r>
      <w:proofErr w:type="spellEnd"/>
      <w:r>
        <w:rPr>
          <w:rFonts w:ascii="Arial"/>
          <w:sz w:val="14"/>
        </w:rPr>
        <w:t xml:space="preserve"> is a Board certified ophthalmologist and </w:t>
      </w:r>
      <w:proofErr w:type="spellStart"/>
      <w:r>
        <w:rPr>
          <w:rFonts w:ascii="Arial"/>
          <w:sz w:val="14"/>
        </w:rPr>
        <w:t>ateaching</w:t>
      </w:r>
      <w:proofErr w:type="spellEnd"/>
      <w:r>
        <w:rPr>
          <w:rFonts w:ascii="Arial"/>
          <w:sz w:val="14"/>
        </w:rPr>
        <w:t xml:space="preserve"> assistant at King </w:t>
      </w:r>
      <w:proofErr w:type="spellStart"/>
      <w:r>
        <w:rPr>
          <w:rFonts w:ascii="Arial"/>
          <w:sz w:val="14"/>
        </w:rPr>
        <w:t>Abdulaziz</w:t>
      </w:r>
      <w:proofErr w:type="spellEnd"/>
      <w:r>
        <w:rPr>
          <w:rFonts w:ascii="Arial"/>
          <w:sz w:val="14"/>
        </w:rPr>
        <w:t xml:space="preserve"> University, Jeddah, Saudi Arabia</w:t>
      </w:r>
    </w:p>
    <w:p w:rsidR="00827681" w:rsidRDefault="00827681" w:rsidP="00827681">
      <w:pPr>
        <w:spacing w:before="41" w:line="154" w:lineRule="exact"/>
        <w:ind w:left="213" w:right="231"/>
        <w:jc w:val="both"/>
        <w:rPr>
          <w:rFonts w:ascii="Arial"/>
          <w:sz w:val="14"/>
        </w:rPr>
      </w:pPr>
      <w:r>
        <w:rPr>
          <w:rFonts w:ascii="Arial"/>
          <w:sz w:val="14"/>
        </w:rPr>
        <w:t>Email: dr.mandura@gmail.com</w:t>
      </w:r>
    </w:p>
    <w:p w:rsidR="00827681" w:rsidRPr="00827681" w:rsidRDefault="00827681" w:rsidP="00827681">
      <w:pPr>
        <w:pStyle w:val="EndNoteBibliography"/>
        <w:ind w:left="720" w:hanging="720"/>
        <w:rPr>
          <w:rFonts w:asciiTheme="majorBidi" w:eastAsia="Tw Cen MT" w:hAnsiTheme="majorBidi" w:cstheme="majorBidi"/>
          <w:bCs/>
          <w:noProof w:val="0"/>
          <w:sz w:val="22"/>
          <w:szCs w:val="22"/>
        </w:rPr>
        <w:sectPr w:rsidR="00827681" w:rsidRPr="00827681" w:rsidSect="008E5477">
          <w:type w:val="continuous"/>
          <w:pgSz w:w="11910" w:h="16840"/>
          <w:pgMar w:top="995" w:right="600" w:bottom="840" w:left="620" w:header="720" w:footer="720" w:gutter="0"/>
          <w:cols w:num="2" w:space="720" w:equalWidth="0">
            <w:col w:w="5214" w:space="138"/>
            <w:col w:w="5338"/>
          </w:cols>
        </w:sectPr>
      </w:pPr>
    </w:p>
    <w:p w:rsidR="00AE3E37" w:rsidRDefault="00A9710C" w:rsidP="00827681">
      <w:pPr>
        <w:pStyle w:val="a3"/>
        <w:spacing w:before="2"/>
        <w:rPr>
          <w:rFonts w:ascii="Arial"/>
          <w:sz w:val="19"/>
        </w:rPr>
      </w:pPr>
      <w:r w:rsidRPr="00B21A57">
        <w:rPr>
          <w:rFonts w:ascii="Minion Pro"/>
          <w:b/>
          <w:sz w:val="20"/>
        </w:rPr>
        <w:lastRenderedPageBreak/>
        <w:t>Notes/Comments:</w:t>
      </w:r>
    </w:p>
    <w:p w:rsidR="00827681" w:rsidRPr="0013708E" w:rsidRDefault="00827681" w:rsidP="00827681">
      <w:pPr>
        <w:jc w:val="both"/>
        <w:rPr>
          <w:b/>
        </w:rPr>
      </w:pPr>
      <w:r w:rsidRPr="0013708E">
        <w:rPr>
          <w:b/>
        </w:rPr>
        <w:t xml:space="preserve">Presenting author details </w:t>
      </w:r>
    </w:p>
    <w:p w:rsidR="00827681" w:rsidRPr="0013708E" w:rsidRDefault="00827681" w:rsidP="00827681">
      <w:pPr>
        <w:jc w:val="both"/>
      </w:pPr>
      <w:r w:rsidRPr="0013708E">
        <w:t xml:space="preserve">Full name: </w:t>
      </w:r>
      <w:proofErr w:type="spellStart"/>
      <w:r>
        <w:t>Rahaf</w:t>
      </w:r>
      <w:proofErr w:type="spellEnd"/>
      <w:r>
        <w:t xml:space="preserve"> Abdullah </w:t>
      </w:r>
      <w:proofErr w:type="spellStart"/>
      <w:r>
        <w:t>Mandura</w:t>
      </w:r>
      <w:proofErr w:type="spellEnd"/>
    </w:p>
    <w:p w:rsidR="00827681" w:rsidRDefault="00827681" w:rsidP="00827681">
      <w:pPr>
        <w:jc w:val="both"/>
      </w:pPr>
      <w:r w:rsidRPr="0013708E">
        <w:t>Contact number:</w:t>
      </w:r>
      <w:r>
        <w:t xml:space="preserve"> +9</w:t>
      </w:r>
      <w:r w:rsidR="00C608A4">
        <w:t>66556299910</w:t>
      </w:r>
    </w:p>
    <w:p w:rsidR="00827681" w:rsidRPr="0013708E" w:rsidRDefault="00827681" w:rsidP="00827681">
      <w:pPr>
        <w:jc w:val="both"/>
      </w:pPr>
      <w:r>
        <w:t xml:space="preserve">Mail id: </w:t>
      </w:r>
      <w:r w:rsidR="00C608A4" w:rsidRPr="00C608A4">
        <w:t>dr.mandura@gmail.com</w:t>
      </w:r>
    </w:p>
    <w:p w:rsidR="00827681" w:rsidRDefault="00C608A4" w:rsidP="00827681">
      <w:pPr>
        <w:jc w:val="both"/>
      </w:pPr>
      <w:r>
        <w:t xml:space="preserve">Category: </w:t>
      </w:r>
      <w:r w:rsidR="00827681" w:rsidRPr="0013708E">
        <w:t>Oral pr</w:t>
      </w:r>
      <w:r>
        <w:t>esentation/ Poster presentation</w:t>
      </w:r>
    </w:p>
    <w:p w:rsidR="00827681" w:rsidRPr="00827681" w:rsidRDefault="00827681" w:rsidP="00827681">
      <w:pPr>
        <w:pStyle w:val="a3"/>
        <w:spacing w:before="2"/>
        <w:rPr>
          <w:rFonts w:ascii="Arial"/>
          <w:sz w:val="19"/>
        </w:rPr>
        <w:sectPr w:rsidR="00827681" w:rsidRPr="00827681" w:rsidSect="008E5477">
          <w:type w:val="continuous"/>
          <w:pgSz w:w="11910" w:h="16840"/>
          <w:pgMar w:top="995" w:right="600" w:bottom="840" w:left="620" w:header="720" w:footer="720" w:gutter="0"/>
          <w:cols w:space="720"/>
        </w:sectPr>
      </w:pPr>
    </w:p>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Pr="00CC2FEC" w:rsidRDefault="00CC2FEC" w:rsidP="00CC2FEC"/>
    <w:p w:rsidR="00CC2FEC" w:rsidRDefault="00CC2FEC" w:rsidP="00CC2FEC"/>
    <w:p w:rsidR="00CC2FEC" w:rsidRPr="00CC2FEC" w:rsidRDefault="00CC2FEC" w:rsidP="00CC2FEC"/>
    <w:p w:rsidR="00CC2FEC" w:rsidRDefault="00CC2FEC" w:rsidP="00CC2FEC"/>
    <w:p w:rsidR="00CC2FEC" w:rsidRDefault="00CC2FEC" w:rsidP="00CC2FEC">
      <w:pPr>
        <w:tabs>
          <w:tab w:val="left" w:pos="2166"/>
        </w:tabs>
      </w:pPr>
      <w:r>
        <w:tab/>
      </w:r>
    </w:p>
    <w:p w:rsidR="00CC2FEC" w:rsidRDefault="00CC2FEC" w:rsidP="00CC2FEC">
      <w:pPr>
        <w:tabs>
          <w:tab w:val="left" w:pos="2166"/>
        </w:tabs>
      </w:pPr>
    </w:p>
    <w:p w:rsidR="00CC2FEC" w:rsidRDefault="00CC2FEC" w:rsidP="00CC2FEC">
      <w:pPr>
        <w:tabs>
          <w:tab w:val="left" w:pos="2166"/>
        </w:tabs>
      </w:pPr>
    </w:p>
    <w:p w:rsidR="00CC2FEC" w:rsidRDefault="00CC2FEC" w:rsidP="00CC2FEC">
      <w:pPr>
        <w:tabs>
          <w:tab w:val="left" w:pos="2166"/>
        </w:tabs>
      </w:pPr>
    </w:p>
    <w:p w:rsidR="00CC2FEC" w:rsidRDefault="00CC2FEC" w:rsidP="00CC2FEC">
      <w:pPr>
        <w:tabs>
          <w:tab w:val="left" w:pos="2166"/>
        </w:tabs>
      </w:pPr>
    </w:p>
    <w:p w:rsidR="00AE3E37" w:rsidRPr="00CC2FEC" w:rsidRDefault="00AE3E37" w:rsidP="00CC2FEC"/>
    <w:sectPr w:rsidR="00AE3E37" w:rsidRPr="00CC2FEC"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483" w:rsidRDefault="005C7483">
      <w:r>
        <w:separator/>
      </w:r>
    </w:p>
  </w:endnote>
  <w:endnote w:type="continuationSeparator" w:id="0">
    <w:p w:rsidR="005C7483" w:rsidRDefault="005C7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3D33D086" wp14:editId="07D381F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82DC00A" wp14:editId="6E2D1B4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37C0586" wp14:editId="57ECCF6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483" w:rsidRDefault="005C7483">
      <w:r>
        <w:separator/>
      </w:r>
    </w:p>
  </w:footnote>
  <w:footnote w:type="continuationSeparator" w:id="0">
    <w:p w:rsidR="005C7483" w:rsidRDefault="005C74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4821"/>
    <w:rsid w:val="000E2911"/>
    <w:rsid w:val="001005CB"/>
    <w:rsid w:val="001263DF"/>
    <w:rsid w:val="00221FFB"/>
    <w:rsid w:val="00292ED9"/>
    <w:rsid w:val="00351D9B"/>
    <w:rsid w:val="00380299"/>
    <w:rsid w:val="00404E5B"/>
    <w:rsid w:val="00414F7B"/>
    <w:rsid w:val="004355DC"/>
    <w:rsid w:val="004749B4"/>
    <w:rsid w:val="00494130"/>
    <w:rsid w:val="004F3523"/>
    <w:rsid w:val="0052759D"/>
    <w:rsid w:val="005973B9"/>
    <w:rsid w:val="005B377B"/>
    <w:rsid w:val="005B3A56"/>
    <w:rsid w:val="005C7483"/>
    <w:rsid w:val="006060CE"/>
    <w:rsid w:val="0061505C"/>
    <w:rsid w:val="0063497F"/>
    <w:rsid w:val="00714354"/>
    <w:rsid w:val="00827681"/>
    <w:rsid w:val="00873DF0"/>
    <w:rsid w:val="008756E6"/>
    <w:rsid w:val="00897EC5"/>
    <w:rsid w:val="008E5477"/>
    <w:rsid w:val="009B2D44"/>
    <w:rsid w:val="00A07E82"/>
    <w:rsid w:val="00A52075"/>
    <w:rsid w:val="00A60BB8"/>
    <w:rsid w:val="00A9710C"/>
    <w:rsid w:val="00AE3E37"/>
    <w:rsid w:val="00B21A57"/>
    <w:rsid w:val="00C33602"/>
    <w:rsid w:val="00C56C74"/>
    <w:rsid w:val="00C608A4"/>
    <w:rsid w:val="00CC2FEC"/>
    <w:rsid w:val="00CD6F55"/>
    <w:rsid w:val="00DD7B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customStyle="1" w:styleId="EndNoteBibliography">
    <w:name w:val="EndNote Bibliography"/>
    <w:basedOn w:val="a"/>
    <w:link w:val="EndNoteBibliographyChar"/>
    <w:rsid w:val="00827681"/>
    <w:pPr>
      <w:widowControl/>
    </w:pPr>
    <w:rPr>
      <w:rFonts w:ascii="Times New Roman" w:eastAsia="Times New Roman" w:hAnsi="Times New Roman" w:cs="Times New Roman"/>
      <w:noProof/>
      <w:sz w:val="24"/>
      <w:szCs w:val="24"/>
    </w:rPr>
  </w:style>
  <w:style w:type="character" w:customStyle="1" w:styleId="EndNoteBibliographyChar">
    <w:name w:val="EndNote Bibliography Char"/>
    <w:basedOn w:val="a0"/>
    <w:link w:val="EndNoteBibliography"/>
    <w:rsid w:val="00827681"/>
    <w:rPr>
      <w:rFonts w:ascii="Times New Roman" w:eastAsia="Times New Roman" w:hAnsi="Times New Roman" w:cs="Times New Roman"/>
      <w:noProo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 w:type="paragraph" w:customStyle="1" w:styleId="EndNoteBibliography">
    <w:name w:val="EndNote Bibliography"/>
    <w:basedOn w:val="a"/>
    <w:link w:val="EndNoteBibliographyChar"/>
    <w:rsid w:val="00827681"/>
    <w:pPr>
      <w:widowControl/>
    </w:pPr>
    <w:rPr>
      <w:rFonts w:ascii="Times New Roman" w:eastAsia="Times New Roman" w:hAnsi="Times New Roman" w:cs="Times New Roman"/>
      <w:noProof/>
      <w:sz w:val="24"/>
      <w:szCs w:val="24"/>
    </w:rPr>
  </w:style>
  <w:style w:type="character" w:customStyle="1" w:styleId="EndNoteBibliographyChar">
    <w:name w:val="EndNote Bibliography Char"/>
    <w:basedOn w:val="a0"/>
    <w:link w:val="EndNoteBibliography"/>
    <w:rsid w:val="00827681"/>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9469739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3363</Characters>
  <Application>Microsoft Office Word</Application>
  <DocSecurity>0</DocSecurity>
  <Lines>28</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Dr.Rahaf Mandura</cp:lastModifiedBy>
  <cp:revision>3</cp:revision>
  <dcterms:created xsi:type="dcterms:W3CDTF">2021-04-10T11:16:00Z</dcterms:created>
  <dcterms:modified xsi:type="dcterms:W3CDTF">2021-04-23T20:23:00Z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