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C5B865" w14:textId="77777777" w:rsidR="003200F8" w:rsidRPr="0075717B" w:rsidRDefault="003200F8" w:rsidP="003200F8">
      <w:pPr>
        <w:widowControl w:val="0"/>
        <w:autoSpaceDE w:val="0"/>
        <w:autoSpaceDN w:val="0"/>
        <w:adjustRightInd w:val="0"/>
        <w:spacing w:after="240" w:line="280" w:lineRule="atLeast"/>
        <w:jc w:val="center"/>
        <w:rPr>
          <w:rFonts w:ascii="Arial" w:hAnsi="Arial" w:cs="Arial"/>
          <w:sz w:val="36"/>
          <w:szCs w:val="36"/>
          <w:u w:val="single"/>
        </w:rPr>
      </w:pPr>
      <w:r>
        <w:rPr>
          <w:rFonts w:ascii="Arial" w:hAnsi="Arial" w:cs="Arial"/>
          <w:sz w:val="36"/>
          <w:szCs w:val="36"/>
          <w:u w:val="single"/>
        </w:rPr>
        <w:t xml:space="preserve">Retinitis Pigmentosa </w:t>
      </w:r>
      <w:r w:rsidRPr="0075717B">
        <w:rPr>
          <w:rFonts w:ascii="Arial" w:hAnsi="Arial" w:cs="Arial"/>
          <w:sz w:val="36"/>
          <w:szCs w:val="36"/>
          <w:u w:val="single"/>
        </w:rPr>
        <w:t>as a Manifestation of Chronic Graft-Versus-Host Disease</w:t>
      </w:r>
      <w:r>
        <w:rPr>
          <w:rFonts w:ascii="Arial" w:hAnsi="Arial" w:cs="Arial"/>
          <w:sz w:val="36"/>
          <w:szCs w:val="36"/>
          <w:u w:val="single"/>
        </w:rPr>
        <w:t xml:space="preserve"> – </w:t>
      </w:r>
      <w:r w:rsidRPr="0075717B">
        <w:rPr>
          <w:rFonts w:ascii="Arial" w:hAnsi="Arial" w:cs="Arial"/>
          <w:sz w:val="36"/>
          <w:szCs w:val="36"/>
          <w:u w:val="single"/>
        </w:rPr>
        <w:t>A</w:t>
      </w:r>
      <w:r>
        <w:rPr>
          <w:rFonts w:ascii="Arial" w:hAnsi="Arial" w:cs="Arial"/>
          <w:sz w:val="36"/>
          <w:szCs w:val="36"/>
          <w:u w:val="single"/>
        </w:rPr>
        <w:t xml:space="preserve"> </w:t>
      </w:r>
      <w:r w:rsidRPr="0075717B">
        <w:rPr>
          <w:rFonts w:ascii="Arial" w:hAnsi="Arial" w:cs="Arial"/>
          <w:sz w:val="36"/>
          <w:szCs w:val="36"/>
          <w:u w:val="single"/>
        </w:rPr>
        <w:t>Case Report</w:t>
      </w:r>
    </w:p>
    <w:p w14:paraId="083FD38F" w14:textId="77777777" w:rsidR="003200F8" w:rsidRPr="007E789F" w:rsidRDefault="003200F8" w:rsidP="003200F8">
      <w:pPr>
        <w:jc w:val="center"/>
        <w:rPr>
          <w:rFonts w:ascii="Arial" w:hAnsi="Arial" w:cs="Arial"/>
        </w:rPr>
      </w:pPr>
      <w:r w:rsidRPr="007E789F">
        <w:rPr>
          <w:rFonts w:ascii="Arial" w:hAnsi="Arial" w:cs="Arial"/>
          <w:u w:val="single"/>
        </w:rPr>
        <w:t>Sara Kayali</w:t>
      </w:r>
      <w:r w:rsidRPr="007E789F">
        <w:rPr>
          <w:rFonts w:ascii="Arial" w:hAnsi="Arial" w:cs="Arial"/>
          <w:vertAlign w:val="superscript"/>
        </w:rPr>
        <w:t xml:space="preserve"> 1</w:t>
      </w:r>
      <w:r w:rsidRPr="007E789F">
        <w:rPr>
          <w:rFonts w:ascii="Arial" w:hAnsi="Arial" w:cs="Arial"/>
          <w:i/>
          <w:iCs/>
          <w:color w:val="1A1718"/>
          <w:position w:val="13"/>
        </w:rPr>
        <w:t xml:space="preserve">  </w:t>
      </w:r>
      <w:r w:rsidRPr="007E789F">
        <w:rPr>
          <w:rFonts w:ascii="Arial" w:hAnsi="Arial" w:cs="Arial"/>
        </w:rPr>
        <w:t xml:space="preserve">Maaly Abdel Halim Abdel Fattah </w:t>
      </w:r>
      <w:r w:rsidRPr="007E789F">
        <w:rPr>
          <w:rFonts w:ascii="Arial" w:hAnsi="Arial" w:cs="Arial"/>
          <w:vertAlign w:val="superscript"/>
        </w:rPr>
        <w:t>1,2,3</w:t>
      </w:r>
    </w:p>
    <w:p w14:paraId="13A3D8C3" w14:textId="77777777" w:rsidR="003200F8" w:rsidRDefault="003200F8" w:rsidP="003200F8">
      <w:pPr>
        <w:jc w:val="both"/>
      </w:pPr>
      <w:r>
        <w:t>1- Al-Faisal University college of Medicine, Riyadh, Saudi Arabia</w:t>
      </w:r>
    </w:p>
    <w:p w14:paraId="0FBF7314" w14:textId="77777777" w:rsidR="003200F8" w:rsidRDefault="003200F8" w:rsidP="003200F8">
      <w:pPr>
        <w:jc w:val="both"/>
      </w:pPr>
      <w:r>
        <w:t>2- Ophthalmology Department, Cairo University, College of medicine, Cairo, Egypt</w:t>
      </w:r>
    </w:p>
    <w:p w14:paraId="3EAE8F9F" w14:textId="77777777" w:rsidR="003200F8" w:rsidRDefault="003200F8" w:rsidP="003200F8">
      <w:pPr>
        <w:jc w:val="both"/>
      </w:pPr>
      <w:r>
        <w:t>3- Ophthalmology Department, King Faisal Specialist Hospital and Research Center, Riyadh, Saudi Arabia</w:t>
      </w:r>
    </w:p>
    <w:p w14:paraId="49C899EF" w14:textId="77777777" w:rsidR="003200F8" w:rsidRDefault="003200F8" w:rsidP="003200F8">
      <w:pPr>
        <w:widowControl w:val="0"/>
        <w:autoSpaceDE w:val="0"/>
        <w:autoSpaceDN w:val="0"/>
        <w:adjustRightInd w:val="0"/>
        <w:spacing w:after="240" w:line="160" w:lineRule="atLeast"/>
        <w:jc w:val="both"/>
        <w:rPr>
          <w:rFonts w:ascii="Arial" w:hAnsi="Arial" w:cs="Arial"/>
          <w:sz w:val="24"/>
          <w:szCs w:val="24"/>
        </w:rPr>
      </w:pPr>
      <w:r w:rsidRPr="00182D96">
        <w:rPr>
          <w:rFonts w:ascii="Arial" w:hAnsi="Arial" w:cs="Arial"/>
          <w:color w:val="1A1718"/>
        </w:rPr>
        <w:t>Email</w:t>
      </w:r>
      <w:r w:rsidRPr="0075717B">
        <w:rPr>
          <w:rFonts w:ascii="Arial" w:hAnsi="Arial" w:cs="Arial"/>
          <w:color w:val="1A1718"/>
        </w:rPr>
        <w:t xml:space="preserve">: </w:t>
      </w:r>
      <w:hyperlink r:id="rId4" w:history="1">
        <w:r w:rsidRPr="00CA5934">
          <w:rPr>
            <w:rStyle w:val="Hyperlink"/>
            <w:rFonts w:ascii="Arial" w:hAnsi="Arial" w:cs="Arial"/>
          </w:rPr>
          <w:t>sarakayali97@gmail.com</w:t>
        </w:r>
      </w:hyperlink>
    </w:p>
    <w:p w14:paraId="2FC63121" w14:textId="77777777" w:rsidR="003200F8" w:rsidRDefault="003200F8" w:rsidP="003200F8">
      <w:pPr>
        <w:widowControl w:val="0"/>
        <w:autoSpaceDE w:val="0"/>
        <w:autoSpaceDN w:val="0"/>
        <w:adjustRightInd w:val="0"/>
        <w:spacing w:after="240" w:line="360" w:lineRule="auto"/>
        <w:jc w:val="lowKashida"/>
        <w:rPr>
          <w:rFonts w:ascii="Arial" w:hAnsi="Arial" w:cs="Arial"/>
          <w:sz w:val="24"/>
          <w:szCs w:val="24"/>
        </w:rPr>
      </w:pPr>
    </w:p>
    <w:p w14:paraId="61578784" w14:textId="77777777" w:rsidR="003200F8" w:rsidRDefault="003200F8" w:rsidP="003200F8">
      <w:pPr>
        <w:widowControl w:val="0"/>
        <w:autoSpaceDE w:val="0"/>
        <w:autoSpaceDN w:val="0"/>
        <w:adjustRightInd w:val="0"/>
        <w:spacing w:after="240" w:line="360" w:lineRule="auto"/>
        <w:jc w:val="lowKashida"/>
        <w:rPr>
          <w:rFonts w:ascii="Arial" w:hAnsi="Arial" w:cs="Arial"/>
        </w:rPr>
      </w:pPr>
      <w:r w:rsidRPr="00D16820">
        <w:rPr>
          <w:rFonts w:ascii="Arial" w:hAnsi="Arial" w:cs="Arial"/>
        </w:rPr>
        <w:t xml:space="preserve">Graft-versus-host disease (GVHD) remains a major cause of morbidity and mortality after allogeneic bone marrow transplantation (BMT). Ocular GVHD (oGVHD) could occur in acute or chronic </w:t>
      </w:r>
      <w:r w:rsidRPr="000857F5">
        <w:rPr>
          <w:rFonts w:ascii="Arial" w:hAnsi="Arial" w:cs="Arial"/>
        </w:rPr>
        <w:t>forms</w:t>
      </w:r>
      <w:r w:rsidRPr="00D16820">
        <w:rPr>
          <w:rFonts w:ascii="Arial" w:hAnsi="Arial" w:cs="Arial"/>
        </w:rPr>
        <w:t xml:space="preserve">, although the chronic form is more common with a more severe presentation. oGVHD has been described in the literature with anterior and posterior segments manifestations including keratoconjunctivitis sicca, corneal epithelial defects, cataract, conjunctivitis, anterior or posterior uveitis, optic disk edema, neuritis or atrophy, posterior scleritis, central serous chorioretinopathy, microvascular retinopathy with cotton-wool spots, intra-retinal and vitreous hemorrhage. We report a case of a 35-year old Saudi </w:t>
      </w:r>
      <w:r w:rsidRPr="000857F5">
        <w:rPr>
          <w:rFonts w:ascii="Arial" w:hAnsi="Arial" w:cs="Arial"/>
        </w:rPr>
        <w:t>female post-allogenic</w:t>
      </w:r>
      <w:r w:rsidRPr="00D16820">
        <w:rPr>
          <w:rFonts w:ascii="Arial" w:hAnsi="Arial" w:cs="Arial"/>
        </w:rPr>
        <w:t xml:space="preserve"> BMT in 2003 treated for acute lymphocytic leukemia. She underwent bilateral phacoemulsification and posterior intra-ocular lens implantation secondary to chronic systemic corticosteroids use for 2 years. </w:t>
      </w:r>
      <w:r>
        <w:rPr>
          <w:rFonts w:ascii="Arial" w:hAnsi="Arial" w:cs="Arial"/>
        </w:rPr>
        <w:t xml:space="preserve">She visited </w:t>
      </w:r>
      <w:r w:rsidRPr="00D16820">
        <w:rPr>
          <w:rFonts w:ascii="Arial" w:hAnsi="Arial" w:cs="Arial"/>
        </w:rPr>
        <w:t xml:space="preserve">the GVHD clinic for chronic sclerodermatous lesions affecting her four limbs. Her chronic GVHD NIH score was 3 for skin, 1 for eyes, and 0 for each of the liver, gastrointestinal, lung, and musculoskeletal systems.  She was taking </w:t>
      </w:r>
      <w:r>
        <w:rPr>
          <w:rFonts w:ascii="Arial" w:eastAsia="Times New Roman" w:hAnsi="Arial" w:cs="Arial"/>
          <w:shd w:val="clear" w:color="auto" w:fill="FFFFFF"/>
        </w:rPr>
        <w:t xml:space="preserve">ruxolitinib </w:t>
      </w:r>
      <w:r w:rsidRPr="00D16820">
        <w:rPr>
          <w:rFonts w:ascii="Arial" w:hAnsi="Arial" w:cs="Arial"/>
        </w:rPr>
        <w:t xml:space="preserve">10 mg BID. She was referred to the ophthalmology clinic due to recent visual disturbances </w:t>
      </w:r>
      <w:r w:rsidRPr="00345DB8">
        <w:rPr>
          <w:rFonts w:ascii="Arial" w:hAnsi="Arial" w:cs="Arial"/>
        </w:rPr>
        <w:t>in</w:t>
      </w:r>
      <w:r w:rsidRPr="00D16820">
        <w:rPr>
          <w:rFonts w:ascii="Arial" w:hAnsi="Arial" w:cs="Arial"/>
        </w:rPr>
        <w:t xml:space="preserve"> her left eye. Her best corrected visual acuity was 20/40 and 20/200 for the right and left eye, respectively. Slit lamp exam showed pseudophakia bilaterally with dense posterior subcapsular cataract </w:t>
      </w:r>
      <w:r>
        <w:rPr>
          <w:rFonts w:ascii="Arial" w:hAnsi="Arial" w:cs="Arial"/>
        </w:rPr>
        <w:t>in</w:t>
      </w:r>
      <w:r w:rsidRPr="00D16820">
        <w:rPr>
          <w:rFonts w:ascii="Arial" w:hAnsi="Arial" w:cs="Arial"/>
        </w:rPr>
        <w:t xml:space="preserve"> the left eye. Yag Capsulotomy was </w:t>
      </w:r>
      <w:r w:rsidRPr="00642605">
        <w:rPr>
          <w:rFonts w:ascii="Arial" w:hAnsi="Arial" w:cs="Arial"/>
        </w:rPr>
        <w:t>done on the</w:t>
      </w:r>
      <w:r w:rsidRPr="00D16820">
        <w:rPr>
          <w:rFonts w:ascii="Arial" w:hAnsi="Arial" w:cs="Arial"/>
        </w:rPr>
        <w:t xml:space="preserve"> same visit. On the follow-up appointment after 2 weeks, visual acuity didn’t</w:t>
      </w:r>
      <w:r>
        <w:rPr>
          <w:rFonts w:ascii="Arial" w:hAnsi="Arial" w:cs="Arial"/>
        </w:rPr>
        <w:t xml:space="preserve"> improve. Furthermore, the </w:t>
      </w:r>
      <w:r w:rsidRPr="00D16820">
        <w:rPr>
          <w:rFonts w:ascii="Arial" w:hAnsi="Arial" w:cs="Arial"/>
        </w:rPr>
        <w:t xml:space="preserve">dilated funduscopic exam </w:t>
      </w:r>
      <w:r>
        <w:rPr>
          <w:rFonts w:ascii="Arial" w:hAnsi="Arial" w:cs="Arial"/>
        </w:rPr>
        <w:t>showed</w:t>
      </w:r>
      <w:r w:rsidRPr="00D16820">
        <w:rPr>
          <w:rFonts w:ascii="Arial" w:hAnsi="Arial" w:cs="Arial"/>
        </w:rPr>
        <w:t xml:space="preserve"> macular retinal pigment epithelial mottling with attenuated retinal arteries of the left eye which raised the suspicion of retinitis pigmentosa. An electroretinography was scheduled to confirm the diagnosis. Based on the literature review, we </w:t>
      </w:r>
      <w:r w:rsidRPr="00803554">
        <w:rPr>
          <w:rFonts w:ascii="Arial" w:hAnsi="Arial" w:cs="Arial"/>
        </w:rPr>
        <w:t>reported</w:t>
      </w:r>
      <w:r w:rsidRPr="00D16820">
        <w:rPr>
          <w:rFonts w:ascii="Arial" w:hAnsi="Arial" w:cs="Arial"/>
        </w:rPr>
        <w:t xml:space="preserve"> the first case presenting with retinitis pigmentosa as an ocular manifestation of chronic GVHD post-allogenic BMT.</w:t>
      </w:r>
    </w:p>
    <w:p w14:paraId="75F6CC8F" w14:textId="77777777" w:rsidR="003200F8" w:rsidRDefault="003200F8" w:rsidP="003200F8">
      <w:pPr>
        <w:widowControl w:val="0"/>
        <w:autoSpaceDE w:val="0"/>
        <w:autoSpaceDN w:val="0"/>
        <w:adjustRightInd w:val="0"/>
        <w:spacing w:after="240" w:line="360" w:lineRule="auto"/>
        <w:jc w:val="lowKashida"/>
        <w:rPr>
          <w:rFonts w:ascii="Arial" w:hAnsi="Arial" w:cs="Arial"/>
        </w:rPr>
      </w:pPr>
      <w:r w:rsidRPr="00D16820">
        <w:rPr>
          <w:rFonts w:ascii="Arial" w:hAnsi="Arial" w:cs="Arial"/>
          <w:u w:val="single"/>
        </w:rPr>
        <w:t>Keywords</w:t>
      </w:r>
      <w:r w:rsidRPr="00D16820">
        <w:rPr>
          <w:rFonts w:ascii="Arial" w:hAnsi="Arial" w:cs="Arial"/>
        </w:rPr>
        <w:t xml:space="preserve">: Chronic GVHD; Retinitis Pigmentosa; Bone marrow Transplant; Ocular GVHD; NIH </w:t>
      </w:r>
      <w:r w:rsidRPr="00D16820">
        <w:rPr>
          <w:rFonts w:ascii="Arial" w:hAnsi="Arial" w:cs="Arial"/>
        </w:rPr>
        <w:lastRenderedPageBreak/>
        <w:t>GVHD Scoring System.</w:t>
      </w:r>
    </w:p>
    <w:p w14:paraId="18128296" w14:textId="77777777" w:rsidR="0091192E" w:rsidRDefault="003200F8">
      <w:bookmarkStart w:id="0" w:name="_GoBack"/>
      <w:bookmarkEnd w:id="0"/>
    </w:p>
    <w:sectPr w:rsidR="0091192E" w:rsidSect="009D1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0F8"/>
    <w:rsid w:val="003200F8"/>
    <w:rsid w:val="00971C5B"/>
    <w:rsid w:val="009D1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F0060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200F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00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sarakayali97@gmail.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390</Words>
  <Characters>2224</Characters>
  <Application>Microsoft Macintosh Word</Application>
  <DocSecurity>0</DocSecurity>
  <Lines>18</Lines>
  <Paragraphs>5</Paragraphs>
  <ScaleCrop>false</ScaleCrop>
  <LinksUpToDate>false</LinksUpToDate>
  <CharactersWithSpaces>2609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Parker [lw16rlp]</dc:creator>
  <cp:keywords/>
  <dc:description/>
  <cp:lastModifiedBy>Rachael Parker [lw16rlp]</cp:lastModifiedBy>
  <cp:revision>1</cp:revision>
  <dcterms:created xsi:type="dcterms:W3CDTF">2020-06-25T16:20:00Z</dcterms:created>
  <dcterms:modified xsi:type="dcterms:W3CDTF">2020-06-25T16:21:00Z</dcterms:modified>
</cp:coreProperties>
</file>