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E31B1" w14:textId="24528F4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Title:</w:t>
      </w:r>
      <w:r>
        <w:rPr>
          <w:rFonts w:ascii="Arial" w:eastAsia="Times New Roman" w:hAnsi="Arial" w:cs="Arial"/>
          <w:sz w:val="20"/>
          <w:szCs w:val="20"/>
        </w:rPr>
        <w:t xml:space="preserve"> Pearls for Successful outcomes in Refractive Cataract surgery with Trifocal IOLs.</w:t>
      </w:r>
    </w:p>
    <w:p w14:paraId="0E4F823E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28513AA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Submitter's E-mail Address:</w:t>
      </w:r>
    </w:p>
    <w:p w14:paraId="56503BB8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dr.prateekagarwal@gmail.com </w:t>
      </w:r>
    </w:p>
    <w:p w14:paraId="25DCCA60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F0FEF50" w14:textId="1B444A22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Purpose:</w:t>
      </w:r>
    </w:p>
    <w:p w14:paraId="015CB85E" w14:textId="224C9E6B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To document the</w:t>
      </w:r>
      <w:r>
        <w:rPr>
          <w:rFonts w:ascii="Arial" w:eastAsia="Times New Roman" w:hAnsi="Arial" w:cs="Arial"/>
          <w:sz w:val="20"/>
          <w:szCs w:val="20"/>
        </w:rPr>
        <w:t xml:space="preserve"> key steps maximizing the </w:t>
      </w:r>
      <w:r>
        <w:rPr>
          <w:rFonts w:ascii="Arial" w:eastAsia="Times New Roman" w:hAnsi="Arial" w:cs="Arial"/>
          <w:sz w:val="20"/>
          <w:szCs w:val="20"/>
        </w:rPr>
        <w:t xml:space="preserve">visual outcome and efficacy </w:t>
      </w:r>
      <w:r>
        <w:rPr>
          <w:rFonts w:ascii="Arial" w:eastAsia="Times New Roman" w:hAnsi="Arial" w:cs="Arial"/>
          <w:sz w:val="20"/>
          <w:szCs w:val="20"/>
        </w:rPr>
        <w:t xml:space="preserve">in patients undergoing trifocal </w:t>
      </w:r>
      <w:proofErr w:type="spellStart"/>
      <w:r>
        <w:rPr>
          <w:rFonts w:ascii="Arial" w:eastAsia="Times New Roman" w:hAnsi="Arial" w:cs="Arial"/>
          <w:sz w:val="20"/>
          <w:szCs w:val="20"/>
        </w:rPr>
        <w:t>iol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implantation.</w:t>
      </w:r>
    </w:p>
    <w:p w14:paraId="32F8BA8E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D199BA1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Methods:</w:t>
      </w:r>
    </w:p>
    <w:p w14:paraId="3A745325" w14:textId="32D33E02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Extensive preoperative work up including dry eye assessment, topography, </w:t>
      </w:r>
      <w:proofErr w:type="spellStart"/>
      <w:r>
        <w:rPr>
          <w:rFonts w:ascii="Arial" w:eastAsia="Times New Roman" w:hAnsi="Arial" w:cs="Arial"/>
          <w:sz w:val="20"/>
          <w:szCs w:val="20"/>
        </w:rPr>
        <w:t>aberrometry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proofErr w:type="gramStart"/>
      <w:r>
        <w:rPr>
          <w:rFonts w:ascii="Arial" w:eastAsia="Times New Roman" w:hAnsi="Arial" w:cs="Arial"/>
          <w:sz w:val="20"/>
          <w:szCs w:val="20"/>
        </w:rPr>
        <w:t>questionairres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,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iol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calculation formulas and  surgical planning .</w:t>
      </w:r>
      <w:r w:rsidR="0022306F">
        <w:rPr>
          <w:rFonts w:ascii="Arial" w:eastAsia="Times New Roman" w:hAnsi="Arial" w:cs="Arial"/>
          <w:sz w:val="20"/>
          <w:szCs w:val="20"/>
        </w:rPr>
        <w:t xml:space="preserve"> 50 </w:t>
      </w:r>
      <w:proofErr w:type="gramStart"/>
      <w:r w:rsidR="0022306F">
        <w:rPr>
          <w:rFonts w:ascii="Arial" w:eastAsia="Times New Roman" w:hAnsi="Arial" w:cs="Arial"/>
          <w:sz w:val="20"/>
          <w:szCs w:val="20"/>
        </w:rPr>
        <w:t>eye</w:t>
      </w:r>
      <w:proofErr w:type="gramEnd"/>
      <w:r w:rsidR="0022306F">
        <w:rPr>
          <w:rFonts w:ascii="Arial" w:eastAsia="Times New Roman" w:hAnsi="Arial" w:cs="Arial"/>
          <w:sz w:val="20"/>
          <w:szCs w:val="20"/>
        </w:rPr>
        <w:t xml:space="preserve"> with bilateral trifocal implantation were included.</w:t>
      </w:r>
    </w:p>
    <w:p w14:paraId="1BA687B6" w14:textId="684862A1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Results:</w:t>
      </w:r>
      <w:r>
        <w:rPr>
          <w:rFonts w:ascii="Arial" w:eastAsia="Times New Roman" w:hAnsi="Arial" w:cs="Arial"/>
          <w:sz w:val="20"/>
          <w:szCs w:val="20"/>
        </w:rPr>
        <w:t xml:space="preserve"> Uncorrected visual acuity (near distance and intermediate), photic phenomenon and patient satisfaction </w:t>
      </w:r>
      <w:r w:rsidR="002B0ED0">
        <w:rPr>
          <w:rFonts w:ascii="Arial" w:eastAsia="Times New Roman" w:hAnsi="Arial" w:cs="Arial"/>
          <w:sz w:val="20"/>
          <w:szCs w:val="20"/>
        </w:rPr>
        <w:t xml:space="preserve">were </w:t>
      </w:r>
      <w:proofErr w:type="spellStart"/>
      <w:r w:rsidR="002B0ED0">
        <w:rPr>
          <w:rFonts w:ascii="Arial" w:eastAsia="Times New Roman" w:hAnsi="Arial" w:cs="Arial"/>
          <w:sz w:val="20"/>
          <w:szCs w:val="20"/>
        </w:rPr>
        <w:t>analysed</w:t>
      </w:r>
      <w:proofErr w:type="spellEnd"/>
      <w:r w:rsidR="002B0ED0">
        <w:rPr>
          <w:rFonts w:ascii="Arial" w:eastAsia="Times New Roman" w:hAnsi="Arial" w:cs="Arial"/>
          <w:sz w:val="20"/>
          <w:szCs w:val="20"/>
        </w:rPr>
        <w:t>.</w:t>
      </w:r>
    </w:p>
    <w:p w14:paraId="4C1A9E13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Conclusion:</w:t>
      </w:r>
      <w:bookmarkStart w:id="0" w:name="_GoBack"/>
      <w:bookmarkEnd w:id="0"/>
    </w:p>
    <w:p w14:paraId="3055A3BA" w14:textId="31DFEE0D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Trifocals are an exciting armamentarium for spectacle independence if thorough preoperative work up </w:t>
      </w:r>
      <w:r w:rsidR="0022306F">
        <w:rPr>
          <w:rFonts w:ascii="Arial" w:eastAsia="Times New Roman" w:hAnsi="Arial" w:cs="Arial"/>
          <w:sz w:val="20"/>
          <w:szCs w:val="20"/>
        </w:rPr>
        <w:t xml:space="preserve">and meticulous planning </w:t>
      </w:r>
      <w:r>
        <w:rPr>
          <w:rFonts w:ascii="Arial" w:eastAsia="Times New Roman" w:hAnsi="Arial" w:cs="Arial"/>
          <w:sz w:val="20"/>
          <w:szCs w:val="20"/>
        </w:rPr>
        <w:t xml:space="preserve">is </w:t>
      </w:r>
      <w:r w:rsidR="0022306F">
        <w:rPr>
          <w:rFonts w:ascii="Arial" w:eastAsia="Times New Roman" w:hAnsi="Arial" w:cs="Arial"/>
          <w:sz w:val="20"/>
          <w:szCs w:val="20"/>
        </w:rPr>
        <w:t>done.</w:t>
      </w:r>
    </w:p>
    <w:p w14:paraId="76BC31A0" w14:textId="77777777" w:rsidR="0022306F" w:rsidRDefault="0022306F" w:rsidP="00FF6F76">
      <w:pPr>
        <w:rPr>
          <w:rFonts w:ascii="Arial" w:eastAsia="Times New Roman" w:hAnsi="Arial" w:cs="Arial"/>
          <w:sz w:val="20"/>
          <w:szCs w:val="20"/>
        </w:rPr>
      </w:pPr>
    </w:p>
    <w:p w14:paraId="342F1CA4" w14:textId="4B344C0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E6A7BF9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Authors</w:t>
      </w:r>
    </w:p>
    <w:p w14:paraId="2622C25F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 </w:t>
      </w:r>
    </w:p>
    <w:p w14:paraId="1E8771DB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Disclosures</w:t>
      </w:r>
    </w:p>
    <w:p w14:paraId="4D27B301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Author): No Relevant Financial Interests </w:t>
      </w:r>
    </w:p>
    <w:p w14:paraId="31ACAFAB" w14:textId="6CF0E902" w:rsidR="00BB102E" w:rsidRDefault="00BB102E"/>
    <w:sectPr w:rsidR="00BB10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E7"/>
    <w:rsid w:val="0022306F"/>
    <w:rsid w:val="002B0ED0"/>
    <w:rsid w:val="00890C8A"/>
    <w:rsid w:val="00BB102E"/>
    <w:rsid w:val="00DB39E7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FC0B"/>
  <w15:chartTrackingRefBased/>
  <w15:docId w15:val="{53E34D2B-2DAC-48E5-B3F3-C8F24F14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F76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Agarwal</dc:creator>
  <cp:keywords/>
  <dc:description/>
  <cp:lastModifiedBy>Prateek Agarwal</cp:lastModifiedBy>
  <cp:revision>2</cp:revision>
  <dcterms:created xsi:type="dcterms:W3CDTF">2020-04-22T11:20:00Z</dcterms:created>
  <dcterms:modified xsi:type="dcterms:W3CDTF">2020-04-22T11:20:00Z</dcterms:modified>
</cp:coreProperties>
</file>