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B1E" w:rsidRPr="00D93B1E" w:rsidRDefault="00D93B1E" w:rsidP="00D93B1E">
      <w:pPr>
        <w:widowControl w:val="0"/>
        <w:autoSpaceDE w:val="0"/>
        <w:autoSpaceDN w:val="0"/>
        <w:adjustRightInd w:val="0"/>
        <w:spacing w:after="240" w:line="480" w:lineRule="auto"/>
        <w:jc w:val="both"/>
        <w:rPr>
          <w:rFonts w:ascii="Arial" w:hAnsi="Arial" w:cs="Arial"/>
          <w:color w:val="000000"/>
        </w:rPr>
      </w:pPr>
      <w:r w:rsidRPr="00AE63B6">
        <w:rPr>
          <w:rFonts w:ascii="Arial" w:hAnsi="Arial" w:cs="Arial"/>
          <w:b/>
          <w:color w:val="000000"/>
        </w:rPr>
        <w:t>Title:</w:t>
      </w:r>
      <w:r>
        <w:rPr>
          <w:rFonts w:ascii="Arial" w:hAnsi="Arial" w:cs="Arial"/>
          <w:color w:val="000000"/>
        </w:rPr>
        <w:t xml:space="preserve"> Factors Influencing the Episode Duration and the Need for Early Intervention in Acute Central Serous </w:t>
      </w:r>
      <w:proofErr w:type="spellStart"/>
      <w:r>
        <w:rPr>
          <w:rFonts w:ascii="Arial" w:hAnsi="Arial" w:cs="Arial"/>
          <w:color w:val="000000"/>
        </w:rPr>
        <w:t>Chorioretinopathy</w:t>
      </w:r>
      <w:proofErr w:type="spellEnd"/>
    </w:p>
    <w:p w:rsidR="00D93B1E" w:rsidRPr="00AE63B6" w:rsidRDefault="00D93B1E" w:rsidP="00D93B1E">
      <w:pPr>
        <w:widowControl w:val="0"/>
        <w:autoSpaceDE w:val="0"/>
        <w:autoSpaceDN w:val="0"/>
        <w:adjustRightInd w:val="0"/>
        <w:spacing w:after="240" w:line="480" w:lineRule="auto"/>
        <w:jc w:val="both"/>
        <w:rPr>
          <w:rFonts w:ascii="Arial" w:hAnsi="Arial" w:cs="Arial"/>
          <w:b/>
          <w:color w:val="000000"/>
        </w:rPr>
      </w:pPr>
      <w:r>
        <w:rPr>
          <w:rFonts w:ascii="Arial" w:hAnsi="Arial" w:cs="Arial"/>
          <w:b/>
          <w:color w:val="000000"/>
        </w:rPr>
        <w:t>Objective</w:t>
      </w:r>
      <w:bookmarkStart w:id="0" w:name="_GoBack"/>
      <w:bookmarkEnd w:id="0"/>
    </w:p>
    <w:p w:rsidR="00D93B1E" w:rsidRPr="00BD6EF2" w:rsidRDefault="00D93B1E" w:rsidP="00D93B1E">
      <w:pPr>
        <w:widowControl w:val="0"/>
        <w:autoSpaceDE w:val="0"/>
        <w:autoSpaceDN w:val="0"/>
        <w:adjustRightInd w:val="0"/>
        <w:spacing w:after="240" w:line="480" w:lineRule="auto"/>
        <w:jc w:val="both"/>
        <w:rPr>
          <w:rFonts w:ascii="Arial" w:hAnsi="Arial" w:cs="Arial"/>
          <w:color w:val="000000"/>
        </w:rPr>
      </w:pPr>
      <w:r w:rsidRPr="00BD6EF2">
        <w:rPr>
          <w:rFonts w:ascii="Arial" w:hAnsi="Arial" w:cs="Arial"/>
          <w:color w:val="000000"/>
        </w:rPr>
        <w:t xml:space="preserve">To evaluate the association between sub-retinal fluid (SRF) resolution time with the visual outcome in cases with central serous </w:t>
      </w:r>
      <w:proofErr w:type="spellStart"/>
      <w:r w:rsidRPr="00BD6EF2">
        <w:rPr>
          <w:rFonts w:ascii="Arial" w:hAnsi="Arial" w:cs="Arial"/>
          <w:color w:val="000000"/>
        </w:rPr>
        <w:t>chorioretinopathy</w:t>
      </w:r>
      <w:proofErr w:type="spellEnd"/>
      <w:r w:rsidRPr="00BD6EF2">
        <w:rPr>
          <w:rFonts w:ascii="Arial" w:hAnsi="Arial" w:cs="Arial"/>
          <w:color w:val="000000"/>
        </w:rPr>
        <w:t xml:space="preserve"> (CSCR) and to inve</w:t>
      </w:r>
      <w:r>
        <w:rPr>
          <w:rFonts w:ascii="Arial" w:hAnsi="Arial" w:cs="Arial"/>
          <w:color w:val="000000"/>
        </w:rPr>
        <w:t>stigate the factors defining it and early intervention.</w:t>
      </w:r>
    </w:p>
    <w:p w:rsidR="00D93B1E" w:rsidRPr="00AE63B6" w:rsidRDefault="00D93B1E" w:rsidP="00D93B1E">
      <w:pPr>
        <w:widowControl w:val="0"/>
        <w:autoSpaceDE w:val="0"/>
        <w:autoSpaceDN w:val="0"/>
        <w:adjustRightInd w:val="0"/>
        <w:spacing w:after="240" w:line="480" w:lineRule="auto"/>
        <w:jc w:val="both"/>
        <w:rPr>
          <w:rFonts w:ascii="Arial" w:hAnsi="Arial" w:cs="Arial"/>
          <w:b/>
          <w:color w:val="000000"/>
        </w:rPr>
      </w:pPr>
      <w:r>
        <w:rPr>
          <w:rFonts w:ascii="Arial" w:hAnsi="Arial" w:cs="Arial"/>
          <w:b/>
          <w:color w:val="000000"/>
        </w:rPr>
        <w:t>Methods and Analysis</w:t>
      </w:r>
    </w:p>
    <w:p w:rsidR="00D93B1E" w:rsidRPr="00BD6EF2" w:rsidRDefault="00D93B1E" w:rsidP="00D93B1E">
      <w:pPr>
        <w:widowControl w:val="0"/>
        <w:autoSpaceDE w:val="0"/>
        <w:autoSpaceDN w:val="0"/>
        <w:adjustRightInd w:val="0"/>
        <w:spacing w:after="240" w:line="480" w:lineRule="auto"/>
        <w:jc w:val="both"/>
        <w:rPr>
          <w:rFonts w:ascii="Arial" w:hAnsi="Arial" w:cs="Arial"/>
          <w:color w:val="000000"/>
        </w:rPr>
      </w:pPr>
      <w:r w:rsidRPr="00BD6EF2">
        <w:rPr>
          <w:rFonts w:ascii="Arial" w:hAnsi="Arial" w:cs="Arial"/>
          <w:color w:val="000000"/>
        </w:rPr>
        <w:t>We retrospectively studied 98 eyes of 93 patients diagnosed with treatment naïve acute CSCR presenting within 30 days of</w:t>
      </w:r>
      <w:r>
        <w:rPr>
          <w:rFonts w:ascii="Arial" w:hAnsi="Arial" w:cs="Arial"/>
          <w:color w:val="000000"/>
        </w:rPr>
        <w:t xml:space="preserve"> onset of symptoms. The eyes</w:t>
      </w:r>
      <w:r w:rsidRPr="00BD6EF2">
        <w:rPr>
          <w:rFonts w:ascii="Arial" w:hAnsi="Arial" w:cs="Arial"/>
          <w:color w:val="000000"/>
        </w:rPr>
        <w:t xml:space="preserve"> were div</w:t>
      </w:r>
      <w:r>
        <w:rPr>
          <w:rFonts w:ascii="Arial" w:hAnsi="Arial" w:cs="Arial"/>
          <w:color w:val="000000"/>
        </w:rPr>
        <w:t xml:space="preserve">ided into two groups (1 and 2) </w:t>
      </w:r>
      <w:r w:rsidRPr="00BD6EF2">
        <w:rPr>
          <w:rFonts w:ascii="Arial" w:hAnsi="Arial" w:cs="Arial"/>
          <w:color w:val="000000"/>
        </w:rPr>
        <w:t xml:space="preserve">based on the duration of time for resolution </w:t>
      </w:r>
      <w:r>
        <w:rPr>
          <w:rFonts w:ascii="Arial" w:hAnsi="Arial" w:cs="Arial"/>
          <w:color w:val="000000"/>
        </w:rPr>
        <w:t xml:space="preserve">of the SRF. The SRF resolution time in Group 1 was </w:t>
      </w:r>
      <w:r w:rsidRPr="00BD6EF2">
        <w:rPr>
          <w:rFonts w:ascii="Arial" w:hAnsi="Arial" w:cs="Arial"/>
          <w:color w:val="000000"/>
        </w:rPr>
        <w:sym w:font="Symbol" w:char="F0A3"/>
      </w:r>
      <w:r w:rsidRPr="00BD6EF2">
        <w:rPr>
          <w:rFonts w:ascii="Arial" w:hAnsi="Arial" w:cs="Arial"/>
          <w:color w:val="000000"/>
        </w:rPr>
        <w:t xml:space="preserve"> 3 months </w:t>
      </w:r>
      <w:r>
        <w:rPr>
          <w:rFonts w:ascii="Arial" w:hAnsi="Arial" w:cs="Arial"/>
          <w:color w:val="000000"/>
        </w:rPr>
        <w:t>and that in Group 2 was</w:t>
      </w:r>
      <w:r w:rsidRPr="00BD6EF2">
        <w:rPr>
          <w:rFonts w:ascii="Arial" w:hAnsi="Arial" w:cs="Arial"/>
          <w:color w:val="000000"/>
        </w:rPr>
        <w:t xml:space="preserve"> </w:t>
      </w:r>
      <w:r>
        <w:rPr>
          <w:rFonts w:ascii="Arial" w:hAnsi="Arial" w:cs="Arial"/>
          <w:color w:val="000000"/>
        </w:rPr>
        <w:t>&gt; 3 months.</w:t>
      </w:r>
      <w:r w:rsidRPr="00BD6EF2">
        <w:rPr>
          <w:rFonts w:ascii="Arial" w:hAnsi="Arial" w:cs="Arial"/>
          <w:color w:val="000000"/>
        </w:rPr>
        <w:t xml:space="preserve"> We calculated the central macular thickness (CMT) of 30 normal individuals for comparison with the patient’s. </w:t>
      </w:r>
      <w:r>
        <w:rPr>
          <w:rFonts w:ascii="Arial" w:hAnsi="Arial" w:cs="Arial"/>
          <w:color w:val="000000"/>
        </w:rPr>
        <w:t>Demographic and medical history, and spectral domain optical coherence tomography (SD-OCT) features like</w:t>
      </w:r>
      <w:r w:rsidRPr="00BD6EF2">
        <w:rPr>
          <w:rFonts w:ascii="Arial" w:hAnsi="Arial" w:cs="Arial"/>
          <w:color w:val="000000"/>
        </w:rPr>
        <w:t xml:space="preserve"> CMT, presence of pigment epithelial detachment (PED), hyper-reflective dots (HRDs), sub-retinal fibrin and retinal pigment epithe</w:t>
      </w:r>
      <w:r>
        <w:rPr>
          <w:rFonts w:ascii="Arial" w:hAnsi="Arial" w:cs="Arial"/>
          <w:color w:val="000000"/>
        </w:rPr>
        <w:t xml:space="preserve">lial (RPE) bumps were noted and their association with </w:t>
      </w:r>
      <w:r w:rsidRPr="00BD6EF2">
        <w:rPr>
          <w:rFonts w:ascii="Arial" w:hAnsi="Arial" w:cs="Arial"/>
          <w:color w:val="000000"/>
        </w:rPr>
        <w:t xml:space="preserve">SRF resolution time, and </w:t>
      </w:r>
      <w:r>
        <w:rPr>
          <w:rFonts w:ascii="Arial" w:hAnsi="Arial" w:cs="Arial"/>
          <w:color w:val="000000"/>
        </w:rPr>
        <w:t>final BCVA was studied.</w:t>
      </w:r>
      <w:r w:rsidRPr="00BD6EF2">
        <w:rPr>
          <w:rFonts w:ascii="Arial" w:hAnsi="Arial" w:cs="Arial"/>
          <w:color w:val="000000"/>
        </w:rPr>
        <w:t xml:space="preserve"> </w:t>
      </w:r>
    </w:p>
    <w:p w:rsidR="00D93B1E" w:rsidRPr="0026265F" w:rsidRDefault="00D93B1E" w:rsidP="00D93B1E">
      <w:pPr>
        <w:widowControl w:val="0"/>
        <w:autoSpaceDE w:val="0"/>
        <w:autoSpaceDN w:val="0"/>
        <w:adjustRightInd w:val="0"/>
        <w:spacing w:after="240" w:line="480" w:lineRule="auto"/>
        <w:jc w:val="both"/>
        <w:rPr>
          <w:rFonts w:ascii="Arial" w:hAnsi="Arial" w:cs="Arial"/>
          <w:b/>
          <w:color w:val="000000"/>
        </w:rPr>
      </w:pPr>
      <w:r w:rsidRPr="0026265F">
        <w:rPr>
          <w:rFonts w:ascii="Arial" w:hAnsi="Arial" w:cs="Arial"/>
          <w:b/>
          <w:color w:val="000000"/>
        </w:rPr>
        <w:t>Results</w:t>
      </w:r>
    </w:p>
    <w:p w:rsidR="00D93B1E" w:rsidRDefault="00D93B1E" w:rsidP="00D93B1E">
      <w:pPr>
        <w:tabs>
          <w:tab w:val="left" w:pos="7830"/>
        </w:tabs>
        <w:spacing w:line="480" w:lineRule="auto"/>
        <w:jc w:val="both"/>
        <w:rPr>
          <w:rFonts w:ascii="Arial" w:hAnsi="Arial" w:cs="Arial"/>
          <w:color w:val="000000"/>
        </w:rPr>
      </w:pPr>
      <w:r>
        <w:rPr>
          <w:rFonts w:ascii="Arial" w:hAnsi="Arial" w:cs="Arial"/>
          <w:color w:val="000000"/>
        </w:rPr>
        <w:t>Group 2 eyes had longer duration of symptoms, worse final BCVA and thinner final CMT than Group 1 (all p&lt;0.001).</w:t>
      </w:r>
      <w:r w:rsidRPr="00BD6EF2">
        <w:rPr>
          <w:rFonts w:ascii="Arial" w:hAnsi="Arial" w:cs="Arial"/>
          <w:color w:val="000000"/>
        </w:rPr>
        <w:t xml:space="preserve"> Female sex</w:t>
      </w:r>
      <w:r>
        <w:rPr>
          <w:rFonts w:ascii="Arial" w:hAnsi="Arial" w:cs="Arial"/>
          <w:color w:val="000000"/>
        </w:rPr>
        <w:t xml:space="preserve"> and presence of HRDs, and </w:t>
      </w:r>
      <w:r>
        <w:rPr>
          <w:rFonts w:ascii="Arial" w:hAnsi="Arial" w:cs="Arial"/>
          <w:color w:val="000000"/>
        </w:rPr>
        <w:lastRenderedPageBreak/>
        <w:t>RPE bumps in OCT at presentation were associated with longer duration for SRF resolution (p=0.04, p&lt;0.001 and p=0.04, respectively).</w:t>
      </w:r>
    </w:p>
    <w:p w:rsidR="00D93B1E" w:rsidRPr="00237BEE" w:rsidRDefault="00D93B1E" w:rsidP="00D93B1E">
      <w:pPr>
        <w:tabs>
          <w:tab w:val="left" w:pos="7830"/>
        </w:tabs>
        <w:spacing w:line="480" w:lineRule="auto"/>
        <w:jc w:val="both"/>
        <w:rPr>
          <w:rFonts w:ascii="Arial" w:hAnsi="Arial" w:cs="Arial"/>
          <w:color w:val="000000"/>
        </w:rPr>
      </w:pPr>
      <w:r w:rsidRPr="0026265F">
        <w:rPr>
          <w:rFonts w:ascii="Arial" w:hAnsi="Arial" w:cs="Arial"/>
          <w:b/>
          <w:color w:val="000000"/>
        </w:rPr>
        <w:t>Conclusion</w:t>
      </w:r>
    </w:p>
    <w:p w:rsidR="00D93B1E" w:rsidRDefault="00D93B1E" w:rsidP="00D93B1E">
      <w:pPr>
        <w:widowControl w:val="0"/>
        <w:autoSpaceDE w:val="0"/>
        <w:autoSpaceDN w:val="0"/>
        <w:adjustRightInd w:val="0"/>
        <w:spacing w:after="240" w:line="480" w:lineRule="auto"/>
        <w:jc w:val="both"/>
        <w:rPr>
          <w:rFonts w:ascii="Arial" w:hAnsi="Arial" w:cs="Arial"/>
          <w:color w:val="000000"/>
        </w:rPr>
      </w:pPr>
      <w:r w:rsidRPr="00BD6EF2">
        <w:rPr>
          <w:rFonts w:ascii="Arial" w:hAnsi="Arial" w:cs="Arial"/>
          <w:color w:val="000000"/>
        </w:rPr>
        <w:t xml:space="preserve">Longer time for resolution of SRF in cases of acute CSCR leads to atrophy of the macula, which is strongly associated with poorer visual outcome. The presence of HRDs and RPE bumps observed in OCT at the time of presentation and female gender might help to predict the treatment in favor of early intervention rather than observation. </w:t>
      </w:r>
    </w:p>
    <w:p w:rsidR="00C07528" w:rsidRDefault="00C07528"/>
    <w:sectPr w:rsidR="00C07528" w:rsidSect="001F6BE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B1E"/>
    <w:rsid w:val="001F6BE4"/>
    <w:rsid w:val="00C07528"/>
    <w:rsid w:val="00D93B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82316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B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B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268</Words>
  <Characters>1529</Characters>
  <Application>Microsoft Macintosh Word</Application>
  <DocSecurity>0</DocSecurity>
  <Lines>12</Lines>
  <Paragraphs>3</Paragraphs>
  <ScaleCrop>false</ScaleCrop>
  <Company>IOM</Company>
  <LinksUpToDate>false</LinksUpToDate>
  <CharactersWithSpaces>1794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Parajuli</dc:creator>
  <cp:keywords/>
  <dc:description/>
  <cp:lastModifiedBy>Anil Parajuli</cp:lastModifiedBy>
  <cp:revision>1</cp:revision>
  <dcterms:created xsi:type="dcterms:W3CDTF">2020-02-10T13:51:00Z</dcterms:created>
  <dcterms:modified xsi:type="dcterms:W3CDTF">2020-02-10T13:59:00Z</dcterms:modified>
</cp:coreProperties>
</file>