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A6B10" w14:textId="1570889B" w:rsidR="0073722B" w:rsidRDefault="0073722B" w:rsidP="0073722B">
      <w:pPr>
        <w:pStyle w:val="BodyA"/>
        <w:jc w:val="center"/>
        <w:rPr>
          <w:rFonts w:ascii="Times New Roman" w:hAnsi="Times New Roman" w:cs="Times New Roman"/>
          <w:b/>
          <w:bCs/>
          <w:sz w:val="28"/>
          <w:szCs w:val="28"/>
          <w:u w:val="single"/>
        </w:rPr>
      </w:pPr>
      <w:bookmarkStart w:id="0" w:name="_GoBack"/>
      <w:bookmarkEnd w:id="0"/>
      <w:r w:rsidRPr="0073722B">
        <w:rPr>
          <w:rFonts w:ascii="Times New Roman" w:hAnsi="Times New Roman" w:cs="Times New Roman"/>
          <w:b/>
          <w:bCs/>
          <w:sz w:val="28"/>
          <w:szCs w:val="28"/>
          <w:u w:val="single"/>
        </w:rPr>
        <w:t>Abstract</w:t>
      </w:r>
    </w:p>
    <w:p w14:paraId="19355F74" w14:textId="77777777" w:rsidR="0073722B" w:rsidRPr="0073722B" w:rsidRDefault="0073722B" w:rsidP="0073722B">
      <w:pPr>
        <w:pStyle w:val="BodyA"/>
        <w:jc w:val="center"/>
        <w:rPr>
          <w:rFonts w:ascii="Times New Roman" w:hAnsi="Times New Roman" w:cs="Times New Roman"/>
          <w:b/>
          <w:bCs/>
          <w:sz w:val="28"/>
          <w:szCs w:val="28"/>
          <w:u w:val="single"/>
        </w:rPr>
      </w:pPr>
    </w:p>
    <w:p w14:paraId="7A1BFE5F" w14:textId="5262D5A1" w:rsidR="008A3A1E" w:rsidRDefault="00CC08E8">
      <w:pPr>
        <w:pStyle w:val="BodyA"/>
        <w:rPr>
          <w:rFonts w:ascii="Times New Roman" w:hAnsi="Times New Roman" w:cs="Times New Roman"/>
          <w:sz w:val="24"/>
          <w:szCs w:val="24"/>
        </w:rPr>
      </w:pPr>
      <w:r w:rsidRPr="0073722B">
        <w:rPr>
          <w:rFonts w:ascii="Times New Roman" w:hAnsi="Times New Roman" w:cs="Times New Roman"/>
          <w:b/>
          <w:bCs/>
          <w:sz w:val="24"/>
          <w:szCs w:val="24"/>
        </w:rPr>
        <w:t>Title:</w:t>
      </w:r>
      <w:r w:rsidRPr="003B6683">
        <w:rPr>
          <w:rFonts w:ascii="Times New Roman" w:hAnsi="Times New Roman" w:cs="Times New Roman"/>
          <w:sz w:val="24"/>
          <w:szCs w:val="24"/>
        </w:rPr>
        <w:t xml:space="preserve"> Diagnosing an atypical Case of Tuberculosis presenting as dacryocystitis: Gene expert </w:t>
      </w:r>
    </w:p>
    <w:p w14:paraId="4B74941C" w14:textId="77777777" w:rsidR="0073722B" w:rsidRDefault="0073722B">
      <w:pPr>
        <w:pStyle w:val="BodyA"/>
        <w:rPr>
          <w:b/>
          <w:bCs/>
        </w:rPr>
      </w:pPr>
    </w:p>
    <w:p w14:paraId="19BC2B9F" w14:textId="3ADD00CD" w:rsidR="0073722B" w:rsidRPr="0073722B" w:rsidRDefault="0073722B">
      <w:pPr>
        <w:pStyle w:val="BodyA"/>
        <w:rPr>
          <w:rFonts w:ascii="Times New Roman" w:hAnsi="Times New Roman" w:cs="Times New Roman"/>
          <w:sz w:val="24"/>
          <w:szCs w:val="24"/>
        </w:rPr>
      </w:pPr>
      <w:r w:rsidRPr="0073722B">
        <w:rPr>
          <w:rFonts w:ascii="Times New Roman" w:hAnsi="Times New Roman" w:cs="Times New Roman"/>
          <w:b/>
          <w:bCs/>
          <w:sz w:val="24"/>
          <w:szCs w:val="24"/>
        </w:rPr>
        <w:t xml:space="preserve">Presenting Author: </w:t>
      </w:r>
      <w:r w:rsidRPr="0073722B">
        <w:rPr>
          <w:rFonts w:ascii="Times New Roman" w:hAnsi="Times New Roman" w:cs="Times New Roman"/>
          <w:b/>
          <w:bCs/>
          <w:i/>
          <w:iCs/>
          <w:sz w:val="24"/>
          <w:szCs w:val="24"/>
        </w:rPr>
        <w:t>Gautam Lokdarshi, MD</w:t>
      </w:r>
    </w:p>
    <w:p w14:paraId="1EFA742E" w14:textId="77777777" w:rsidR="008A3A1E" w:rsidRPr="003B6683" w:rsidRDefault="008A3A1E">
      <w:pPr>
        <w:pStyle w:val="BodyA"/>
        <w:rPr>
          <w:rFonts w:ascii="Times New Roman" w:hAnsi="Times New Roman" w:cs="Times New Roman"/>
          <w:sz w:val="24"/>
          <w:szCs w:val="24"/>
        </w:rPr>
      </w:pPr>
    </w:p>
    <w:p w14:paraId="0947D152" w14:textId="12249406" w:rsidR="008A3A1E" w:rsidRPr="003B6683" w:rsidRDefault="00CC08E8">
      <w:pPr>
        <w:pStyle w:val="BodyA"/>
        <w:rPr>
          <w:rFonts w:ascii="Times New Roman" w:hAnsi="Times New Roman" w:cs="Times New Roman"/>
          <w:sz w:val="24"/>
          <w:szCs w:val="24"/>
        </w:rPr>
      </w:pPr>
      <w:r w:rsidRPr="00E80AC8">
        <w:rPr>
          <w:rFonts w:ascii="Times New Roman" w:hAnsi="Times New Roman" w:cs="Times New Roman"/>
          <w:b/>
          <w:bCs/>
          <w:sz w:val="24"/>
          <w:szCs w:val="24"/>
        </w:rPr>
        <w:t>Objective:</w:t>
      </w:r>
      <w:r w:rsidRPr="003B6683">
        <w:rPr>
          <w:rFonts w:ascii="Times New Roman" w:hAnsi="Times New Roman" w:cs="Times New Roman"/>
          <w:sz w:val="24"/>
          <w:szCs w:val="24"/>
        </w:rPr>
        <w:t xml:space="preserve"> To present an atypical case of tuberculous daceyocystitis. </w:t>
      </w:r>
      <w:r w:rsidRPr="00E80AC8">
        <w:rPr>
          <w:rFonts w:ascii="Times New Roman" w:hAnsi="Times New Roman" w:cs="Times New Roman"/>
          <w:b/>
          <w:bCs/>
          <w:sz w:val="24"/>
          <w:szCs w:val="24"/>
        </w:rPr>
        <w:t>Method:</w:t>
      </w:r>
      <w:r w:rsidRPr="003B6683">
        <w:rPr>
          <w:rFonts w:ascii="Times New Roman" w:hAnsi="Times New Roman" w:cs="Times New Roman"/>
          <w:sz w:val="24"/>
          <w:szCs w:val="24"/>
        </w:rPr>
        <w:t xml:space="preserve"> An adult female presented with long standing epiphora with gradual swelling over lacrimal sac region. On syringing, water was felt in throat with no regurgitation. CT-DCG and CECT orbit were done subsequently and simultaneously. Ill-defined, enhancing soft tissue surrounding and involving lacrimal sac wall was identified. The sac wall outline was seen distorted with contrast in NLD. The histopathology was suggestive of non-specific chronic inflammation. Gene expert analysis was shown to be very low positive for </w:t>
      </w:r>
      <w:r w:rsidR="00EF2711" w:rsidRPr="003B6683">
        <w:rPr>
          <w:rFonts w:ascii="Times New Roman" w:hAnsi="Times New Roman" w:cs="Times New Roman"/>
          <w:sz w:val="24"/>
          <w:szCs w:val="24"/>
        </w:rPr>
        <w:t>M. tuberculosis</w:t>
      </w:r>
      <w:r w:rsidRPr="003B6683">
        <w:rPr>
          <w:rFonts w:ascii="Times New Roman" w:hAnsi="Times New Roman" w:cs="Times New Roman"/>
          <w:sz w:val="24"/>
          <w:szCs w:val="24"/>
        </w:rPr>
        <w:t xml:space="preserve">. Montoux test was strongly positive (40x40 mm). ATT was started. </w:t>
      </w:r>
      <w:r w:rsidRPr="00E80AC8">
        <w:rPr>
          <w:rFonts w:ascii="Times New Roman" w:hAnsi="Times New Roman" w:cs="Times New Roman"/>
          <w:b/>
          <w:bCs/>
          <w:sz w:val="24"/>
          <w:szCs w:val="24"/>
        </w:rPr>
        <w:t xml:space="preserve">Results: </w:t>
      </w:r>
      <w:r w:rsidRPr="003B6683">
        <w:rPr>
          <w:rFonts w:ascii="Times New Roman" w:hAnsi="Times New Roman" w:cs="Times New Roman"/>
          <w:sz w:val="24"/>
          <w:szCs w:val="24"/>
        </w:rPr>
        <w:t>The swelling and watering subsided over next few months.</w:t>
      </w:r>
      <w:r w:rsidR="00E80AC8">
        <w:rPr>
          <w:rFonts w:ascii="Times New Roman" w:hAnsi="Times New Roman" w:cs="Times New Roman"/>
          <w:sz w:val="24"/>
          <w:szCs w:val="24"/>
        </w:rPr>
        <w:t xml:space="preserve"> </w:t>
      </w:r>
      <w:r w:rsidRPr="00E80AC8">
        <w:rPr>
          <w:rFonts w:ascii="Times New Roman" w:hAnsi="Times New Roman" w:cs="Times New Roman"/>
          <w:b/>
          <w:bCs/>
          <w:sz w:val="24"/>
          <w:szCs w:val="24"/>
        </w:rPr>
        <w:t>Conclusion:</w:t>
      </w:r>
      <w:r w:rsidRPr="003B6683">
        <w:rPr>
          <w:rFonts w:ascii="Times New Roman" w:hAnsi="Times New Roman" w:cs="Times New Roman"/>
          <w:sz w:val="24"/>
          <w:szCs w:val="24"/>
        </w:rPr>
        <w:t xml:space="preserve"> Tuberculosis should be considered in cases of chronic granulomatous dacryocystitis. CECT with CT-DCG is essential imaging. Gene expert is new and sensitive tool with considerable specificity in cases where histopathology is not conclusive.</w:t>
      </w:r>
    </w:p>
    <w:p w14:paraId="2335EAA4" w14:textId="09626149" w:rsidR="008A3A1E" w:rsidRDefault="008A3A1E">
      <w:pPr>
        <w:pStyle w:val="BodyA"/>
        <w:rPr>
          <w:rFonts w:ascii="Times New Roman" w:hAnsi="Times New Roman" w:cs="Times New Roman"/>
          <w:sz w:val="24"/>
          <w:szCs w:val="24"/>
        </w:rPr>
      </w:pPr>
    </w:p>
    <w:p w14:paraId="40A1C7FF"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3A7D57AA"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04B05028"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42B10228"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43AF3842"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19459D2C"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301E6A28"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0F93FB46"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23B11F2A"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2E8C5166"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34A59347"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2ED73721"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472F9223"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125428A8"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75C688FF"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1AAFA8DF"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5066A2A4"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4843DA5D"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6A8EC80B"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5CFFD5CF" w14:textId="77777777" w:rsidR="00771503" w:rsidRDefault="00771503" w:rsidP="00771503">
      <w:pPr>
        <w:pStyle w:val="Default"/>
        <w:spacing w:after="200"/>
        <w:jc w:val="both"/>
        <w:rPr>
          <w:rFonts w:ascii="Times New Roman" w:eastAsia="Times New Roman" w:hAnsi="Times New Roman" w:cs="Times New Roman"/>
          <w:b/>
          <w:sz w:val="24"/>
          <w:szCs w:val="24"/>
        </w:rPr>
      </w:pPr>
    </w:p>
    <w:p w14:paraId="511E5D1C" w14:textId="351BFBB0" w:rsidR="00641002" w:rsidRDefault="00641002" w:rsidP="00771503">
      <w:pPr>
        <w:pStyle w:val="Default"/>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31B15794" w14:textId="77777777" w:rsidR="00201EC3" w:rsidRPr="00201EC3" w:rsidRDefault="00641002" w:rsidP="00201EC3">
      <w:pPr>
        <w:pStyle w:val="ListParagraph"/>
        <w:numPr>
          <w:ilvl w:val="0"/>
          <w:numId w:val="1"/>
        </w:numPr>
        <w:rPr>
          <w:rStyle w:val="docsum-pmid"/>
          <w:lang w:val="en-IN" w:eastAsia="en-GB"/>
        </w:rPr>
      </w:pPr>
      <w:r w:rsidRPr="00641002">
        <w:rPr>
          <w:color w:val="000000" w:themeColor="text1"/>
        </w:rPr>
        <w:t xml:space="preserve">Sagar P, et al. </w:t>
      </w:r>
      <w:hyperlink r:id="rId7" w:history="1">
        <w:r w:rsidRPr="00641002">
          <w:rPr>
            <w:rStyle w:val="Hyperlink"/>
            <w:color w:val="000000" w:themeColor="text1"/>
            <w:u w:val="none"/>
          </w:rPr>
          <w:t>Primary tubercular dacryocystitis - a case report and review of 18 cases from the literature</w:t>
        </w:r>
      </w:hyperlink>
      <w:r w:rsidRPr="00641002">
        <w:rPr>
          <w:color w:val="000000" w:themeColor="text1"/>
        </w:rPr>
        <w:t>. Orbit 2019 -</w:t>
      </w:r>
      <w:r w:rsidRPr="00641002">
        <w:rPr>
          <w:rStyle w:val="apple-converted-space"/>
          <w:color w:val="000000" w:themeColor="text1"/>
        </w:rPr>
        <w:t> </w:t>
      </w:r>
      <w:r w:rsidRPr="00641002">
        <w:rPr>
          <w:rStyle w:val="Emphasis"/>
          <w:color w:val="000000" w:themeColor="text1"/>
        </w:rPr>
        <w:t>Review</w:t>
      </w:r>
      <w:r w:rsidRPr="00641002">
        <w:rPr>
          <w:color w:val="000000" w:themeColor="text1"/>
        </w:rPr>
        <w:t>. PMID</w:t>
      </w:r>
      <w:r w:rsidRPr="00641002">
        <w:rPr>
          <w:rStyle w:val="apple-converted-space"/>
          <w:color w:val="000000" w:themeColor="text1"/>
        </w:rPr>
        <w:t> </w:t>
      </w:r>
      <w:r w:rsidRPr="00641002">
        <w:rPr>
          <w:rStyle w:val="docsum-pmid"/>
          <w:color w:val="000000" w:themeColor="text1"/>
        </w:rPr>
        <w:t>30142013</w:t>
      </w:r>
    </w:p>
    <w:p w14:paraId="042A05A1" w14:textId="237A7D28" w:rsidR="00400ED3" w:rsidRPr="00400ED3" w:rsidRDefault="00641002" w:rsidP="00400ED3">
      <w:pPr>
        <w:pStyle w:val="ListParagraph"/>
        <w:numPr>
          <w:ilvl w:val="0"/>
          <w:numId w:val="1"/>
        </w:numPr>
        <w:rPr>
          <w:rStyle w:val="docsum-pmid"/>
          <w:lang w:val="en-IN" w:eastAsia="en-GB"/>
        </w:rPr>
      </w:pPr>
      <w:r w:rsidRPr="00201EC3">
        <w:rPr>
          <w:color w:val="000000" w:themeColor="text1"/>
        </w:rPr>
        <w:t xml:space="preserve">Varley CD, et al. Tuberculosis of the </w:t>
      </w:r>
      <w:r w:rsidR="00EF2711" w:rsidRPr="00201EC3">
        <w:rPr>
          <w:color w:val="000000" w:themeColor="text1"/>
        </w:rPr>
        <w:t>nasolacrimal</w:t>
      </w:r>
      <w:r w:rsidR="00201EC3" w:rsidRPr="00201EC3">
        <w:rPr>
          <w:color w:val="000000" w:themeColor="text1"/>
        </w:rPr>
        <w:t xml:space="preserve"> duct. </w:t>
      </w:r>
      <w:r w:rsidRPr="00201EC3">
        <w:rPr>
          <w:color w:val="000000" w:themeColor="text1"/>
        </w:rPr>
        <w:t>Ophthalmic Plast Reconstr Surg 2011 -</w:t>
      </w:r>
      <w:r w:rsidRPr="00201EC3">
        <w:rPr>
          <w:rStyle w:val="apple-converted-space"/>
          <w:color w:val="000000" w:themeColor="text1"/>
        </w:rPr>
        <w:t> </w:t>
      </w:r>
      <w:r w:rsidRPr="00201EC3">
        <w:rPr>
          <w:rStyle w:val="Emphasis"/>
          <w:color w:val="000000" w:themeColor="text1"/>
        </w:rPr>
        <w:t>Review</w:t>
      </w:r>
      <w:r w:rsidRPr="00201EC3">
        <w:rPr>
          <w:color w:val="000000" w:themeColor="text1"/>
        </w:rPr>
        <w:t>. PMID</w:t>
      </w:r>
      <w:r w:rsidRPr="00201EC3">
        <w:rPr>
          <w:rStyle w:val="apple-converted-space"/>
          <w:color w:val="000000" w:themeColor="text1"/>
        </w:rPr>
        <w:t> </w:t>
      </w:r>
      <w:r w:rsidRPr="00201EC3">
        <w:rPr>
          <w:rStyle w:val="docsum-pmid"/>
          <w:color w:val="000000" w:themeColor="text1"/>
        </w:rPr>
        <w:t>21242852</w:t>
      </w:r>
    </w:p>
    <w:p w14:paraId="0B78EF30" w14:textId="77777777" w:rsidR="00F21562" w:rsidRPr="00F21562" w:rsidRDefault="00400ED3" w:rsidP="00F21562">
      <w:pPr>
        <w:pStyle w:val="ListParagraph"/>
        <w:numPr>
          <w:ilvl w:val="0"/>
          <w:numId w:val="1"/>
        </w:numPr>
        <w:rPr>
          <w:rStyle w:val="docsum-pmid"/>
          <w:lang w:val="en-IN" w:eastAsia="en-GB"/>
        </w:rPr>
      </w:pPr>
      <w:r w:rsidRPr="00400ED3">
        <w:rPr>
          <w:color w:val="000000" w:themeColor="text1"/>
        </w:rPr>
        <w:t>Jablenska L, et al</w:t>
      </w:r>
      <w:r w:rsidRPr="00400ED3">
        <w:rPr>
          <w:color w:val="212121"/>
        </w:rPr>
        <w:t>. Nasolacrimal Tuberculosis: Case Report Highlighting the Need for Imaging in Identifying and Managing It Effectively</w:t>
      </w:r>
      <w:r>
        <w:rPr>
          <w:color w:val="212121"/>
        </w:rPr>
        <w:t xml:space="preserve">. </w:t>
      </w:r>
      <w:r w:rsidRPr="00400ED3">
        <w:rPr>
          <w:color w:val="000000" w:themeColor="text1"/>
        </w:rPr>
        <w:t>Orbit 2010. PMID</w:t>
      </w:r>
      <w:r w:rsidRPr="00400ED3">
        <w:rPr>
          <w:rStyle w:val="apple-converted-space"/>
          <w:color w:val="000000" w:themeColor="text1"/>
        </w:rPr>
        <w:t> </w:t>
      </w:r>
      <w:r w:rsidRPr="00400ED3">
        <w:rPr>
          <w:rStyle w:val="docsum-pmid"/>
          <w:color w:val="000000" w:themeColor="text1"/>
        </w:rPr>
        <w:t>20394554</w:t>
      </w:r>
    </w:p>
    <w:p w14:paraId="12CCFB89" w14:textId="13469100" w:rsidR="00F21562" w:rsidRPr="00F21562" w:rsidRDefault="00F21562" w:rsidP="00F21562">
      <w:pPr>
        <w:pStyle w:val="ListParagraph"/>
        <w:numPr>
          <w:ilvl w:val="0"/>
          <w:numId w:val="1"/>
        </w:numPr>
        <w:rPr>
          <w:lang w:val="en-IN" w:eastAsia="en-GB"/>
        </w:rPr>
      </w:pPr>
      <w:r w:rsidRPr="00F21562">
        <w:rPr>
          <w:color w:val="000000" w:themeColor="text1"/>
        </w:rPr>
        <w:t xml:space="preserve">Sachdeva K and Shrivastava T. </w:t>
      </w:r>
      <w:r w:rsidRPr="00F21562">
        <w:rPr>
          <w:color w:val="212121"/>
        </w:rPr>
        <w:t>CBNAAT: A Boon for Early Diagnosis of Tuberculosis-Head and Neck</w:t>
      </w:r>
      <w:r>
        <w:rPr>
          <w:color w:val="212121"/>
        </w:rPr>
        <w:t xml:space="preserve">. </w:t>
      </w:r>
      <w:r w:rsidRPr="00F21562">
        <w:rPr>
          <w:color w:val="000000" w:themeColor="text1"/>
        </w:rPr>
        <w:t>Indian J Otolaryngol Head Neck Surg 2018. PMID</w:t>
      </w:r>
      <w:r w:rsidRPr="00F21562">
        <w:rPr>
          <w:rStyle w:val="apple-converted-space"/>
          <w:color w:val="000000" w:themeColor="text1"/>
        </w:rPr>
        <w:t> </w:t>
      </w:r>
      <w:r w:rsidRPr="00F21562">
        <w:rPr>
          <w:rStyle w:val="docsum-pmid"/>
          <w:color w:val="000000" w:themeColor="text1"/>
        </w:rPr>
        <w:t>30464918</w:t>
      </w:r>
    </w:p>
    <w:p w14:paraId="3F5BCA7D" w14:textId="55F01279" w:rsidR="00F21562" w:rsidRPr="005D26F7" w:rsidRDefault="00F21562" w:rsidP="005D26F7">
      <w:pPr>
        <w:pStyle w:val="ListParagraph"/>
        <w:numPr>
          <w:ilvl w:val="0"/>
          <w:numId w:val="1"/>
        </w:numPr>
        <w:rPr>
          <w:color w:val="000000" w:themeColor="text1"/>
          <w:lang w:val="en-IN" w:eastAsia="en-GB"/>
        </w:rPr>
      </w:pPr>
      <w:r w:rsidRPr="00F21562">
        <w:rPr>
          <w:color w:val="000000" w:themeColor="text1"/>
        </w:rPr>
        <w:t xml:space="preserve">Kashyap B, et al. </w:t>
      </w:r>
      <w:hyperlink r:id="rId8" w:history="1">
        <w:r w:rsidRPr="00F21562">
          <w:rPr>
            <w:rStyle w:val="Hyperlink"/>
            <w:color w:val="000000" w:themeColor="text1"/>
            <w:u w:val="none"/>
          </w:rPr>
          <w:t>Cartridge</w:t>
        </w:r>
        <w:r w:rsidRPr="00F21562">
          <w:rPr>
            <w:color w:val="000000" w:themeColor="text1"/>
          </w:rPr>
          <w:t xml:space="preserve"> </w:t>
        </w:r>
        <w:r w:rsidRPr="00F21562">
          <w:rPr>
            <w:rStyle w:val="Hyperlink"/>
            <w:color w:val="000000" w:themeColor="text1"/>
            <w:u w:val="none"/>
          </w:rPr>
          <w:t>-based nucleic acid amplification test: a novel rapid diagnostic tool to study the burden of tuberculosis from a tertiary care hospital</w:t>
        </w:r>
      </w:hyperlink>
      <w:r w:rsidRPr="00F21562">
        <w:rPr>
          <w:color w:val="000000" w:themeColor="text1"/>
        </w:rPr>
        <w:t>.</w:t>
      </w:r>
      <w:r w:rsidRPr="005D26F7">
        <w:rPr>
          <w:color w:val="000000" w:themeColor="text1"/>
        </w:rPr>
        <w:t>Trop Doct 2019. PMID</w:t>
      </w:r>
      <w:r w:rsidRPr="005D26F7">
        <w:rPr>
          <w:rStyle w:val="apple-converted-space"/>
          <w:color w:val="000000" w:themeColor="text1"/>
        </w:rPr>
        <w:t> </w:t>
      </w:r>
      <w:r w:rsidRPr="005D26F7">
        <w:rPr>
          <w:rStyle w:val="docsum-pmid"/>
          <w:color w:val="000000" w:themeColor="text1"/>
        </w:rPr>
        <w:t>31291848</w:t>
      </w:r>
    </w:p>
    <w:p w14:paraId="6335A71F" w14:textId="77777777" w:rsidR="00641002" w:rsidRPr="00F21562" w:rsidRDefault="00641002" w:rsidP="007903A1">
      <w:pPr>
        <w:pStyle w:val="ListParagraph"/>
        <w:rPr>
          <w:lang w:val="en-IN" w:eastAsia="en-GB"/>
        </w:rPr>
      </w:pPr>
    </w:p>
    <w:p w14:paraId="79D97F7A"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1ACF78C1"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6B0B22FA"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19DC5C69"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53751FCC"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0D3B403C" w14:textId="77777777" w:rsidR="00641002" w:rsidRDefault="00641002" w:rsidP="00771503">
      <w:pPr>
        <w:pStyle w:val="Default"/>
        <w:spacing w:after="200"/>
        <w:jc w:val="both"/>
        <w:rPr>
          <w:rFonts w:ascii="Times New Roman" w:eastAsia="Times New Roman" w:hAnsi="Times New Roman" w:cs="Times New Roman"/>
          <w:b/>
          <w:sz w:val="24"/>
          <w:szCs w:val="24"/>
        </w:rPr>
      </w:pPr>
    </w:p>
    <w:p w14:paraId="37002C0B"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3AC9C854"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10CF4699"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370A24D3"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23960FF7"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4A9A2940"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414C8207"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3E46E20D"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782F8C4B"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78B9565D"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3BE26FCC"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6DAC40EA"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20930FC9"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305D5185"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1D4A98E9"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066A5723"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0545B335" w14:textId="77777777" w:rsidR="005D26F7" w:rsidRDefault="005D26F7" w:rsidP="00771503">
      <w:pPr>
        <w:pStyle w:val="Default"/>
        <w:spacing w:after="200"/>
        <w:jc w:val="both"/>
        <w:rPr>
          <w:rFonts w:ascii="Times New Roman" w:eastAsia="Times New Roman" w:hAnsi="Times New Roman" w:cs="Times New Roman"/>
          <w:b/>
          <w:sz w:val="24"/>
          <w:szCs w:val="24"/>
        </w:rPr>
      </w:pPr>
    </w:p>
    <w:p w14:paraId="51FC1DA6" w14:textId="1DB35EB9" w:rsidR="00771503" w:rsidRPr="00771503" w:rsidRDefault="00771503" w:rsidP="00771503">
      <w:pPr>
        <w:pStyle w:val="Default"/>
        <w:spacing w:after="200"/>
        <w:jc w:val="both"/>
        <w:rPr>
          <w:rFonts w:ascii="Times New Roman" w:eastAsia="Times New Roman" w:hAnsi="Times New Roman" w:cs="Times New Roman"/>
          <w:b/>
          <w:sz w:val="24"/>
          <w:szCs w:val="24"/>
        </w:rPr>
      </w:pPr>
      <w:r w:rsidRPr="00771503">
        <w:rPr>
          <w:rFonts w:ascii="Times New Roman" w:eastAsia="Times New Roman" w:hAnsi="Times New Roman" w:cs="Times New Roman"/>
          <w:b/>
          <w:sz w:val="24"/>
          <w:szCs w:val="24"/>
        </w:rPr>
        <w:lastRenderedPageBreak/>
        <w:t>Biography:</w:t>
      </w:r>
    </w:p>
    <w:p w14:paraId="500A3821" w14:textId="77777777" w:rsidR="00771503" w:rsidRPr="00771503" w:rsidRDefault="00771503" w:rsidP="00771503">
      <w:pPr>
        <w:pStyle w:val="Default"/>
        <w:spacing w:after="200"/>
        <w:jc w:val="both"/>
        <w:rPr>
          <w:rFonts w:ascii="Times New Roman" w:hAnsi="Times New Roman" w:cs="Times New Roman"/>
          <w:bCs/>
          <w:sz w:val="24"/>
          <w:szCs w:val="24"/>
          <w:u w:color="000000"/>
        </w:rPr>
      </w:pPr>
      <w:r w:rsidRPr="00771503">
        <w:rPr>
          <w:rFonts w:ascii="Times New Roman" w:eastAsia="Times New Roman" w:hAnsi="Times New Roman" w:cs="Times New Roman"/>
          <w:sz w:val="24"/>
          <w:szCs w:val="24"/>
        </w:rPr>
        <w:t>The author, Gautam Lokdarshi, MD, is working as Assistant Professor in the Department of Ophthalmology, All India Institute of Medical Sciences, Patna, India. He has completed his Senior Residency in the Oculoplasty and Strabismus subspecialty from Dr. R. P. Center for Ophthalmic Sciences, New Delhi, India. He is fellow of International Council of Ophthalmology in Oculoplasty subspecialty. He has received Best paper award for his work on Sentinel node biopsy in eyelid malignancy in APSOPRS, which was published twice in American Journal of Ophthalmology.</w:t>
      </w:r>
    </w:p>
    <w:p w14:paraId="1E3AD4A2" w14:textId="77777777" w:rsidR="00771503" w:rsidRPr="003B6683" w:rsidRDefault="00771503">
      <w:pPr>
        <w:pStyle w:val="BodyA"/>
        <w:rPr>
          <w:rFonts w:ascii="Times New Roman" w:hAnsi="Times New Roman" w:cs="Times New Roman"/>
          <w:sz w:val="24"/>
          <w:szCs w:val="24"/>
        </w:rPr>
      </w:pPr>
    </w:p>
    <w:sectPr w:rsidR="00771503" w:rsidRPr="003B6683">
      <w:headerReference w:type="default" r:id="rId9"/>
      <w:footerReference w:type="default" r:id="rId10"/>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84964" w14:textId="77777777" w:rsidR="009E317E" w:rsidRDefault="009E317E">
      <w:r>
        <w:separator/>
      </w:r>
    </w:p>
  </w:endnote>
  <w:endnote w:type="continuationSeparator" w:id="0">
    <w:p w14:paraId="7FCFC590" w14:textId="77777777" w:rsidR="009E317E" w:rsidRDefault="009E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76C0A" w14:textId="77777777" w:rsidR="008A3A1E" w:rsidRDefault="008A3A1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B7E4E" w14:textId="77777777" w:rsidR="009E317E" w:rsidRDefault="009E317E">
      <w:r>
        <w:separator/>
      </w:r>
    </w:p>
  </w:footnote>
  <w:footnote w:type="continuationSeparator" w:id="0">
    <w:p w14:paraId="0E6D303F" w14:textId="77777777" w:rsidR="009E317E" w:rsidRDefault="009E3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3D059" w14:textId="77777777" w:rsidR="008A3A1E" w:rsidRDefault="008A3A1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7E727D"/>
    <w:multiLevelType w:val="hybridMultilevel"/>
    <w:tmpl w:val="754E9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1E"/>
    <w:rsid w:val="00201EC3"/>
    <w:rsid w:val="003B6683"/>
    <w:rsid w:val="00400ED3"/>
    <w:rsid w:val="005D26F7"/>
    <w:rsid w:val="00641002"/>
    <w:rsid w:val="0073722B"/>
    <w:rsid w:val="00771503"/>
    <w:rsid w:val="007903A1"/>
    <w:rsid w:val="008A3A1E"/>
    <w:rsid w:val="009E317E"/>
    <w:rsid w:val="00CC08E8"/>
    <w:rsid w:val="00E80AC8"/>
    <w:rsid w:val="00EF2711"/>
    <w:rsid w:val="00F21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68DE1742"/>
  <w15:docId w15:val="{EC9C6E0C-D8AF-B748-83CC-C972F2A2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N"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link w:val="Heading1Char"/>
    <w:uiPriority w:val="9"/>
    <w:qFormat/>
    <w:rsid w:val="00400E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en-I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Neue" w:hAnsi="Helvetica Neue" w:cs="Arial Unicode MS"/>
      <w:color w:val="000000"/>
      <w:sz w:val="22"/>
      <w:szCs w:val="22"/>
      <w:u w:color="000000"/>
      <w:lang w:val="en-US"/>
    </w:rPr>
  </w:style>
  <w:style w:type="paragraph" w:customStyle="1" w:styleId="Default">
    <w:name w:val="Default"/>
    <w:rsid w:val="00771503"/>
    <w:rPr>
      <w:rFonts w:ascii="Helvetica Neue" w:hAnsi="Helvetica Neue" w:cs="Arial Unicode MS"/>
      <w:color w:val="000000"/>
      <w:sz w:val="22"/>
      <w:szCs w:val="22"/>
      <w:lang w:val="en-US" w:eastAsia="en-US"/>
    </w:rPr>
  </w:style>
  <w:style w:type="character" w:customStyle="1" w:styleId="apple-converted-space">
    <w:name w:val="apple-converted-space"/>
    <w:basedOn w:val="DefaultParagraphFont"/>
    <w:rsid w:val="00641002"/>
  </w:style>
  <w:style w:type="character" w:styleId="Emphasis">
    <w:name w:val="Emphasis"/>
    <w:basedOn w:val="DefaultParagraphFont"/>
    <w:uiPriority w:val="20"/>
    <w:qFormat/>
    <w:rsid w:val="00641002"/>
    <w:rPr>
      <w:i/>
      <w:iCs/>
    </w:rPr>
  </w:style>
  <w:style w:type="character" w:customStyle="1" w:styleId="docsum-pmid">
    <w:name w:val="docsum-pmid"/>
    <w:basedOn w:val="DefaultParagraphFont"/>
    <w:rsid w:val="00641002"/>
  </w:style>
  <w:style w:type="paragraph" w:styleId="ListParagraph">
    <w:name w:val="List Paragraph"/>
    <w:basedOn w:val="Normal"/>
    <w:uiPriority w:val="34"/>
    <w:qFormat/>
    <w:rsid w:val="00641002"/>
    <w:pPr>
      <w:ind w:left="720"/>
      <w:contextualSpacing/>
    </w:pPr>
  </w:style>
  <w:style w:type="character" w:styleId="FollowedHyperlink">
    <w:name w:val="FollowedHyperlink"/>
    <w:basedOn w:val="DefaultParagraphFont"/>
    <w:uiPriority w:val="99"/>
    <w:semiHidden/>
    <w:unhideWhenUsed/>
    <w:rsid w:val="00641002"/>
    <w:rPr>
      <w:color w:val="FF00FF" w:themeColor="followedHyperlink"/>
      <w:u w:val="single"/>
    </w:rPr>
  </w:style>
  <w:style w:type="character" w:customStyle="1" w:styleId="Heading1Char">
    <w:name w:val="Heading 1 Char"/>
    <w:basedOn w:val="DefaultParagraphFont"/>
    <w:link w:val="Heading1"/>
    <w:uiPriority w:val="9"/>
    <w:rsid w:val="00400ED3"/>
    <w:rPr>
      <w:rFonts w:eastAsia="Times New Roman"/>
      <w:b/>
      <w:bCs/>
      <w:kern w:val="36"/>
      <w:sz w:val="48"/>
      <w:szCs w:val="4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342377">
      <w:bodyDiv w:val="1"/>
      <w:marLeft w:val="0"/>
      <w:marRight w:val="0"/>
      <w:marTop w:val="0"/>
      <w:marBottom w:val="0"/>
      <w:divBdr>
        <w:top w:val="none" w:sz="0" w:space="0" w:color="auto"/>
        <w:left w:val="none" w:sz="0" w:space="0" w:color="auto"/>
        <w:bottom w:val="none" w:sz="0" w:space="0" w:color="auto"/>
        <w:right w:val="none" w:sz="0" w:space="0" w:color="auto"/>
      </w:divBdr>
    </w:div>
    <w:div w:id="586042932">
      <w:bodyDiv w:val="1"/>
      <w:marLeft w:val="0"/>
      <w:marRight w:val="0"/>
      <w:marTop w:val="0"/>
      <w:marBottom w:val="0"/>
      <w:divBdr>
        <w:top w:val="none" w:sz="0" w:space="0" w:color="auto"/>
        <w:left w:val="none" w:sz="0" w:space="0" w:color="auto"/>
        <w:bottom w:val="none" w:sz="0" w:space="0" w:color="auto"/>
        <w:right w:val="none" w:sz="0" w:space="0" w:color="auto"/>
      </w:divBdr>
      <w:divsChild>
        <w:div w:id="1782216930">
          <w:marLeft w:val="0"/>
          <w:marRight w:val="0"/>
          <w:marTop w:val="0"/>
          <w:marBottom w:val="0"/>
          <w:divBdr>
            <w:top w:val="none" w:sz="0" w:space="0" w:color="auto"/>
            <w:left w:val="none" w:sz="0" w:space="0" w:color="auto"/>
            <w:bottom w:val="none" w:sz="0" w:space="0" w:color="auto"/>
            <w:right w:val="none" w:sz="0" w:space="0" w:color="auto"/>
          </w:divBdr>
        </w:div>
      </w:divsChild>
    </w:div>
    <w:div w:id="1158427350">
      <w:bodyDiv w:val="1"/>
      <w:marLeft w:val="0"/>
      <w:marRight w:val="0"/>
      <w:marTop w:val="0"/>
      <w:marBottom w:val="0"/>
      <w:divBdr>
        <w:top w:val="none" w:sz="0" w:space="0" w:color="auto"/>
        <w:left w:val="none" w:sz="0" w:space="0" w:color="auto"/>
        <w:bottom w:val="none" w:sz="0" w:space="0" w:color="auto"/>
        <w:right w:val="none" w:sz="0" w:space="0" w:color="auto"/>
      </w:divBdr>
      <w:divsChild>
        <w:div w:id="668558932">
          <w:marLeft w:val="0"/>
          <w:marRight w:val="0"/>
          <w:marTop w:val="0"/>
          <w:marBottom w:val="0"/>
          <w:divBdr>
            <w:top w:val="none" w:sz="0" w:space="0" w:color="auto"/>
            <w:left w:val="none" w:sz="0" w:space="0" w:color="auto"/>
            <w:bottom w:val="none" w:sz="0" w:space="0" w:color="auto"/>
            <w:right w:val="none" w:sz="0" w:space="0" w:color="auto"/>
          </w:divBdr>
        </w:div>
      </w:divsChild>
    </w:div>
    <w:div w:id="1223981953">
      <w:bodyDiv w:val="1"/>
      <w:marLeft w:val="0"/>
      <w:marRight w:val="0"/>
      <w:marTop w:val="0"/>
      <w:marBottom w:val="0"/>
      <w:divBdr>
        <w:top w:val="none" w:sz="0" w:space="0" w:color="auto"/>
        <w:left w:val="none" w:sz="0" w:space="0" w:color="auto"/>
        <w:bottom w:val="none" w:sz="0" w:space="0" w:color="auto"/>
        <w:right w:val="none" w:sz="0" w:space="0" w:color="auto"/>
      </w:divBdr>
    </w:div>
    <w:div w:id="1547253774">
      <w:bodyDiv w:val="1"/>
      <w:marLeft w:val="0"/>
      <w:marRight w:val="0"/>
      <w:marTop w:val="0"/>
      <w:marBottom w:val="0"/>
      <w:divBdr>
        <w:top w:val="none" w:sz="0" w:space="0" w:color="auto"/>
        <w:left w:val="none" w:sz="0" w:space="0" w:color="auto"/>
        <w:bottom w:val="none" w:sz="0" w:space="0" w:color="auto"/>
        <w:right w:val="none" w:sz="0" w:space="0" w:color="auto"/>
      </w:divBdr>
      <w:divsChild>
        <w:div w:id="1953635285">
          <w:marLeft w:val="0"/>
          <w:marRight w:val="0"/>
          <w:marTop w:val="0"/>
          <w:marBottom w:val="0"/>
          <w:divBdr>
            <w:top w:val="none" w:sz="0" w:space="0" w:color="auto"/>
            <w:left w:val="none" w:sz="0" w:space="0" w:color="auto"/>
            <w:bottom w:val="none" w:sz="0" w:space="0" w:color="auto"/>
            <w:right w:val="none" w:sz="0" w:space="0" w:color="auto"/>
          </w:divBdr>
        </w:div>
      </w:divsChild>
    </w:div>
    <w:div w:id="1789856388">
      <w:bodyDiv w:val="1"/>
      <w:marLeft w:val="0"/>
      <w:marRight w:val="0"/>
      <w:marTop w:val="0"/>
      <w:marBottom w:val="0"/>
      <w:divBdr>
        <w:top w:val="none" w:sz="0" w:space="0" w:color="auto"/>
        <w:left w:val="none" w:sz="0" w:space="0" w:color="auto"/>
        <w:bottom w:val="none" w:sz="0" w:space="0" w:color="auto"/>
        <w:right w:val="none" w:sz="0" w:space="0" w:color="auto"/>
      </w:divBdr>
      <w:divsChild>
        <w:div w:id="453793174">
          <w:marLeft w:val="0"/>
          <w:marRight w:val="0"/>
          <w:marTop w:val="0"/>
          <w:marBottom w:val="0"/>
          <w:divBdr>
            <w:top w:val="none" w:sz="0" w:space="0" w:color="auto"/>
            <w:left w:val="none" w:sz="0" w:space="0" w:color="auto"/>
            <w:bottom w:val="none" w:sz="0" w:space="0" w:color="auto"/>
            <w:right w:val="none" w:sz="0" w:space="0" w:color="auto"/>
          </w:divBdr>
        </w:div>
      </w:divsChild>
    </w:div>
    <w:div w:id="1849828019">
      <w:bodyDiv w:val="1"/>
      <w:marLeft w:val="0"/>
      <w:marRight w:val="0"/>
      <w:marTop w:val="0"/>
      <w:marBottom w:val="0"/>
      <w:divBdr>
        <w:top w:val="none" w:sz="0" w:space="0" w:color="auto"/>
        <w:left w:val="none" w:sz="0" w:space="0" w:color="auto"/>
        <w:bottom w:val="none" w:sz="0" w:space="0" w:color="auto"/>
        <w:right w:val="none" w:sz="0" w:space="0" w:color="auto"/>
      </w:divBdr>
      <w:divsChild>
        <w:div w:id="7078754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1291848/?from_term=CBNAAT&amp;from_filter=ds1.y_10&amp;from_page=2&amp;from_pos=2" TargetMode="External"/><Relationship Id="rId3" Type="http://schemas.openxmlformats.org/officeDocument/2006/relationships/settings" Target="settings.xml"/><Relationship Id="rId7" Type="http://schemas.openxmlformats.org/officeDocument/2006/relationships/hyperlink" Target="https://pubmed.ncbi.nlm.nih.gov/30142013/?from_term=lacrimal+sac+tuberculosis+&amp;from_filter=ds1.y_1&amp;from_pos=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Gautam Lokdarshi</cp:lastModifiedBy>
  <cp:revision>12</cp:revision>
  <dcterms:created xsi:type="dcterms:W3CDTF">2020-02-04T15:45:00Z</dcterms:created>
  <dcterms:modified xsi:type="dcterms:W3CDTF">2020-02-04T16:29:00Z</dcterms:modified>
</cp:coreProperties>
</file>