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ambria" w:cs="Cambria" w:eastAsia="Cambria" w:hAnsi="Cambria"/>
          <w:b w:val="1"/>
        </w:rPr>
      </w:pPr>
      <w:r w:rsidDel="00000000" w:rsidR="00000000" w:rsidRPr="00000000">
        <w:rPr>
          <w:rFonts w:ascii="Cambria" w:cs="Cambria" w:eastAsia="Cambria" w:hAnsi="Cambria"/>
          <w:b w:val="1"/>
          <w:rtl w:val="0"/>
        </w:rPr>
        <w:t xml:space="preserve">An audit of the initial management of neutropenic sepsis: outcomes at an acute district general hospital</w:t>
      </w:r>
    </w:p>
    <w:p w:rsidR="00000000" w:rsidDel="00000000" w:rsidP="00000000" w:rsidRDefault="00000000" w:rsidRPr="00000000" w14:paraId="00000002">
      <w:pPr>
        <w:rPr>
          <w:rFonts w:ascii="Cambria" w:cs="Cambria" w:eastAsia="Cambria" w:hAnsi="Cambria"/>
          <w:b w:val="1"/>
        </w:rPr>
      </w:pPr>
      <w:r w:rsidDel="00000000" w:rsidR="00000000" w:rsidRPr="00000000">
        <w:rPr>
          <w:rFonts w:ascii="Cambria" w:cs="Cambria" w:eastAsia="Cambria" w:hAnsi="Cambria"/>
          <w:b w:val="1"/>
          <w:rtl w:val="0"/>
        </w:rPr>
        <w:t xml:space="preserve">Abstract (600 word limit)</w:t>
      </w:r>
    </w:p>
    <w:p w:rsidR="00000000" w:rsidDel="00000000" w:rsidP="00000000" w:rsidRDefault="00000000" w:rsidRPr="00000000" w14:paraId="00000003">
      <w:pPr>
        <w:rPr>
          <w:rFonts w:ascii="Cambria" w:cs="Cambria" w:eastAsia="Cambria" w:hAnsi="Cambria"/>
        </w:rPr>
      </w:pPr>
      <w:r w:rsidDel="00000000" w:rsidR="00000000" w:rsidRPr="00000000">
        <w:rPr>
          <w:rtl w:val="0"/>
        </w:rPr>
      </w:r>
    </w:p>
    <w:p w:rsidR="00000000" w:rsidDel="00000000" w:rsidP="00000000" w:rsidRDefault="00000000" w:rsidRPr="00000000" w14:paraId="00000004">
      <w:pPr>
        <w:rPr>
          <w:rFonts w:ascii="Cambria" w:cs="Cambria" w:eastAsia="Cambria" w:hAnsi="Cambria"/>
        </w:rPr>
      </w:pPr>
      <w:r w:rsidDel="00000000" w:rsidR="00000000" w:rsidRPr="00000000">
        <w:rPr>
          <w:rFonts w:ascii="Cambria" w:cs="Cambria" w:eastAsia="Cambria" w:hAnsi="Cambria"/>
          <w:rtl w:val="0"/>
        </w:rPr>
        <w:t xml:space="preserve">Dr Leah Heredia</w:t>
      </w:r>
    </w:p>
    <w:p w:rsidR="00000000" w:rsidDel="00000000" w:rsidP="00000000" w:rsidRDefault="00000000" w:rsidRPr="00000000" w14:paraId="00000005">
      <w:pPr>
        <w:rPr>
          <w:rFonts w:ascii="Cambria" w:cs="Cambria" w:eastAsia="Cambria" w:hAnsi="Cambria"/>
        </w:rPr>
      </w:pPr>
      <w:r w:rsidDel="00000000" w:rsidR="00000000" w:rsidRPr="00000000">
        <w:rPr>
          <w:rFonts w:ascii="Cambria" w:cs="Cambria" w:eastAsia="Cambria" w:hAnsi="Cambria"/>
          <w:rtl w:val="0"/>
        </w:rPr>
        <w:t xml:space="preserve">Wye Valley Trust, United Kingdom</w:t>
      </w:r>
    </w:p>
    <w:p w:rsidR="00000000" w:rsidDel="00000000" w:rsidP="00000000" w:rsidRDefault="00000000" w:rsidRPr="00000000" w14:paraId="00000006">
      <w:pPr>
        <w:jc w:val="both"/>
        <w:rPr>
          <w:rFonts w:ascii="Cambria" w:cs="Cambria" w:eastAsia="Cambria" w:hAnsi="Cambria"/>
          <w:b w:val="1"/>
        </w:rPr>
      </w:pPr>
      <w:r w:rsidDel="00000000" w:rsidR="00000000" w:rsidRPr="00000000">
        <w:rPr>
          <w:rtl w:val="0"/>
        </w:rPr>
      </w:r>
    </w:p>
    <w:p w:rsidR="00000000" w:rsidDel="00000000" w:rsidP="00000000" w:rsidRDefault="00000000" w:rsidRPr="00000000" w14:paraId="00000007">
      <w:pPr>
        <w:jc w:val="both"/>
        <w:rPr>
          <w:rFonts w:ascii="Cambria" w:cs="Cambria" w:eastAsia="Cambria" w:hAnsi="Cambria"/>
        </w:rPr>
      </w:pPr>
      <w:r w:rsidDel="00000000" w:rsidR="00000000" w:rsidRPr="00000000">
        <w:rPr>
          <w:rFonts w:ascii="Cambria" w:cs="Cambria" w:eastAsia="Cambria" w:hAnsi="Cambria"/>
          <w:b w:val="1"/>
          <w:rtl w:val="0"/>
        </w:rPr>
        <w:t xml:space="preserve">Background: </w:t>
      </w:r>
      <w:r w:rsidDel="00000000" w:rsidR="00000000" w:rsidRPr="00000000">
        <w:rPr>
          <w:rFonts w:ascii="Cambria" w:cs="Cambria" w:eastAsia="Cambria" w:hAnsi="Cambria"/>
          <w:rtl w:val="0"/>
        </w:rPr>
        <w:t xml:space="preserve">Neutropenic sepsis (NS) is a life-threatening emergency with mortality rates ranging from 2-21%</w:t>
      </w:r>
      <w:r w:rsidDel="00000000" w:rsidR="00000000" w:rsidRPr="00000000">
        <w:rPr>
          <w:rFonts w:ascii="Arial" w:cs="Arial" w:eastAsia="Arial" w:hAnsi="Arial"/>
          <w:sz w:val="20"/>
          <w:szCs w:val="20"/>
          <w:rtl w:val="0"/>
        </w:rPr>
        <w:t xml:space="preserve">¹</w:t>
      </w:r>
      <w:r w:rsidDel="00000000" w:rsidR="00000000" w:rsidRPr="00000000">
        <w:rPr>
          <w:rFonts w:ascii="Cambria" w:cs="Cambria" w:eastAsia="Cambria" w:hAnsi="Cambria"/>
          <w:rtl w:val="0"/>
        </w:rPr>
        <w:t xml:space="preserve">. It is one of the most common complications of cytotoxic chemotherapy with rising national incidence</w:t>
      </w:r>
      <w:r w:rsidDel="00000000" w:rsidR="00000000" w:rsidRPr="00000000">
        <w:rPr>
          <w:rFonts w:ascii="Cambria" w:cs="Cambria" w:eastAsia="Cambria" w:hAnsi="Cambria"/>
          <w:rtl w:val="0"/>
        </w:rPr>
        <w:t xml:space="preserve">²</w:t>
      </w:r>
      <w:r w:rsidDel="00000000" w:rsidR="00000000" w:rsidRPr="00000000">
        <w:rPr>
          <w:rFonts w:ascii="Cambria" w:cs="Cambria" w:eastAsia="Cambria" w:hAnsi="Cambria"/>
          <w:rtl w:val="0"/>
        </w:rPr>
        <w:t xml:space="preserve">. As patients can rapidly deteriorate, appropriate initial management of NS is an area of clinical importance evidenced to directly affect recovery prognosis</w:t>
      </w:r>
      <w:r w:rsidDel="00000000" w:rsidR="00000000" w:rsidRPr="00000000">
        <w:rPr>
          <w:rFonts w:ascii="Cambria" w:cs="Cambria" w:eastAsia="Cambria" w:hAnsi="Cambria"/>
          <w:color w:val="231f20"/>
          <w:highlight w:val="white"/>
          <w:rtl w:val="0"/>
        </w:rPr>
        <w:t xml:space="preserve">³</w:t>
      </w:r>
      <w:r w:rsidDel="00000000" w:rsidR="00000000" w:rsidRPr="00000000">
        <w:rPr>
          <w:rFonts w:ascii="Cambria" w:cs="Cambria" w:eastAsia="Cambria" w:hAnsi="Cambria"/>
          <w:rtl w:val="0"/>
        </w:rPr>
        <w:t xml:space="preserve">. Current NICE guidance stipulates the need for a clear and accessible neutropenic sepsis policy, immediate treatment with empiric antibiotics, patient risk stratification, and senior clinician review within 24 hours. This follows the 2008 National Confidential Enquiry into Patient Outcome and Death (NCEPOD) study [4] and subsequent National Chemotherapy Advisory Group (NCAG) report [5], which highlighted inadequacies in existing practice for NS: namely avoidable deaths due to missed diagnoses and delays in treatment initiation. The recommendations that followed included the development of local pathways and policies, and a 1 hour target ‘door-to-needle’ for the administration of antibiotics.</w:t>
      </w:r>
    </w:p>
    <w:p w:rsidR="00000000" w:rsidDel="00000000" w:rsidP="00000000" w:rsidRDefault="00000000" w:rsidRPr="00000000" w14:paraId="00000008">
      <w:pPr>
        <w:jc w:val="both"/>
        <w:rPr>
          <w:rFonts w:ascii="Cambria" w:cs="Cambria" w:eastAsia="Cambria" w:hAnsi="Cambria"/>
        </w:rPr>
      </w:pPr>
      <w:r w:rsidDel="00000000" w:rsidR="00000000" w:rsidRPr="00000000">
        <w:rPr>
          <w:rFonts w:ascii="Cambria" w:cs="Cambria" w:eastAsia="Cambria" w:hAnsi="Cambria"/>
          <w:b w:val="1"/>
          <w:rtl w:val="0"/>
        </w:rPr>
        <w:t xml:space="preserve">Aims: </w:t>
      </w:r>
      <w:r w:rsidDel="00000000" w:rsidR="00000000" w:rsidRPr="00000000">
        <w:rPr>
          <w:rFonts w:ascii="Cambria" w:cs="Cambria" w:eastAsia="Cambria" w:hAnsi="Cambria"/>
          <w:rtl w:val="0"/>
        </w:rPr>
        <w:t xml:space="preserve">This is a modified re-audit following guidance from the Royal College of Radiologists and NICE</w:t>
      </w:r>
      <w:r w:rsidDel="00000000" w:rsidR="00000000" w:rsidRPr="00000000">
        <w:rPr>
          <w:rFonts w:ascii="Cambria" w:cs="Cambria" w:eastAsia="Cambria" w:hAnsi="Cambria"/>
          <w:rtl w:val="0"/>
        </w:rPr>
        <w:t xml:space="preserve">¹⁴</w:t>
      </w:r>
      <w:r w:rsidDel="00000000" w:rsidR="00000000" w:rsidRPr="00000000">
        <w:rPr>
          <w:rFonts w:ascii="Cambria" w:cs="Cambria" w:eastAsia="Cambria" w:hAnsi="Cambria"/>
          <w:rtl w:val="0"/>
        </w:rPr>
        <w:t xml:space="preserve">. We evaluate the following primary outcomes at Hereford County Hospital (HCH)'s Emergency Department (ED):</w:t>
      </w:r>
    </w:p>
    <w:p w:rsidR="00000000" w:rsidDel="00000000" w:rsidP="00000000" w:rsidRDefault="00000000" w:rsidRPr="00000000" w14:paraId="00000009">
      <w:pPr>
        <w:numPr>
          <w:ilvl w:val="0"/>
          <w:numId w:val="1"/>
        </w:numPr>
        <w:spacing w:after="0" w:afterAutospacing="0"/>
        <w:ind w:left="720" w:hanging="360"/>
        <w:jc w:val="both"/>
        <w:rPr>
          <w:rFonts w:ascii="Cambria" w:cs="Cambria" w:eastAsia="Cambria" w:hAnsi="Cambria"/>
          <w:u w:val="none"/>
        </w:rPr>
      </w:pPr>
      <w:r w:rsidDel="00000000" w:rsidR="00000000" w:rsidRPr="00000000">
        <w:rPr>
          <w:rFonts w:ascii="Cambria" w:cs="Cambria" w:eastAsia="Cambria" w:hAnsi="Cambria"/>
          <w:rtl w:val="0"/>
        </w:rPr>
        <w:t xml:space="preserve">Initial blood cultures, FBC, U&amp;Es, CRP, lactate</w:t>
      </w:r>
    </w:p>
    <w:p w:rsidR="00000000" w:rsidDel="00000000" w:rsidP="00000000" w:rsidRDefault="00000000" w:rsidRPr="00000000" w14:paraId="0000000A">
      <w:pPr>
        <w:numPr>
          <w:ilvl w:val="0"/>
          <w:numId w:val="1"/>
        </w:numPr>
        <w:spacing w:after="0" w:afterAutospacing="0"/>
        <w:ind w:left="720" w:hanging="360"/>
        <w:jc w:val="both"/>
        <w:rPr>
          <w:rFonts w:ascii="Cambria" w:cs="Cambria" w:eastAsia="Cambria" w:hAnsi="Cambria"/>
          <w:u w:val="none"/>
        </w:rPr>
      </w:pPr>
      <w:r w:rsidDel="00000000" w:rsidR="00000000" w:rsidRPr="00000000">
        <w:rPr>
          <w:rFonts w:ascii="Cambria" w:cs="Cambria" w:eastAsia="Cambria" w:hAnsi="Cambria"/>
          <w:rtl w:val="0"/>
        </w:rPr>
        <w:t xml:space="preserve">Documentation of initial observations </w:t>
      </w:r>
    </w:p>
    <w:p w:rsidR="00000000" w:rsidDel="00000000" w:rsidP="00000000" w:rsidRDefault="00000000" w:rsidRPr="00000000" w14:paraId="0000000B">
      <w:pPr>
        <w:numPr>
          <w:ilvl w:val="0"/>
          <w:numId w:val="1"/>
        </w:numPr>
        <w:spacing w:after="0" w:afterAutospacing="0"/>
        <w:ind w:left="720" w:hanging="360"/>
        <w:jc w:val="both"/>
        <w:rPr>
          <w:rFonts w:ascii="Cambria" w:cs="Cambria" w:eastAsia="Cambria" w:hAnsi="Cambria"/>
          <w:u w:val="none"/>
        </w:rPr>
      </w:pPr>
      <w:r w:rsidDel="00000000" w:rsidR="00000000" w:rsidRPr="00000000">
        <w:rPr>
          <w:rFonts w:ascii="Cambria" w:cs="Cambria" w:eastAsia="Cambria" w:hAnsi="Cambria"/>
          <w:rtl w:val="0"/>
        </w:rPr>
        <w:t xml:space="preserve">1 hour ‘door-to-needle’ time with empiric antibiotics</w:t>
      </w:r>
    </w:p>
    <w:p w:rsidR="00000000" w:rsidDel="00000000" w:rsidP="00000000" w:rsidRDefault="00000000" w:rsidRPr="00000000" w14:paraId="0000000C">
      <w:pPr>
        <w:numPr>
          <w:ilvl w:val="0"/>
          <w:numId w:val="1"/>
        </w:numPr>
        <w:ind w:left="720" w:hanging="360"/>
        <w:jc w:val="both"/>
        <w:rPr>
          <w:rFonts w:ascii="Cambria" w:cs="Cambria" w:eastAsia="Cambria" w:hAnsi="Cambria"/>
          <w:u w:val="none"/>
        </w:rPr>
      </w:pPr>
      <w:r w:rsidDel="00000000" w:rsidR="00000000" w:rsidRPr="00000000">
        <w:rPr>
          <w:rFonts w:ascii="Cambria" w:cs="Cambria" w:eastAsia="Cambria" w:hAnsi="Cambria"/>
          <w:rtl w:val="0"/>
        </w:rPr>
        <w:t xml:space="preserve">Review by a senior clinician within 24 hours </w:t>
      </w:r>
    </w:p>
    <w:p w:rsidR="00000000" w:rsidDel="00000000" w:rsidP="00000000" w:rsidRDefault="00000000" w:rsidRPr="00000000" w14:paraId="0000000D">
      <w:pPr>
        <w:jc w:val="both"/>
        <w:rPr>
          <w:rFonts w:ascii="Cambria" w:cs="Cambria" w:eastAsia="Cambria" w:hAnsi="Cambria"/>
        </w:rPr>
      </w:pPr>
      <w:r w:rsidDel="00000000" w:rsidR="00000000" w:rsidRPr="00000000">
        <w:rPr>
          <w:rFonts w:ascii="Cambria" w:cs="Cambria" w:eastAsia="Cambria" w:hAnsi="Cambria"/>
          <w:b w:val="1"/>
          <w:rtl w:val="0"/>
        </w:rPr>
        <w:t xml:space="preserve">Methods: </w:t>
      </w:r>
      <w:r w:rsidDel="00000000" w:rsidR="00000000" w:rsidRPr="00000000">
        <w:rPr>
          <w:rFonts w:ascii="Cambria" w:cs="Cambria" w:eastAsia="Cambria" w:hAnsi="Cambria"/>
          <w:rtl w:val="0"/>
        </w:rPr>
        <w:t xml:space="preserve">Retrospective data was collected from Maxims, EPMA, Symphony, and paper notes on all 51 patients coded as suspected/diagnosed NS between 01/01/2022 and 31/12/2022. Exclusions included incorrectly coded patients, and direct medical admissions that were not assessed in ED. 38 patients were included in analysis.</w:t>
      </w:r>
    </w:p>
    <w:p w:rsidR="00000000" w:rsidDel="00000000" w:rsidP="00000000" w:rsidRDefault="00000000" w:rsidRPr="00000000" w14:paraId="0000000E">
      <w:pPr>
        <w:jc w:val="both"/>
        <w:rPr>
          <w:rFonts w:ascii="Cambria" w:cs="Cambria" w:eastAsia="Cambria" w:hAnsi="Cambria"/>
          <w:b w:val="1"/>
        </w:rPr>
      </w:pPr>
      <w:r w:rsidDel="00000000" w:rsidR="00000000" w:rsidRPr="00000000">
        <w:rPr>
          <w:rFonts w:ascii="Cambria" w:cs="Cambria" w:eastAsia="Cambria" w:hAnsi="Cambria"/>
          <w:b w:val="1"/>
          <w:rtl w:val="0"/>
        </w:rPr>
        <w:t xml:space="preserve">Results:</w:t>
      </w:r>
    </w:p>
    <w:p w:rsidR="00000000" w:rsidDel="00000000" w:rsidP="00000000" w:rsidRDefault="00000000" w:rsidRPr="00000000" w14:paraId="0000000F">
      <w:pPr>
        <w:jc w:val="both"/>
        <w:rPr>
          <w:rFonts w:ascii="Cambria" w:cs="Cambria" w:eastAsia="Cambria" w:hAnsi="Cambria"/>
        </w:rPr>
      </w:pPr>
      <w:r w:rsidDel="00000000" w:rsidR="00000000" w:rsidRPr="00000000">
        <w:rPr>
          <w:rFonts w:ascii="Cambria" w:cs="Cambria" w:eastAsia="Cambria" w:hAnsi="Cambria"/>
          <w:rtl w:val="0"/>
        </w:rPr>
        <w:t xml:space="preserve">Primary outcomes:</w:t>
      </w:r>
    </w:p>
    <w:p w:rsidR="00000000" w:rsidDel="00000000" w:rsidP="00000000" w:rsidRDefault="00000000" w:rsidRPr="00000000" w14:paraId="00000010">
      <w:pPr>
        <w:numPr>
          <w:ilvl w:val="0"/>
          <w:numId w:val="3"/>
        </w:numPr>
        <w:spacing w:after="0" w:afterAutospacing="0"/>
        <w:ind w:left="720" w:hanging="360"/>
        <w:jc w:val="both"/>
        <w:rPr>
          <w:rFonts w:ascii="Cambria" w:cs="Cambria" w:eastAsia="Cambria" w:hAnsi="Cambria"/>
          <w:u w:val="none"/>
        </w:rPr>
      </w:pPr>
      <w:r w:rsidDel="00000000" w:rsidR="00000000" w:rsidRPr="00000000">
        <w:rPr>
          <w:rFonts w:ascii="Cambria" w:cs="Cambria" w:eastAsia="Cambria" w:hAnsi="Cambria"/>
          <w:rtl w:val="0"/>
        </w:rPr>
        <w:t xml:space="preserve">58% of patients had full initial bloodwork</w:t>
      </w:r>
    </w:p>
    <w:p w:rsidR="00000000" w:rsidDel="00000000" w:rsidP="00000000" w:rsidRDefault="00000000" w:rsidRPr="00000000" w14:paraId="00000011">
      <w:pPr>
        <w:numPr>
          <w:ilvl w:val="0"/>
          <w:numId w:val="3"/>
        </w:numPr>
        <w:spacing w:after="0" w:afterAutospacing="0"/>
        <w:ind w:left="720" w:hanging="360"/>
        <w:jc w:val="both"/>
        <w:rPr>
          <w:rFonts w:ascii="Cambria" w:cs="Cambria" w:eastAsia="Cambria" w:hAnsi="Cambria"/>
          <w:u w:val="none"/>
        </w:rPr>
      </w:pPr>
      <w:r w:rsidDel="00000000" w:rsidR="00000000" w:rsidRPr="00000000">
        <w:rPr>
          <w:rFonts w:ascii="Cambria" w:cs="Cambria" w:eastAsia="Cambria" w:hAnsi="Cambria"/>
          <w:rtl w:val="0"/>
        </w:rPr>
        <w:t xml:space="preserve">100% of patients had complete initial observations</w:t>
      </w:r>
    </w:p>
    <w:p w:rsidR="00000000" w:rsidDel="00000000" w:rsidP="00000000" w:rsidRDefault="00000000" w:rsidRPr="00000000" w14:paraId="00000012">
      <w:pPr>
        <w:numPr>
          <w:ilvl w:val="0"/>
          <w:numId w:val="3"/>
        </w:numPr>
        <w:spacing w:after="0" w:afterAutospacing="0"/>
        <w:ind w:left="720" w:hanging="360"/>
        <w:jc w:val="both"/>
        <w:rPr>
          <w:rFonts w:ascii="Cambria" w:cs="Cambria" w:eastAsia="Cambria" w:hAnsi="Cambria"/>
          <w:u w:val="none"/>
        </w:rPr>
      </w:pPr>
      <w:r w:rsidDel="00000000" w:rsidR="00000000" w:rsidRPr="00000000">
        <w:rPr>
          <w:rFonts w:ascii="Cambria" w:cs="Cambria" w:eastAsia="Cambria" w:hAnsi="Cambria"/>
          <w:rtl w:val="0"/>
        </w:rPr>
        <w:t xml:space="preserve">31% of patients met the 1 hour 'door-to-needle' target (presentation to administration)</w:t>
      </w:r>
    </w:p>
    <w:p w:rsidR="00000000" w:rsidDel="00000000" w:rsidP="00000000" w:rsidRDefault="00000000" w:rsidRPr="00000000" w14:paraId="00000013">
      <w:pPr>
        <w:numPr>
          <w:ilvl w:val="0"/>
          <w:numId w:val="3"/>
        </w:numPr>
        <w:ind w:left="720" w:hanging="360"/>
        <w:jc w:val="both"/>
        <w:rPr>
          <w:rFonts w:ascii="Cambria" w:cs="Cambria" w:eastAsia="Cambria" w:hAnsi="Cambria"/>
          <w:u w:val="none"/>
        </w:rPr>
      </w:pPr>
      <w:r w:rsidDel="00000000" w:rsidR="00000000" w:rsidRPr="00000000">
        <w:rPr>
          <w:rFonts w:ascii="Cambria" w:cs="Cambria" w:eastAsia="Cambria" w:hAnsi="Cambria"/>
          <w:rtl w:val="0"/>
        </w:rPr>
        <w:t xml:space="preserve">100% of patients met the 24 hour senior review target</w:t>
      </w:r>
    </w:p>
    <w:p w:rsidR="00000000" w:rsidDel="00000000" w:rsidP="00000000" w:rsidRDefault="00000000" w:rsidRPr="00000000" w14:paraId="00000014">
      <w:pPr>
        <w:jc w:val="both"/>
        <w:rPr>
          <w:rFonts w:ascii="Cambria" w:cs="Cambria" w:eastAsia="Cambria" w:hAnsi="Cambria"/>
        </w:rPr>
      </w:pPr>
      <w:r w:rsidDel="00000000" w:rsidR="00000000" w:rsidRPr="00000000">
        <w:rPr>
          <w:rFonts w:ascii="Cambria" w:cs="Cambria" w:eastAsia="Cambria" w:hAnsi="Cambria"/>
          <w:rtl w:val="0"/>
        </w:rPr>
        <w:t xml:space="preserve">Secondary outcomes:</w:t>
      </w:r>
    </w:p>
    <w:p w:rsidR="00000000" w:rsidDel="00000000" w:rsidP="00000000" w:rsidRDefault="00000000" w:rsidRPr="00000000" w14:paraId="00000015">
      <w:pPr>
        <w:numPr>
          <w:ilvl w:val="0"/>
          <w:numId w:val="2"/>
        </w:numPr>
        <w:spacing w:after="0" w:afterAutospacing="0"/>
        <w:ind w:left="720" w:hanging="360"/>
        <w:jc w:val="both"/>
        <w:rPr>
          <w:rFonts w:ascii="Cambria" w:cs="Cambria" w:eastAsia="Cambria" w:hAnsi="Cambria"/>
          <w:u w:val="none"/>
        </w:rPr>
      </w:pPr>
      <w:r w:rsidDel="00000000" w:rsidR="00000000" w:rsidRPr="00000000">
        <w:rPr>
          <w:rFonts w:ascii="Cambria" w:cs="Cambria" w:eastAsia="Cambria" w:hAnsi="Cambria"/>
          <w:rtl w:val="0"/>
        </w:rPr>
        <w:t xml:space="preserve">26% of patients met the NICE diagnostic criteria</w:t>
      </w:r>
    </w:p>
    <w:p w:rsidR="00000000" w:rsidDel="00000000" w:rsidP="00000000" w:rsidRDefault="00000000" w:rsidRPr="00000000" w14:paraId="00000016">
      <w:pPr>
        <w:numPr>
          <w:ilvl w:val="0"/>
          <w:numId w:val="2"/>
        </w:numPr>
        <w:spacing w:after="0" w:afterAutospacing="0"/>
        <w:ind w:left="720" w:hanging="360"/>
        <w:jc w:val="both"/>
        <w:rPr>
          <w:rFonts w:ascii="Cambria" w:cs="Cambria" w:eastAsia="Cambria" w:hAnsi="Cambria"/>
          <w:u w:val="none"/>
        </w:rPr>
      </w:pPr>
      <w:r w:rsidDel="00000000" w:rsidR="00000000" w:rsidRPr="00000000">
        <w:rPr>
          <w:rFonts w:ascii="Cambria" w:cs="Cambria" w:eastAsia="Cambria" w:hAnsi="Cambria"/>
          <w:rtl w:val="0"/>
        </w:rPr>
        <w:t xml:space="preserve">0% of patients were risk-assessed</w:t>
      </w:r>
    </w:p>
    <w:p w:rsidR="00000000" w:rsidDel="00000000" w:rsidP="00000000" w:rsidRDefault="00000000" w:rsidRPr="00000000" w14:paraId="00000017">
      <w:pPr>
        <w:numPr>
          <w:ilvl w:val="0"/>
          <w:numId w:val="2"/>
        </w:numPr>
        <w:ind w:left="720" w:hanging="360"/>
        <w:jc w:val="both"/>
        <w:rPr>
          <w:rFonts w:ascii="Cambria" w:cs="Cambria" w:eastAsia="Cambria" w:hAnsi="Cambria"/>
          <w:u w:val="none"/>
        </w:rPr>
      </w:pPr>
      <w:r w:rsidDel="00000000" w:rsidR="00000000" w:rsidRPr="00000000">
        <w:rPr>
          <w:rFonts w:ascii="Cambria" w:cs="Cambria" w:eastAsia="Cambria" w:hAnsi="Cambria"/>
          <w:rtl w:val="0"/>
        </w:rPr>
        <w:t xml:space="preserve">100% of patients' antibiotics were actioned appropriately where applicable</w:t>
      </w:r>
    </w:p>
    <w:p w:rsidR="00000000" w:rsidDel="00000000" w:rsidP="00000000" w:rsidRDefault="00000000" w:rsidRPr="00000000" w14:paraId="00000018">
      <w:pPr>
        <w:jc w:val="both"/>
        <w:rPr>
          <w:rFonts w:ascii="Cambria" w:cs="Cambria" w:eastAsia="Cambria" w:hAnsi="Cambria"/>
          <w:b w:val="1"/>
        </w:rPr>
      </w:pPr>
      <w:r w:rsidDel="00000000" w:rsidR="00000000" w:rsidRPr="00000000">
        <w:rPr>
          <w:rFonts w:ascii="Cambria" w:cs="Cambria" w:eastAsia="Cambria" w:hAnsi="Cambria"/>
          <w:b w:val="1"/>
          <w:rtl w:val="0"/>
        </w:rPr>
        <w:t xml:space="preserve">Conclusion</w:t>
      </w:r>
    </w:p>
    <w:p w:rsidR="00000000" w:rsidDel="00000000" w:rsidP="00000000" w:rsidRDefault="00000000" w:rsidRPr="00000000" w14:paraId="00000019">
      <w:pPr>
        <w:jc w:val="both"/>
        <w:rPr>
          <w:rFonts w:ascii="Cambria" w:cs="Cambria" w:eastAsia="Cambria" w:hAnsi="Cambria"/>
        </w:rPr>
      </w:pPr>
      <w:r w:rsidDel="00000000" w:rsidR="00000000" w:rsidRPr="00000000">
        <w:rPr>
          <w:rFonts w:ascii="Cambria" w:cs="Cambria" w:eastAsia="Cambria" w:hAnsi="Cambria"/>
          <w:rtl w:val="0"/>
        </w:rPr>
        <w:t xml:space="preserve">Accurate and safe recognition of low-risk patients could help reduce clinical burden amidst the current NHS pressures</w:t>
      </w:r>
      <w:r w:rsidDel="00000000" w:rsidR="00000000" w:rsidRPr="00000000">
        <w:rPr>
          <w:rFonts w:ascii="Arial" w:cs="Arial" w:eastAsia="Arial" w:hAnsi="Arial"/>
          <w:sz w:val="20"/>
          <w:szCs w:val="20"/>
          <w:rtl w:val="0"/>
        </w:rPr>
        <w:t xml:space="preserve">⁵⁶⁷</w:t>
      </w:r>
      <w:r w:rsidDel="00000000" w:rsidR="00000000" w:rsidRPr="00000000">
        <w:rPr>
          <w:rFonts w:ascii="Cambria" w:cs="Cambria" w:eastAsia="Cambria" w:hAnsi="Cambria"/>
          <w:rtl w:val="0"/>
        </w:rPr>
        <w:t xml:space="preserve">. 60% of patients received antibiotics within 1 hour of initial clinician contact, suggesting ED waiting times to see a doctor may be a significant factor in delay. While HCH ED has improved on all re-audited outcomes from 2021, significant inadequacies still exist in current practice for NS diagnosis and management compared to national guidance. We have produced an NS clinical care bundle to promote all aspects of safe care being covered. We have also recommended that patients on systemic anticancer therapy have documented alerts on electronic medical systems that flag them as high risk for NS. A final recommendation is that patients are advised at routine oncology appointments to bring pre-issued Macmillan cards with them to any ED attendances to reduce ‘door-to-needle’ time. We plan to re-audit once improvement measures are in place.</w:t>
      </w:r>
    </w:p>
    <w:p w:rsidR="00000000" w:rsidDel="00000000" w:rsidP="00000000" w:rsidRDefault="00000000" w:rsidRPr="00000000" w14:paraId="0000001A">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1B">
      <w:pPr>
        <w:jc w:val="both"/>
        <w:rPr>
          <w:rFonts w:ascii="Cambria" w:cs="Cambria" w:eastAsia="Cambria" w:hAnsi="Cambria"/>
          <w:b w:val="1"/>
        </w:rPr>
      </w:pPr>
      <w:r w:rsidDel="00000000" w:rsidR="00000000" w:rsidRPr="00000000">
        <w:rPr>
          <w:rFonts w:ascii="Cambria" w:cs="Cambria" w:eastAsia="Cambria" w:hAnsi="Cambria"/>
          <w:b w:val="1"/>
          <w:rtl w:val="0"/>
        </w:rPr>
        <w:t xml:space="preserve">Biography (200 word limit)</w:t>
      </w:r>
    </w:p>
    <w:p w:rsidR="00000000" w:rsidDel="00000000" w:rsidP="00000000" w:rsidRDefault="00000000" w:rsidRPr="00000000" w14:paraId="0000001C">
      <w:pPr>
        <w:jc w:val="both"/>
        <w:rPr>
          <w:rFonts w:ascii="Cambria" w:cs="Cambria" w:eastAsia="Cambria" w:hAnsi="Cambria"/>
        </w:rPr>
      </w:pPr>
      <w:r w:rsidDel="00000000" w:rsidR="00000000" w:rsidRPr="00000000">
        <w:rPr>
          <w:rFonts w:ascii="Cambria" w:cs="Cambria" w:eastAsia="Cambria" w:hAnsi="Cambria"/>
          <w:rtl w:val="0"/>
        </w:rPr>
        <w:t xml:space="preserve">Dr Leah Heredia MBChB is a doctor at Hereford County Hospital (HCH), Wye Valley Trust with a keen interest in oncology. She qualified at the University of Birmingham Medical School. This project was sponsored by Dr Ben Hicken, a consultant in acute medicine and the acute oncology lead for HCH, and completed with the assistance of Dr Gabrielle Marshall.</w:t>
      </w:r>
    </w:p>
    <w:p w:rsidR="00000000" w:rsidDel="00000000" w:rsidP="00000000" w:rsidRDefault="00000000" w:rsidRPr="00000000" w14:paraId="0000001D">
      <w:pPr>
        <w:rPr>
          <w:rFonts w:ascii="Cambria" w:cs="Cambria" w:eastAsia="Cambria" w:hAnsi="Cambria"/>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69751F"/>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3uExRiwKK0KM1/wqpXShFERWiAQ==">AMUW2mW9+GHa9smZ6hF98bMVUXDuChurPYoNL0hlgh++j9UCwoNcWM5Vlucdue/MdgwUGml5D55FvT4h+l+8KXTYCn2DunREuoa8iV4v019JIJV9TeR0ACA=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2022-06-03T05:37:00Z</dcterms:created>
  <dc:creator>Korukonda Anuja</dc:creator>
</cp:coreProperties>
</file>