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7AD" w:rsidRPr="006014D8" w:rsidRDefault="00204B0D" w:rsidP="00204B0D">
      <w:pPr>
        <w:jc w:val="center"/>
        <w:rPr>
          <w:rFonts w:cstheme="minorHAnsi"/>
          <w:b/>
          <w:bCs/>
          <w:lang w:val="en-US"/>
        </w:rPr>
      </w:pPr>
      <w:r w:rsidRPr="006014D8">
        <w:rPr>
          <w:rFonts w:cstheme="minorHAnsi"/>
          <w:b/>
          <w:bCs/>
          <w:lang w:val="en-US"/>
        </w:rPr>
        <w:t>Epidemiological, anatomo</w:t>
      </w:r>
      <w:r w:rsidR="00A377AD" w:rsidRPr="006014D8">
        <w:rPr>
          <w:rFonts w:cstheme="minorHAnsi"/>
          <w:b/>
          <w:bCs/>
          <w:lang w:val="en-US"/>
        </w:rPr>
        <w:t>clinical and current trends of</w:t>
      </w:r>
      <w:r w:rsidRPr="006014D8">
        <w:rPr>
          <w:rFonts w:cstheme="minorHAnsi"/>
          <w:b/>
          <w:bCs/>
          <w:lang w:val="en-US"/>
        </w:rPr>
        <w:t xml:space="preserve"> inflammatory breast cancer in Tunisia</w:t>
      </w:r>
    </w:p>
    <w:p w:rsidR="009939AF" w:rsidRPr="006014D8" w:rsidRDefault="009939AF" w:rsidP="002C4E5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Cs/>
          <w:lang w:val="en-US"/>
        </w:rPr>
      </w:pPr>
      <w:r w:rsidRPr="006014D8">
        <w:rPr>
          <w:rFonts w:eastAsia="Times New Roman" w:cstheme="minorHAnsi"/>
          <w:bCs/>
          <w:lang w:val="en-US"/>
        </w:rPr>
        <w:t>S. Ben Nasr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S. Karrit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N. Mahjoub</w:t>
      </w:r>
      <w:r w:rsidRPr="006014D8">
        <w:rPr>
          <w:rFonts w:eastAsia="Times New Roman" w:cstheme="minorHAnsi"/>
          <w:bCs/>
          <w:vertAlign w:val="superscript"/>
          <w:lang w:val="en-US"/>
        </w:rPr>
        <w:t>2</w:t>
      </w:r>
      <w:r w:rsidRPr="006014D8">
        <w:rPr>
          <w:rFonts w:eastAsia="Times New Roman" w:cstheme="minorHAnsi"/>
          <w:bCs/>
          <w:lang w:val="en-US"/>
        </w:rPr>
        <w:t>, A. Zribi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S. Fendri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J. Ayari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M. Balti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, A. Haddaoui</w:t>
      </w:r>
      <w:r w:rsidRPr="006014D8">
        <w:rPr>
          <w:rFonts w:eastAsia="Times New Roman" w:cstheme="minorHAnsi"/>
          <w:bCs/>
          <w:vertAlign w:val="superscript"/>
          <w:lang w:val="en-US"/>
        </w:rPr>
        <w:t>1</w:t>
      </w:r>
    </w:p>
    <w:p w:rsidR="009939AF" w:rsidRPr="006014D8" w:rsidRDefault="009939AF" w:rsidP="002C4E5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Cs/>
          <w:lang w:val="en-US"/>
        </w:rPr>
      </w:pPr>
      <w:r w:rsidRPr="006014D8">
        <w:rPr>
          <w:rFonts w:eastAsia="Times New Roman" w:cstheme="minorHAnsi"/>
          <w:bCs/>
          <w:vertAlign w:val="superscript"/>
          <w:lang w:val="en-US"/>
        </w:rPr>
        <w:t>1</w:t>
      </w:r>
      <w:r w:rsidRPr="006014D8">
        <w:rPr>
          <w:rFonts w:eastAsia="Times New Roman" w:cstheme="minorHAnsi"/>
          <w:bCs/>
          <w:lang w:val="en-US"/>
        </w:rPr>
        <w:t>Medical Oncology Department, Military Hospital of Tunis, Tunisia</w:t>
      </w:r>
    </w:p>
    <w:p w:rsidR="009939AF" w:rsidRPr="006014D8" w:rsidRDefault="009939AF" w:rsidP="002C4E5C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Cs/>
          <w:lang w:val="en-US"/>
        </w:rPr>
      </w:pPr>
      <w:r w:rsidRPr="006014D8">
        <w:rPr>
          <w:rFonts w:eastAsia="Times New Roman" w:cstheme="minorHAnsi"/>
          <w:bCs/>
          <w:vertAlign w:val="superscript"/>
          <w:lang w:val="en-US"/>
        </w:rPr>
        <w:t>2</w:t>
      </w:r>
      <w:r w:rsidRPr="006014D8">
        <w:rPr>
          <w:rFonts w:eastAsia="Times New Roman" w:cstheme="minorHAnsi"/>
          <w:bCs/>
          <w:lang w:val="en-US"/>
        </w:rPr>
        <w:t>Medical Oncology Department, Jendouba Hospital, Tunisia</w:t>
      </w:r>
    </w:p>
    <w:p w:rsidR="009939AF" w:rsidRPr="006014D8" w:rsidRDefault="009939AF" w:rsidP="00006541">
      <w:pPr>
        <w:rPr>
          <w:rFonts w:cstheme="minorHAnsi"/>
          <w:b/>
          <w:bCs/>
          <w:color w:val="FF0000"/>
          <w:lang w:val="en-US"/>
        </w:rPr>
      </w:pPr>
    </w:p>
    <w:p w:rsidR="00FD5170" w:rsidRPr="006014D8" w:rsidRDefault="00B04058" w:rsidP="00FD5170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Background</w:t>
      </w:r>
      <w:r w:rsidR="00204B0D" w:rsidRPr="006014D8">
        <w:rPr>
          <w:rFonts w:cstheme="minorHAnsi"/>
          <w:b/>
          <w:bCs/>
        </w:rPr>
        <w:t>:</w:t>
      </w:r>
    </w:p>
    <w:p w:rsidR="00A377AD" w:rsidRPr="006014D8" w:rsidRDefault="00A377AD" w:rsidP="00A377A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pacing w:val="2"/>
          <w:lang w:eastAsia="fr-FR"/>
        </w:rPr>
      </w:pPr>
      <w:r w:rsidRPr="006014D8">
        <w:rPr>
          <w:rFonts w:eastAsia="Times New Roman" w:cstheme="minorHAnsi"/>
          <w:color w:val="000000"/>
          <w:spacing w:val="2"/>
          <w:lang w:eastAsia="fr-FR"/>
        </w:rPr>
        <w:t xml:space="preserve">In Tunisia  a </w:t>
      </w:r>
    </w:p>
    <w:p w:rsidR="00A377AD" w:rsidRPr="006014D8" w:rsidRDefault="00A377AD" w:rsidP="00A377A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 xml:space="preserve">high incidence (50%) was reported since the opening of </w:t>
      </w:r>
    </w:p>
    <w:p w:rsidR="00A377AD" w:rsidRPr="006014D8" w:rsidRDefault="00A377AD" w:rsidP="00A377A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>the Salah Azaiz Institute in 1969 (Mourali et al., 1980)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pacing w:val="2"/>
          <w:lang w:val="en-US" w:eastAsia="fr-FR"/>
        </w:rPr>
      </w:pPr>
      <w:r w:rsidRPr="006014D8">
        <w:rPr>
          <w:rFonts w:eastAsia="Times New Roman" w:cstheme="minorHAnsi"/>
          <w:color w:val="000000"/>
          <w:spacing w:val="2"/>
          <w:lang w:val="en-US" w:eastAsia="fr-FR"/>
        </w:rPr>
        <w:t xml:space="preserve">In Tunisia  a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 xml:space="preserve">high incidence (50%) was reported since the opening of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>the Salah Azaiz Institute in 1969 (Mourali et al., 1980)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pacing w:val="2"/>
          <w:lang w:val="en-US" w:eastAsia="fr-FR"/>
        </w:rPr>
      </w:pPr>
      <w:r w:rsidRPr="006014D8">
        <w:rPr>
          <w:rFonts w:eastAsia="Times New Roman" w:cstheme="minorHAnsi"/>
          <w:color w:val="000000"/>
          <w:spacing w:val="2"/>
          <w:lang w:val="en-US" w:eastAsia="fr-FR"/>
        </w:rPr>
        <w:t xml:space="preserve">In Tunisia  a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 xml:space="preserve">high incidence (50%) was reported since the opening of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>the Salah Azaiz Institute in 1969 (Mourali et al., 1980)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pacing w:val="2"/>
          <w:lang w:val="en-US" w:eastAsia="fr-FR"/>
        </w:rPr>
      </w:pPr>
      <w:r w:rsidRPr="006014D8">
        <w:rPr>
          <w:rFonts w:eastAsia="Times New Roman" w:cstheme="minorHAnsi"/>
          <w:color w:val="000000"/>
          <w:spacing w:val="2"/>
          <w:lang w:val="en-US" w:eastAsia="fr-FR"/>
        </w:rPr>
        <w:t xml:space="preserve">In Tunisia  a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 xml:space="preserve">high incidence (50%) was reported since the opening of </w:t>
      </w:r>
    </w:p>
    <w:p w:rsidR="008B148D" w:rsidRPr="006014D8" w:rsidRDefault="008B148D" w:rsidP="008B148D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lang w:val="en-US" w:eastAsia="fr-FR"/>
        </w:rPr>
      </w:pPr>
      <w:r w:rsidRPr="006014D8">
        <w:rPr>
          <w:rFonts w:eastAsia="Times New Roman" w:cstheme="minorHAnsi"/>
          <w:color w:val="000000"/>
          <w:lang w:val="en-US" w:eastAsia="fr-FR"/>
        </w:rPr>
        <w:t xml:space="preserve">the Salah Azaiz Institute in 1969 (Mourali et al., 1980). </w:t>
      </w:r>
    </w:p>
    <w:p w:rsidR="00204B0D" w:rsidRPr="006014D8" w:rsidRDefault="00204B0D" w:rsidP="00006541">
      <w:pPr>
        <w:jc w:val="both"/>
        <w:rPr>
          <w:rFonts w:cstheme="minorHAnsi"/>
          <w:lang w:val="en-US"/>
        </w:rPr>
      </w:pPr>
      <w:r w:rsidRPr="006014D8">
        <w:rPr>
          <w:rFonts w:cstheme="minorHAnsi"/>
          <w:lang w:val="en-US"/>
        </w:rPr>
        <w:t xml:space="preserve">The proportion of inflammatory breast cancer (IBC) has decreased from 30-55% to 5-7% in recent decades in Tunisia. However, it remains an aggressive cancer responsible for </w:t>
      </w:r>
      <w:r w:rsidR="00006541" w:rsidRPr="006014D8">
        <w:rPr>
          <w:rFonts w:cstheme="minorHAnsi"/>
          <w:lang w:val="en-US"/>
        </w:rPr>
        <w:t xml:space="preserve">high </w:t>
      </w:r>
      <w:r w:rsidRPr="006014D8">
        <w:rPr>
          <w:rFonts w:cstheme="minorHAnsi"/>
          <w:lang w:val="en-US"/>
        </w:rPr>
        <w:t>mortality in young women.</w:t>
      </w:r>
    </w:p>
    <w:p w:rsidR="00780D51" w:rsidRPr="006014D8" w:rsidRDefault="00006541" w:rsidP="00FD5170">
      <w:pPr>
        <w:jc w:val="both"/>
        <w:rPr>
          <w:rFonts w:cstheme="minorHAnsi"/>
          <w:b/>
          <w:bCs/>
          <w:lang w:val="en-US"/>
        </w:rPr>
      </w:pPr>
      <w:r w:rsidRPr="006014D8">
        <w:rPr>
          <w:rFonts w:cstheme="minorHAnsi"/>
          <w:b/>
          <w:bCs/>
          <w:lang w:val="en-US"/>
        </w:rPr>
        <w:t>M</w:t>
      </w:r>
      <w:r w:rsidR="00B04058">
        <w:rPr>
          <w:rFonts w:cstheme="minorHAnsi"/>
          <w:b/>
          <w:bCs/>
          <w:lang w:val="en-US"/>
        </w:rPr>
        <w:t>ethods</w:t>
      </w:r>
      <w:r w:rsidR="00204B0D" w:rsidRPr="006014D8">
        <w:rPr>
          <w:rFonts w:cstheme="minorHAnsi"/>
          <w:b/>
          <w:bCs/>
          <w:lang w:val="en-US"/>
        </w:rPr>
        <w:t>:</w:t>
      </w:r>
    </w:p>
    <w:p w:rsidR="00192565" w:rsidRPr="006014D8" w:rsidRDefault="00192565" w:rsidP="00C944D6">
      <w:pPr>
        <w:jc w:val="both"/>
        <w:rPr>
          <w:rFonts w:cstheme="minorHAnsi"/>
          <w:lang w:val="en-US"/>
        </w:rPr>
      </w:pPr>
      <w:r w:rsidRPr="006014D8">
        <w:rPr>
          <w:rFonts w:cstheme="minorHAnsi"/>
          <w:lang w:val="en-US"/>
        </w:rPr>
        <w:t xml:space="preserve">We retrospectively collected </w:t>
      </w:r>
      <w:r w:rsidR="00006541" w:rsidRPr="006014D8">
        <w:rPr>
          <w:rFonts w:cstheme="minorHAnsi"/>
          <w:lang w:val="en-US"/>
        </w:rPr>
        <w:t>7</w:t>
      </w:r>
      <w:r w:rsidRPr="006014D8">
        <w:rPr>
          <w:rFonts w:cstheme="minorHAnsi"/>
          <w:lang w:val="en-US"/>
        </w:rPr>
        <w:t xml:space="preserve"> cases of </w:t>
      </w:r>
      <w:r w:rsidR="00006541" w:rsidRPr="006014D8">
        <w:rPr>
          <w:rFonts w:cstheme="minorHAnsi"/>
          <w:lang w:val="en-US"/>
        </w:rPr>
        <w:t>I</w:t>
      </w:r>
      <w:r w:rsidR="00922543" w:rsidRPr="006014D8">
        <w:rPr>
          <w:rFonts w:cstheme="minorHAnsi"/>
          <w:lang w:val="en-US"/>
        </w:rPr>
        <w:t>BC</w:t>
      </w:r>
      <w:r w:rsidR="00AC4758" w:rsidRPr="006014D8">
        <w:rPr>
          <w:rFonts w:cstheme="minorHAnsi"/>
          <w:lang w:val="en-US"/>
        </w:rPr>
        <w:t xml:space="preserve"> treated in the medical oncology departments of the Military Hospital </w:t>
      </w:r>
      <w:r w:rsidR="00DA5BDE" w:rsidRPr="006014D8">
        <w:rPr>
          <w:rFonts w:cstheme="minorHAnsi"/>
          <w:lang w:val="en-US"/>
        </w:rPr>
        <w:t xml:space="preserve">of Tunis </w:t>
      </w:r>
      <w:r w:rsidR="00AC4758" w:rsidRPr="006014D8">
        <w:rPr>
          <w:rFonts w:cstheme="minorHAnsi"/>
          <w:lang w:val="en-US"/>
        </w:rPr>
        <w:t>and the Regional Hospital</w:t>
      </w:r>
      <w:r w:rsidR="00A82A2E" w:rsidRPr="006014D8">
        <w:rPr>
          <w:rFonts w:cstheme="minorHAnsi"/>
          <w:lang w:val="en-US"/>
        </w:rPr>
        <w:t xml:space="preserve"> of Jendouba</w:t>
      </w:r>
      <w:r w:rsidR="00C944D6">
        <w:rPr>
          <w:rFonts w:cstheme="minorHAnsi"/>
          <w:lang w:val="en-US"/>
        </w:rPr>
        <w:t xml:space="preserve"> from 2012 to </w:t>
      </w:r>
      <w:r w:rsidR="00006541" w:rsidRPr="006014D8">
        <w:rPr>
          <w:rFonts w:cstheme="minorHAnsi"/>
          <w:lang w:val="en-US"/>
        </w:rPr>
        <w:t>2018</w:t>
      </w:r>
      <w:r w:rsidR="00AC4758" w:rsidRPr="006014D8">
        <w:rPr>
          <w:rFonts w:cstheme="minorHAnsi"/>
          <w:lang w:val="en-US"/>
        </w:rPr>
        <w:t>.</w:t>
      </w:r>
    </w:p>
    <w:p w:rsidR="00006541" w:rsidRPr="006014D8" w:rsidRDefault="00B04058" w:rsidP="00006541">
      <w:pPr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>Results</w:t>
      </w:r>
      <w:r w:rsidR="00204B0D" w:rsidRPr="006014D8">
        <w:rPr>
          <w:rFonts w:cstheme="minorHAnsi"/>
          <w:b/>
          <w:bCs/>
          <w:lang w:val="en-US"/>
        </w:rPr>
        <w:t>:</w:t>
      </w:r>
    </w:p>
    <w:p w:rsidR="00DF50EA" w:rsidRPr="006014D8" w:rsidRDefault="009E0584" w:rsidP="00683E5C">
      <w:pPr>
        <w:jc w:val="both"/>
        <w:rPr>
          <w:rFonts w:cstheme="minorHAnsi"/>
          <w:lang w:val="en-US"/>
        </w:rPr>
      </w:pPr>
      <w:r w:rsidRPr="006014D8">
        <w:rPr>
          <w:rFonts w:cstheme="minorHAnsi"/>
          <w:lang w:val="en-US"/>
        </w:rPr>
        <w:t xml:space="preserve">IBC represented 5% of all BC in our population. </w:t>
      </w:r>
      <w:r w:rsidR="00DF50EA" w:rsidRPr="006014D8">
        <w:rPr>
          <w:rFonts w:cstheme="minorHAnsi"/>
          <w:lang w:val="en-US"/>
        </w:rPr>
        <w:t xml:space="preserve">Median age was 49 years </w:t>
      </w:r>
      <w:r w:rsidR="00006541" w:rsidRPr="006014D8">
        <w:rPr>
          <w:rFonts w:cstheme="minorHAnsi"/>
          <w:lang w:val="en-US"/>
        </w:rPr>
        <w:t>(</w:t>
      </w:r>
      <w:r w:rsidR="00DF50EA" w:rsidRPr="006014D8">
        <w:rPr>
          <w:rFonts w:cstheme="minorHAnsi"/>
          <w:lang w:val="en-US"/>
        </w:rPr>
        <w:t>42-</w:t>
      </w:r>
      <w:r w:rsidR="00006541" w:rsidRPr="006014D8">
        <w:rPr>
          <w:rFonts w:cstheme="minorHAnsi"/>
          <w:lang w:val="en-US"/>
        </w:rPr>
        <w:t>62)</w:t>
      </w:r>
      <w:r w:rsidR="00B2316C">
        <w:rPr>
          <w:rFonts w:cstheme="minorHAnsi"/>
          <w:lang w:val="en-US"/>
        </w:rPr>
        <w:t>.</w:t>
      </w:r>
      <w:r w:rsidR="00DF50EA" w:rsidRPr="006014D8">
        <w:rPr>
          <w:rFonts w:cstheme="minorHAnsi"/>
          <w:lang w:val="en-US"/>
        </w:rPr>
        <w:t xml:space="preserve"> Median time to </w:t>
      </w:r>
      <w:r w:rsidRPr="006014D8">
        <w:rPr>
          <w:rFonts w:cstheme="minorHAnsi"/>
          <w:lang w:val="en-US"/>
        </w:rPr>
        <w:t>diagnosis</w:t>
      </w:r>
      <w:r w:rsidR="00813DAF">
        <w:rPr>
          <w:rFonts w:cstheme="minorHAnsi"/>
          <w:lang w:val="en-US"/>
        </w:rPr>
        <w:t xml:space="preserve"> was 5 months</w:t>
      </w:r>
      <w:r w:rsidR="00DF50EA" w:rsidRPr="006014D8">
        <w:rPr>
          <w:rFonts w:cstheme="minorHAnsi"/>
          <w:lang w:val="en-US"/>
        </w:rPr>
        <w:t xml:space="preserve">. </w:t>
      </w:r>
      <w:r w:rsidR="00627A58">
        <w:rPr>
          <w:rFonts w:cstheme="minorHAnsi"/>
          <w:lang w:val="en-US"/>
        </w:rPr>
        <w:t>There were</w:t>
      </w:r>
      <w:r w:rsidR="00DF50EA" w:rsidRPr="006014D8">
        <w:rPr>
          <w:rFonts w:cstheme="minorHAnsi"/>
          <w:lang w:val="en-US"/>
        </w:rPr>
        <w:t xml:space="preserve"> 3 cases of luminal B BC, 2 cases of triple negative BC, 1 case of HER2 BC and 1 case of luminal A BC. All </w:t>
      </w:r>
      <w:r w:rsidRPr="006014D8">
        <w:rPr>
          <w:rFonts w:cstheme="minorHAnsi"/>
          <w:lang w:val="en-US"/>
        </w:rPr>
        <w:t xml:space="preserve">patients </w:t>
      </w:r>
      <w:r w:rsidR="00DF50EA" w:rsidRPr="006014D8">
        <w:rPr>
          <w:rFonts w:cstheme="minorHAnsi"/>
          <w:lang w:val="en-US"/>
        </w:rPr>
        <w:t>had localized disease and received neoadjuvant chemotherapy</w:t>
      </w:r>
      <w:r w:rsidR="009551DB" w:rsidRPr="006014D8">
        <w:rPr>
          <w:rFonts w:cstheme="minorHAnsi"/>
          <w:lang w:val="en-US"/>
        </w:rPr>
        <w:t xml:space="preserve"> (CT)</w:t>
      </w:r>
      <w:r w:rsidR="00813DAF">
        <w:rPr>
          <w:rFonts w:cstheme="minorHAnsi"/>
          <w:lang w:val="en-US"/>
        </w:rPr>
        <w:t xml:space="preserve"> </w:t>
      </w:r>
      <w:r w:rsidR="00DF50EA" w:rsidRPr="006014D8">
        <w:rPr>
          <w:rFonts w:cstheme="minorHAnsi"/>
          <w:lang w:val="en-US"/>
        </w:rPr>
        <w:t>followed by Patey surgery</w:t>
      </w:r>
      <w:r w:rsidR="00922543" w:rsidRPr="006014D8">
        <w:rPr>
          <w:rFonts w:cstheme="minorHAnsi"/>
          <w:lang w:val="en-US"/>
        </w:rPr>
        <w:t xml:space="preserve"> and radiotherapy</w:t>
      </w:r>
      <w:r w:rsidR="00DF50EA" w:rsidRPr="006014D8">
        <w:rPr>
          <w:rFonts w:cstheme="minorHAnsi"/>
          <w:lang w:val="en-US"/>
        </w:rPr>
        <w:t xml:space="preserve">. </w:t>
      </w:r>
      <w:r w:rsidR="00627A58">
        <w:rPr>
          <w:rFonts w:cstheme="minorHAnsi"/>
          <w:lang w:val="en-US"/>
        </w:rPr>
        <w:t xml:space="preserve">Complete </w:t>
      </w:r>
      <w:r w:rsidR="009551DB" w:rsidRPr="006014D8">
        <w:rPr>
          <w:rFonts w:cstheme="minorHAnsi"/>
          <w:lang w:val="en-US"/>
        </w:rPr>
        <w:t xml:space="preserve">pathological response </w:t>
      </w:r>
      <w:r w:rsidR="00627A58">
        <w:rPr>
          <w:rFonts w:cstheme="minorHAnsi"/>
          <w:lang w:val="en-US"/>
        </w:rPr>
        <w:t xml:space="preserve">was obtained </w:t>
      </w:r>
      <w:r w:rsidRPr="006014D8">
        <w:rPr>
          <w:rFonts w:cstheme="minorHAnsi"/>
          <w:lang w:val="en-US"/>
        </w:rPr>
        <w:t xml:space="preserve">in </w:t>
      </w:r>
      <w:r w:rsidR="00627A58">
        <w:rPr>
          <w:rFonts w:cstheme="minorHAnsi"/>
          <w:lang w:val="en-US"/>
        </w:rPr>
        <w:t>only one case</w:t>
      </w:r>
      <w:r w:rsidRPr="006014D8">
        <w:rPr>
          <w:rFonts w:cstheme="minorHAnsi"/>
          <w:lang w:val="en-US"/>
        </w:rPr>
        <w:t>.</w:t>
      </w:r>
      <w:r w:rsidR="00FB0800" w:rsidRPr="006014D8">
        <w:rPr>
          <w:rFonts w:cstheme="minorHAnsi"/>
          <w:lang w:val="en-US"/>
        </w:rPr>
        <w:t xml:space="preserve"> </w:t>
      </w:r>
      <w:r w:rsidRPr="006014D8">
        <w:rPr>
          <w:rFonts w:cstheme="minorHAnsi"/>
          <w:lang w:val="en-US"/>
        </w:rPr>
        <w:t xml:space="preserve">Patients with no histological response </w:t>
      </w:r>
      <w:r w:rsidR="009551DB" w:rsidRPr="006014D8">
        <w:rPr>
          <w:rFonts w:cstheme="minorHAnsi"/>
          <w:lang w:val="en-US"/>
        </w:rPr>
        <w:t>received adjuvant CT</w:t>
      </w:r>
      <w:r w:rsidR="00075E6B" w:rsidRPr="006014D8">
        <w:rPr>
          <w:rFonts w:cstheme="minorHAnsi"/>
          <w:lang w:val="en-US"/>
        </w:rPr>
        <w:t xml:space="preserve"> (Capecitabin-Vinorelbine)</w:t>
      </w:r>
      <w:r w:rsidR="00DF50EA" w:rsidRPr="006014D8">
        <w:rPr>
          <w:rFonts w:cstheme="minorHAnsi"/>
          <w:lang w:val="en-US"/>
        </w:rPr>
        <w:t xml:space="preserve">. </w:t>
      </w:r>
      <w:r w:rsidR="00683E5C">
        <w:rPr>
          <w:rFonts w:cstheme="minorHAnsi"/>
          <w:lang w:val="en-US"/>
        </w:rPr>
        <w:t>3</w:t>
      </w:r>
      <w:r w:rsidR="00DF50EA" w:rsidRPr="006014D8">
        <w:rPr>
          <w:rFonts w:cstheme="minorHAnsi"/>
          <w:lang w:val="en-US"/>
        </w:rPr>
        <w:t xml:space="preserve"> </w:t>
      </w:r>
      <w:r w:rsidR="00FB0800" w:rsidRPr="006014D8">
        <w:rPr>
          <w:rFonts w:cstheme="minorHAnsi"/>
          <w:lang w:val="en-US"/>
        </w:rPr>
        <w:t xml:space="preserve">patients had metastatic relapse after </w:t>
      </w:r>
      <w:r w:rsidR="00DF50EA" w:rsidRPr="006014D8">
        <w:rPr>
          <w:rFonts w:cstheme="minorHAnsi"/>
          <w:lang w:val="en-US"/>
        </w:rPr>
        <w:t xml:space="preserve">a median </w:t>
      </w:r>
      <w:r w:rsidR="00FB0800" w:rsidRPr="006014D8">
        <w:rPr>
          <w:rFonts w:cstheme="minorHAnsi"/>
          <w:lang w:val="en-US"/>
        </w:rPr>
        <w:t>duration</w:t>
      </w:r>
      <w:r w:rsidR="00DF50EA" w:rsidRPr="006014D8">
        <w:rPr>
          <w:rFonts w:cstheme="minorHAnsi"/>
          <w:lang w:val="en-US"/>
        </w:rPr>
        <w:t xml:space="preserve"> of 23.</w:t>
      </w:r>
      <w:r w:rsidR="009551DB" w:rsidRPr="006014D8">
        <w:rPr>
          <w:rFonts w:cstheme="minorHAnsi"/>
          <w:lang w:val="en-US"/>
        </w:rPr>
        <w:t xml:space="preserve">3 months [10-48]. </w:t>
      </w:r>
      <w:r w:rsidR="00B2316C">
        <w:rPr>
          <w:rFonts w:cstheme="minorHAnsi"/>
          <w:lang w:val="en-US"/>
        </w:rPr>
        <w:t>Median PFS</w:t>
      </w:r>
      <w:r w:rsidR="00DF50EA" w:rsidRPr="006014D8">
        <w:rPr>
          <w:rFonts w:cstheme="minorHAnsi"/>
          <w:lang w:val="en-US"/>
        </w:rPr>
        <w:t xml:space="preserve"> was 22 months</w:t>
      </w:r>
      <w:r w:rsidR="009551DB" w:rsidRPr="006014D8">
        <w:rPr>
          <w:rFonts w:cstheme="minorHAnsi"/>
          <w:lang w:val="en-US"/>
        </w:rPr>
        <w:t xml:space="preserve"> </w:t>
      </w:r>
      <w:r w:rsidR="00DF50EA" w:rsidRPr="006014D8">
        <w:rPr>
          <w:rFonts w:cstheme="minorHAnsi"/>
          <w:lang w:val="en-US"/>
        </w:rPr>
        <w:t xml:space="preserve">[7-48] and </w:t>
      </w:r>
      <w:r w:rsidR="009551DB" w:rsidRPr="006014D8">
        <w:rPr>
          <w:rFonts w:cstheme="minorHAnsi"/>
          <w:lang w:val="en-US"/>
        </w:rPr>
        <w:t xml:space="preserve">median </w:t>
      </w:r>
      <w:r w:rsidR="00B2316C">
        <w:rPr>
          <w:rFonts w:cstheme="minorHAnsi"/>
          <w:lang w:val="en-US"/>
        </w:rPr>
        <w:t>OS</w:t>
      </w:r>
      <w:r w:rsidR="00DF50EA" w:rsidRPr="006014D8">
        <w:rPr>
          <w:rFonts w:cstheme="minorHAnsi"/>
          <w:lang w:val="en-US"/>
        </w:rPr>
        <w:t xml:space="preserve"> was 43 months</w:t>
      </w:r>
      <w:r w:rsidR="009551DB" w:rsidRPr="006014D8">
        <w:rPr>
          <w:rFonts w:cstheme="minorHAnsi"/>
          <w:lang w:val="en-US"/>
        </w:rPr>
        <w:t xml:space="preserve"> </w:t>
      </w:r>
      <w:r w:rsidR="00DF50EA" w:rsidRPr="006014D8">
        <w:rPr>
          <w:rFonts w:cstheme="minorHAnsi"/>
          <w:lang w:val="en-US"/>
        </w:rPr>
        <w:t>[16-57].</w:t>
      </w:r>
    </w:p>
    <w:p w:rsidR="00A138AE" w:rsidRPr="006014D8" w:rsidRDefault="00B04058" w:rsidP="00DF50EA">
      <w:pPr>
        <w:jc w:val="both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Conclusion</w:t>
      </w:r>
      <w:r w:rsidR="00A138AE" w:rsidRPr="006014D8">
        <w:rPr>
          <w:rFonts w:cstheme="minorHAnsi"/>
          <w:b/>
          <w:bCs/>
          <w:lang w:val="en-US"/>
        </w:rPr>
        <w:t>:</w:t>
      </w:r>
    </w:p>
    <w:p w:rsidR="00922543" w:rsidRPr="006014D8" w:rsidRDefault="00922543" w:rsidP="00FE6D23">
      <w:pPr>
        <w:jc w:val="both"/>
        <w:rPr>
          <w:rFonts w:cstheme="minorHAnsi"/>
          <w:lang w:val="en-US"/>
        </w:rPr>
      </w:pPr>
      <w:r w:rsidRPr="006014D8">
        <w:rPr>
          <w:rFonts w:cstheme="minorHAnsi"/>
          <w:lang w:val="en-US"/>
        </w:rPr>
        <w:t>In comparison with the European and</w:t>
      </w:r>
      <w:r w:rsidR="00683E5C">
        <w:rPr>
          <w:rFonts w:cstheme="minorHAnsi"/>
          <w:lang w:val="en-US"/>
        </w:rPr>
        <w:t xml:space="preserve"> American series, </w:t>
      </w:r>
      <w:r w:rsidRPr="006014D8">
        <w:rPr>
          <w:rFonts w:cstheme="minorHAnsi"/>
          <w:lang w:val="en-US"/>
        </w:rPr>
        <w:t>the incidence of IBC was higher in Tunisia</w:t>
      </w:r>
      <w:r w:rsidR="00FB0800" w:rsidRPr="006014D8">
        <w:rPr>
          <w:rFonts w:cstheme="minorHAnsi"/>
          <w:lang w:val="en-US"/>
        </w:rPr>
        <w:t xml:space="preserve">. The </w:t>
      </w:r>
      <w:r w:rsidR="00FE6D23" w:rsidRPr="006014D8">
        <w:rPr>
          <w:rFonts w:cstheme="minorHAnsi"/>
          <w:lang w:val="en-US"/>
        </w:rPr>
        <w:t xml:space="preserve">systemic </w:t>
      </w:r>
      <w:r w:rsidR="00FB0800" w:rsidRPr="006014D8">
        <w:rPr>
          <w:rFonts w:cstheme="minorHAnsi"/>
          <w:lang w:val="en-US"/>
        </w:rPr>
        <w:t>treat</w:t>
      </w:r>
      <w:r w:rsidR="00683E5C">
        <w:rPr>
          <w:rFonts w:cstheme="minorHAnsi"/>
          <w:lang w:val="en-US"/>
        </w:rPr>
        <w:t>ment was limited to CT</w:t>
      </w:r>
      <w:r w:rsidR="00FE6D23" w:rsidRPr="006014D8">
        <w:rPr>
          <w:rFonts w:cstheme="minorHAnsi"/>
          <w:lang w:val="en-US"/>
        </w:rPr>
        <w:t xml:space="preserve"> with insufficient pathological response</w:t>
      </w:r>
      <w:r w:rsidR="008E33C1" w:rsidRPr="006014D8">
        <w:rPr>
          <w:rFonts w:cstheme="minorHAnsi"/>
          <w:lang w:val="en-US"/>
        </w:rPr>
        <w:t xml:space="preserve"> after neoadjuvant treatment</w:t>
      </w:r>
      <w:r w:rsidR="00FE6D23" w:rsidRPr="006014D8">
        <w:rPr>
          <w:rFonts w:cstheme="minorHAnsi"/>
          <w:lang w:val="en-US"/>
        </w:rPr>
        <w:t>.</w:t>
      </w:r>
    </w:p>
    <w:p w:rsidR="00FD5170" w:rsidRPr="006014D8" w:rsidRDefault="00FD5170" w:rsidP="00FD5170">
      <w:pPr>
        <w:jc w:val="both"/>
        <w:rPr>
          <w:rFonts w:cstheme="minorHAnsi"/>
          <w:b/>
          <w:bCs/>
          <w:color w:val="FF0000"/>
          <w:lang w:val="en-US"/>
        </w:rPr>
      </w:pPr>
    </w:p>
    <w:p w:rsidR="00F24655" w:rsidRPr="006014D8" w:rsidRDefault="00F24655">
      <w:pPr>
        <w:rPr>
          <w:rFonts w:cstheme="minorHAnsi"/>
          <w:lang w:val="en-US"/>
        </w:rPr>
      </w:pPr>
    </w:p>
    <w:sectPr w:rsidR="00F24655" w:rsidRPr="006014D8" w:rsidSect="00F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388" w:rsidRDefault="000A1388" w:rsidP="004506A7">
      <w:pPr>
        <w:spacing w:after="0" w:line="240" w:lineRule="auto"/>
      </w:pPr>
      <w:r>
        <w:separator/>
      </w:r>
    </w:p>
  </w:endnote>
  <w:endnote w:type="continuationSeparator" w:id="1">
    <w:p w:rsidR="000A1388" w:rsidRDefault="000A1388" w:rsidP="00450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388" w:rsidRDefault="000A1388" w:rsidP="004506A7">
      <w:pPr>
        <w:spacing w:after="0" w:line="240" w:lineRule="auto"/>
      </w:pPr>
      <w:r>
        <w:separator/>
      </w:r>
    </w:p>
  </w:footnote>
  <w:footnote w:type="continuationSeparator" w:id="1">
    <w:p w:rsidR="000A1388" w:rsidRDefault="000A1388" w:rsidP="004506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170"/>
    <w:rsid w:val="00006541"/>
    <w:rsid w:val="00014052"/>
    <w:rsid w:val="00071753"/>
    <w:rsid w:val="00075E6B"/>
    <w:rsid w:val="000A1388"/>
    <w:rsid w:val="00181642"/>
    <w:rsid w:val="00192565"/>
    <w:rsid w:val="001A1B35"/>
    <w:rsid w:val="00204B0D"/>
    <w:rsid w:val="002C4E5C"/>
    <w:rsid w:val="002E0519"/>
    <w:rsid w:val="00310042"/>
    <w:rsid w:val="00337047"/>
    <w:rsid w:val="00361F8F"/>
    <w:rsid w:val="00413FEF"/>
    <w:rsid w:val="004506A7"/>
    <w:rsid w:val="004C21BD"/>
    <w:rsid w:val="004E3D40"/>
    <w:rsid w:val="00560B44"/>
    <w:rsid w:val="005C2A6A"/>
    <w:rsid w:val="006014D8"/>
    <w:rsid w:val="00627A58"/>
    <w:rsid w:val="00683E5C"/>
    <w:rsid w:val="006A3F97"/>
    <w:rsid w:val="00723815"/>
    <w:rsid w:val="00780D51"/>
    <w:rsid w:val="00813DAF"/>
    <w:rsid w:val="0083243B"/>
    <w:rsid w:val="00883952"/>
    <w:rsid w:val="008A26A3"/>
    <w:rsid w:val="008B148D"/>
    <w:rsid w:val="008E33C1"/>
    <w:rsid w:val="0091134A"/>
    <w:rsid w:val="00922543"/>
    <w:rsid w:val="009551DB"/>
    <w:rsid w:val="009939AF"/>
    <w:rsid w:val="009B7E9D"/>
    <w:rsid w:val="009E0584"/>
    <w:rsid w:val="00A138AE"/>
    <w:rsid w:val="00A36309"/>
    <w:rsid w:val="00A377AD"/>
    <w:rsid w:val="00A6498B"/>
    <w:rsid w:val="00A82A2E"/>
    <w:rsid w:val="00AA54EE"/>
    <w:rsid w:val="00AC4758"/>
    <w:rsid w:val="00AE65D5"/>
    <w:rsid w:val="00B04058"/>
    <w:rsid w:val="00B2316C"/>
    <w:rsid w:val="00B609A2"/>
    <w:rsid w:val="00B95556"/>
    <w:rsid w:val="00C944D6"/>
    <w:rsid w:val="00D2525F"/>
    <w:rsid w:val="00D74124"/>
    <w:rsid w:val="00DA5BDE"/>
    <w:rsid w:val="00DB625A"/>
    <w:rsid w:val="00DD16A1"/>
    <w:rsid w:val="00DF50EA"/>
    <w:rsid w:val="00F24655"/>
    <w:rsid w:val="00FB0800"/>
    <w:rsid w:val="00FD5170"/>
    <w:rsid w:val="00FE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">
    <w:name w:val="_"/>
    <w:basedOn w:val="Policepardfaut"/>
    <w:rsid w:val="00A377AD"/>
  </w:style>
  <w:style w:type="paragraph" w:styleId="En-tte">
    <w:name w:val="header"/>
    <w:basedOn w:val="Normal"/>
    <w:link w:val="En-tteCar"/>
    <w:uiPriority w:val="99"/>
    <w:semiHidden/>
    <w:unhideWhenUsed/>
    <w:rsid w:val="00450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506A7"/>
  </w:style>
  <w:style w:type="paragraph" w:styleId="Pieddepage">
    <w:name w:val="footer"/>
    <w:basedOn w:val="Normal"/>
    <w:link w:val="PieddepageCar"/>
    <w:uiPriority w:val="99"/>
    <w:semiHidden/>
    <w:unhideWhenUsed/>
    <w:rsid w:val="00450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06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Karrit</dc:creator>
  <cp:lastModifiedBy>Karrit</cp:lastModifiedBy>
  <cp:revision>12</cp:revision>
  <dcterms:created xsi:type="dcterms:W3CDTF">2019-07-06T11:27:00Z</dcterms:created>
  <dcterms:modified xsi:type="dcterms:W3CDTF">2019-09-12T17:47:00Z</dcterms:modified>
</cp:coreProperties>
</file>