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r w:rsidRPr="00E0378E">
        <w:rPr>
          <w:rFonts w:ascii="Arial" w:eastAsia="Times New Roman" w:hAnsi="Arial" w:cs="Arial"/>
          <w:b/>
          <w:bCs/>
          <w:kern w:val="36"/>
          <w:sz w:val="36"/>
          <w:szCs w:val="36"/>
        </w:rPr>
        <w:t xml:space="preserve">Serum proteomics guided discovery of predictive biomarkers of response to androgen ablation (AA) in prostate </w:t>
      </w:r>
      <w:r w:rsidRPr="00E0378E">
        <w:rPr>
          <w:rFonts w:ascii="Arial" w:eastAsia="Times New Roman" w:hAnsi="Arial" w:cs="Arial"/>
          <w:b/>
          <w:bCs/>
          <w:kern w:val="36"/>
          <w:sz w:val="36"/>
          <w:szCs w:val="36"/>
        </w:rPr>
        <w:t>cancer. Free</w:t>
      </w:r>
      <w:r w:rsidRPr="00E0378E">
        <w:rPr>
          <w:rFonts w:ascii="Arial" w:eastAsia="Times New Roman" w:hAnsi="Arial" w:cs="Arial"/>
          <w:b/>
          <w:bCs/>
          <w:kern w:val="36"/>
          <w:sz w:val="36"/>
          <w:szCs w:val="36"/>
        </w:rPr>
        <w:t xml:space="preserve"> Access</w:t>
      </w: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  <w:r w:rsidRPr="00E0378E">
        <w:rPr>
          <w:rFonts w:ascii="Arial" w:eastAsia="Times New Roman" w:hAnsi="Arial" w:cs="Arial"/>
          <w:b/>
          <w:bCs/>
          <w:kern w:val="36"/>
        </w:rPr>
        <w:t xml:space="preserve">Shaun M </w:t>
      </w:r>
      <w:proofErr w:type="spellStart"/>
      <w:r w:rsidRPr="00E0378E">
        <w:rPr>
          <w:rFonts w:ascii="Arial" w:eastAsia="Times New Roman" w:hAnsi="Arial" w:cs="Arial"/>
          <w:b/>
          <w:bCs/>
          <w:kern w:val="36"/>
        </w:rPr>
        <w:t>Riska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, </w:t>
      </w:r>
      <w:bookmarkStart w:id="0" w:name="_GoBack"/>
      <w:bookmarkEnd w:id="0"/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  <w:r w:rsidRPr="00E0378E">
        <w:rPr>
          <w:rFonts w:ascii="Arial" w:eastAsia="Times New Roman" w:hAnsi="Arial" w:cs="Arial"/>
          <w:b/>
          <w:bCs/>
          <w:kern w:val="36"/>
        </w:rPr>
        <w:t>Background:</w:t>
      </w:r>
      <w:r w:rsidRPr="00E0378E">
        <w:rPr>
          <w:rFonts w:ascii="Arial" w:eastAsia="Times New Roman" w:hAnsi="Arial" w:cs="Arial"/>
          <w:bCs/>
          <w:kern w:val="36"/>
        </w:rPr>
        <w:t xml:space="preserve"> Currently there are no serum predictive markers of response to AA. We used a proteomic based analytic approach to identify candidates.</w:t>
      </w: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  <w:r w:rsidRPr="00E0378E">
        <w:rPr>
          <w:rFonts w:ascii="Arial" w:eastAsia="Times New Roman" w:hAnsi="Arial" w:cs="Arial"/>
          <w:b/>
          <w:bCs/>
          <w:kern w:val="36"/>
        </w:rPr>
        <w:t>Methods:</w:t>
      </w:r>
      <w:r w:rsidRPr="00E0378E">
        <w:rPr>
          <w:rFonts w:ascii="Arial" w:eastAsia="Times New Roman" w:hAnsi="Arial" w:cs="Arial"/>
          <w:bCs/>
          <w:kern w:val="36"/>
        </w:rPr>
        <w:t xml:space="preserve"> Serum from three non-localized prostate cancer cohorts was analyzed. The first included15 paired untreated hormone-sensitive “pre-AA” and 3-month “post-AA” specimens; the second included 10 “early AA failure” (median time to AA failure</w:t>
      </w:r>
      <w:proofErr w:type="gramStart"/>
      <w:r w:rsidRPr="00E0378E">
        <w:rPr>
          <w:rFonts w:ascii="Arial" w:eastAsia="Times New Roman" w:hAnsi="Arial" w:cs="Arial"/>
          <w:bCs/>
          <w:kern w:val="36"/>
        </w:rPr>
        <w:t>:11</w:t>
      </w:r>
      <w:proofErr w:type="gramEnd"/>
      <w:r w:rsidRPr="00E0378E">
        <w:rPr>
          <w:rFonts w:ascii="Arial" w:eastAsia="Times New Roman" w:hAnsi="Arial" w:cs="Arial"/>
          <w:bCs/>
          <w:kern w:val="36"/>
        </w:rPr>
        <w:t xml:space="preserve"> months) and the third included 10 “late AA failure” specimens (median time to AA failure: 95 months). Proteomic analysis was performed with isobaric mass tags for relative and absolute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quanititation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 (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iTRAQ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>) analyzed by reverse-phase liquid chromatography coupled to tandem mass spectrometry (LC/MS/MS). Differentially expressed candidate proteins were identified by comparisons of (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i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>) paired pre/post-AA proteomes and (ii) post-AA proteome with the combined AA failure cohorts at a False Discovery Rate of 0.2. ELISA assays were used to verify candidate markers in a second stored aliquot of first cohort specimens. This cohort was followed for AA failure. Association of post-AA ELISA levels of candidate markers with time to AA failure was performed using Cox proportional hazards regression, summarized as relative risk (RR) for AA failure.</w:t>
      </w: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  <w:r w:rsidRPr="00E0378E">
        <w:rPr>
          <w:rFonts w:ascii="Arial" w:eastAsia="Times New Roman" w:hAnsi="Arial" w:cs="Arial"/>
          <w:b/>
          <w:bCs/>
          <w:kern w:val="36"/>
        </w:rPr>
        <w:t>Results:</w:t>
      </w:r>
      <w:r w:rsidRPr="00E0378E">
        <w:rPr>
          <w:rFonts w:ascii="Arial" w:eastAsia="Times New Roman" w:hAnsi="Arial" w:cs="Arial"/>
          <w:bCs/>
          <w:kern w:val="36"/>
        </w:rPr>
        <w:t xml:space="preserve"> Median PSA in pre/post-AA first cohort were 3.15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ng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/ml and 0.29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ng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/ml. Median PSA in the second and third cohorts were 27.3 and 4.3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ng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/ml. </w:t>
      </w:r>
      <w:proofErr w:type="gramStart"/>
      <w:r w:rsidRPr="00E0378E">
        <w:rPr>
          <w:rFonts w:ascii="Arial" w:eastAsia="Times New Roman" w:hAnsi="Arial" w:cs="Arial"/>
          <w:bCs/>
          <w:kern w:val="36"/>
        </w:rPr>
        <w:t>Between</w:t>
      </w:r>
      <w:proofErr w:type="gramEnd"/>
      <w:r w:rsidRPr="00E0378E">
        <w:rPr>
          <w:rFonts w:ascii="Arial" w:eastAsia="Times New Roman" w:hAnsi="Arial" w:cs="Arial"/>
          <w:bCs/>
          <w:kern w:val="36"/>
        </w:rPr>
        <w:t xml:space="preserve"> post-AA and AA failure cohorts, 149 proteins were differentially expressed. Between early and late AA failure 98 proteins were differentially expressed; 47 proteins were common in both comparisons. ELISA assays verified expression levels of 2/47 proteins in the first cohort; zinc alpha-2 macroglobulin (ZAG), and Neuropilin-2 (NPL2). Median change in ZAG decreased by 2073.5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ng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 xml:space="preserve">/ml (post versus pre-AA) while median change in NPL2 levels increased by 2.9 </w:t>
      </w:r>
      <w:proofErr w:type="spellStart"/>
      <w:r w:rsidRPr="00E0378E">
        <w:rPr>
          <w:rFonts w:ascii="Arial" w:eastAsia="Times New Roman" w:hAnsi="Arial" w:cs="Arial"/>
          <w:bCs/>
          <w:kern w:val="36"/>
        </w:rPr>
        <w:t>ng</w:t>
      </w:r>
      <w:proofErr w:type="spellEnd"/>
      <w:r w:rsidRPr="00E0378E">
        <w:rPr>
          <w:rFonts w:ascii="Arial" w:eastAsia="Times New Roman" w:hAnsi="Arial" w:cs="Arial"/>
          <w:bCs/>
          <w:kern w:val="36"/>
        </w:rPr>
        <w:t>/ml. After a median follow-up of 43 months from the post-AA time-point, 4/15 first cohort subjects had failed AA. The RR of AA failure for ZAG levels below the median change was 3.8 (95% CI: 0.4-37) and 3.0 (95% CI: 0.3-29) for NPL2.</w:t>
      </w: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</w:p>
    <w:p w:rsidR="00E0378E" w:rsidRPr="00E0378E" w:rsidRDefault="00E0378E" w:rsidP="00E0378E">
      <w:pPr>
        <w:shd w:val="clear" w:color="auto" w:fill="FFFFFF"/>
        <w:spacing w:before="161" w:after="161" w:line="240" w:lineRule="auto"/>
        <w:outlineLvl w:val="0"/>
        <w:rPr>
          <w:rFonts w:ascii="Arial" w:eastAsia="Times New Roman" w:hAnsi="Arial" w:cs="Arial"/>
          <w:bCs/>
          <w:kern w:val="36"/>
        </w:rPr>
      </w:pPr>
      <w:r w:rsidRPr="00E0378E">
        <w:rPr>
          <w:rFonts w:ascii="Arial" w:eastAsia="Times New Roman" w:hAnsi="Arial" w:cs="Arial"/>
          <w:b/>
          <w:bCs/>
          <w:kern w:val="36"/>
        </w:rPr>
        <w:t>Conclusions:</w:t>
      </w:r>
      <w:r w:rsidRPr="00E0378E">
        <w:rPr>
          <w:rFonts w:ascii="Arial" w:eastAsia="Times New Roman" w:hAnsi="Arial" w:cs="Arial"/>
          <w:bCs/>
          <w:kern w:val="36"/>
        </w:rPr>
        <w:t xml:space="preserve"> A global proteomic analysis identified ZAG and NPL2 as candidate serum predictive markers of AA response which needs further validation.</w:t>
      </w:r>
    </w:p>
    <w:p w:rsidR="003045DB" w:rsidRPr="00E0378E" w:rsidRDefault="003045DB"/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  <w:gridCol w:w="9139"/>
      </w:tblGrid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Funt SA, Lattanzi M, Whiting K, et al: Neoadjuvant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atezolizumab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with gemcitabine and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cisplatin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in patients with muscle-invasive bladder cancer: A multicenter, single-arm, phase II trial. J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Clin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Oncol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40:1312-1322, 2022 </w:t>
            </w:r>
            <w:hyperlink r:id="rId5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Link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6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gram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von</w:t>
            </w:r>
            <w:proofErr w:type="gram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Minckwitz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 G, Procter M, de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Azambuja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 E, et al: Adjuvant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pertuzumab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and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trastuzumab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in early HER2-positive breast cancer. N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Engl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J Med 377:122-131, 2017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begin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instrText xml:space="preserve"> HYPERLINK "https://ascopubs.org/servlet/linkout?suffix=b2&amp;dbid=16&amp;doi=10.1200%2FJCO.22.00420&amp;key=10.1056%2FNEJMoa1703643" </w:instrText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separate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Crossref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end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7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Medline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8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Rosenblatt R, Sherif A,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Rintala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 E, et al: Pathologic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downstaging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is a surrogate marker for efficacy and increased survival following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neoadjuvant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chemotherapy and radical cystectomy for muscle-invasive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urothelial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bladder cancer.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Eur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Urol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61:1229-1238, 2012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begin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instrText xml:space="preserve"> HYPERLINK "https://ascopubs.org/servlet/linkout?suffix=b3&amp;dbid=16&amp;doi=10.1200%2FJCO.22.00420&amp;key=10.1016%2Fj.eururo.2011.12.010" </w:instrText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separate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Crossref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end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9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Medline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0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Pfister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 C, Gravis G,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Fléchon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 A, et al: Randomized phase III trial of dose-dense methotrexate, vinblastine, doxorubicin, and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cisplatin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, or gemcitabine and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cisplatin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as perioperative chemotherapy for patients with muscle-invasive bladder cancer. Analysis of the GETUG/AFU V05 VESPER trial secondary endpoints: Chemotherapy toxicity and pathological responses.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Eur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Urol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79:214-221, 2021 </w:t>
            </w:r>
            <w:hyperlink r:id="rId11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Medline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2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Galsky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 MD,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Arija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 JÁA,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Bamias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 A, et al: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Atezolizumab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with or without chemotherapy in metastatic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urothelial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cancer (IMvigor130): A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multicentre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randomised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, placebo-controlled phase 3 </w:t>
            </w:r>
            <w:proofErr w:type="gram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trial</w:t>
            </w:r>
            <w:proofErr w:type="gram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. Lancet 395:1547-1557, 2020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begin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instrText xml:space="preserve"> HYPERLINK "https://ascopubs.org/servlet/linkout?suffix=b5&amp;dbid=16&amp;doi=10.1200%2FJCO.22.00420&amp;key=10.1016%2FS0140-6736%2820%2930230-0" </w:instrText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separate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Crossref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end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3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Medline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4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  <w:tr w:rsidR="00E0378E" w:rsidRPr="00E0378E" w:rsidTr="00E0378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378E" w:rsidRPr="00E0378E" w:rsidRDefault="00E0378E" w:rsidP="00E037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Zhang S, Li W: PD-1 inhibitors for 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>urothelial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t xml:space="preserve"> cancer: Combination or sequential therapy? Lancet 396:1977, 2021 </w:t>
            </w:r>
            <w:proofErr w:type="spellStart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begin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instrText xml:space="preserve"> HYPERLINK "https://ascopubs.org/servlet/linkout?suffix=b6&amp;dbid=16&amp;doi=10.1200%2FJCO.22.00420&amp;key=10.1016%2FS0140-6736%2820%2932672-6" </w:instrText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separate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Crossref</w:t>
            </w:r>
            <w:proofErr w:type="spellEnd"/>
            <w:r w:rsidRPr="00E0378E">
              <w:rPr>
                <w:rFonts w:ascii="Arial" w:eastAsia="Times New Roman" w:hAnsi="Arial" w:cs="Arial"/>
                <w:sz w:val="21"/>
                <w:szCs w:val="21"/>
              </w:rPr>
              <w:fldChar w:fldCharType="end"/>
            </w:r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5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Medline</w:t>
              </w:r>
            </w:hyperlink>
            <w:r w:rsidRPr="00E0378E">
              <w:rPr>
                <w:rFonts w:ascii="Arial" w:eastAsia="Times New Roman" w:hAnsi="Arial" w:cs="Arial"/>
                <w:sz w:val="21"/>
                <w:szCs w:val="21"/>
              </w:rPr>
              <w:t>, </w:t>
            </w:r>
            <w:hyperlink r:id="rId16" w:history="1">
              <w:r w:rsidRPr="00E0378E">
                <w:rPr>
                  <w:rFonts w:ascii="Arial" w:eastAsia="Times New Roman" w:hAnsi="Arial" w:cs="Arial"/>
                  <w:sz w:val="21"/>
                  <w:szCs w:val="21"/>
                </w:rPr>
                <w:t>Google Scholar</w:t>
              </w:r>
            </w:hyperlink>
          </w:p>
        </w:tc>
      </w:tr>
    </w:tbl>
    <w:p w:rsidR="00E0378E" w:rsidRPr="00E0378E" w:rsidRDefault="00E0378E"/>
    <w:sectPr w:rsidR="00E0378E" w:rsidRPr="00E03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8E"/>
    <w:rsid w:val="003045DB"/>
    <w:rsid w:val="00E0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37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7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lmstring-name">
    <w:name w:val="nlm_string-name"/>
    <w:basedOn w:val="DefaultParagraphFont"/>
    <w:rsid w:val="00E0378E"/>
  </w:style>
  <w:style w:type="character" w:customStyle="1" w:styleId="nlmgiven-names">
    <w:name w:val="nlm_given-names"/>
    <w:basedOn w:val="DefaultParagraphFont"/>
    <w:rsid w:val="00E0378E"/>
  </w:style>
  <w:style w:type="character" w:customStyle="1" w:styleId="nlmarticle-title">
    <w:name w:val="nlm_article-title"/>
    <w:basedOn w:val="DefaultParagraphFont"/>
    <w:rsid w:val="00E0378E"/>
  </w:style>
  <w:style w:type="character" w:customStyle="1" w:styleId="nlmfpage">
    <w:name w:val="nlm_fpage"/>
    <w:basedOn w:val="DefaultParagraphFont"/>
    <w:rsid w:val="00E0378E"/>
  </w:style>
  <w:style w:type="character" w:customStyle="1" w:styleId="nlmlpage">
    <w:name w:val="nlm_lpage"/>
    <w:basedOn w:val="DefaultParagraphFont"/>
    <w:rsid w:val="00E0378E"/>
  </w:style>
  <w:style w:type="character" w:customStyle="1" w:styleId="nlmyear">
    <w:name w:val="nlm_year"/>
    <w:basedOn w:val="DefaultParagraphFont"/>
    <w:rsid w:val="00E0378E"/>
  </w:style>
  <w:style w:type="character" w:styleId="Hyperlink">
    <w:name w:val="Hyperlink"/>
    <w:basedOn w:val="DefaultParagraphFont"/>
    <w:uiPriority w:val="99"/>
    <w:semiHidden/>
    <w:unhideWhenUsed/>
    <w:rsid w:val="00E037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03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37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7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lmstring-name">
    <w:name w:val="nlm_string-name"/>
    <w:basedOn w:val="DefaultParagraphFont"/>
    <w:rsid w:val="00E0378E"/>
  </w:style>
  <w:style w:type="character" w:customStyle="1" w:styleId="nlmgiven-names">
    <w:name w:val="nlm_given-names"/>
    <w:basedOn w:val="DefaultParagraphFont"/>
    <w:rsid w:val="00E0378E"/>
  </w:style>
  <w:style w:type="character" w:customStyle="1" w:styleId="nlmarticle-title">
    <w:name w:val="nlm_article-title"/>
    <w:basedOn w:val="DefaultParagraphFont"/>
    <w:rsid w:val="00E0378E"/>
  </w:style>
  <w:style w:type="character" w:customStyle="1" w:styleId="nlmfpage">
    <w:name w:val="nlm_fpage"/>
    <w:basedOn w:val="DefaultParagraphFont"/>
    <w:rsid w:val="00E0378E"/>
  </w:style>
  <w:style w:type="character" w:customStyle="1" w:styleId="nlmlpage">
    <w:name w:val="nlm_lpage"/>
    <w:basedOn w:val="DefaultParagraphFont"/>
    <w:rsid w:val="00E0378E"/>
  </w:style>
  <w:style w:type="character" w:customStyle="1" w:styleId="nlmyear">
    <w:name w:val="nlm_year"/>
    <w:basedOn w:val="DefaultParagraphFont"/>
    <w:rsid w:val="00E0378E"/>
  </w:style>
  <w:style w:type="character" w:styleId="Hyperlink">
    <w:name w:val="Hyperlink"/>
    <w:basedOn w:val="DefaultParagraphFont"/>
    <w:uiPriority w:val="99"/>
    <w:semiHidden/>
    <w:unhideWhenUsed/>
    <w:rsid w:val="00E037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03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548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85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2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lar.google.com/scholar_lookup?hl=en&amp;volume=377&amp;publication_year=2017&amp;pages=122-131&amp;author=G+von+Minckwitz&amp;author=M+Procter&amp;author=E+de+Azambuja&amp;title=Adjuvant+pertuzumab+and+trastuzumab+in+early+HER2-positive+breast+cancer" TargetMode="External"/><Relationship Id="rId13" Type="http://schemas.openxmlformats.org/officeDocument/2006/relationships/hyperlink" Target="https://ascopubs.org/servlet/linkout?suffix=b5&amp;dbid=8&amp;doi=10.1200%2FJCO.22.00420&amp;key=3241678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copubs.org/servlet/linkout?suffix=b2&amp;dbid=8&amp;doi=10.1200%2FJCO.22.00420&amp;key=28581356" TargetMode="External"/><Relationship Id="rId12" Type="http://schemas.openxmlformats.org/officeDocument/2006/relationships/hyperlink" Target="http://scholar.google.com/scholar_lookup?hl=en&amp;volume=79&amp;publication_year=2021&amp;pages=214-221&amp;author=C+Pfister&amp;author=G+Gravis&amp;author=A+Fl%C3%A9chon&amp;title=Randomized+phase+III+trial+of+dose-dense+methotrexate%2C+vinblastine%2C+doxorubicin%2C+and+cisplatin%2C+or+gemcitabine+and+cisplatin+as+perioperative+chemotherapy+for+patients+with+muscle-invasive+bladder+cancer.+Analysis+of+the+GETUG%2FAFU+V05+VESPER+trial+secondary+endpoints%3A+Chemotherapy+toxicity+and+pathological+responses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scholar.google.com/scholar_lookup?hl=en&amp;volume=396&amp;publication_year=2021&amp;pages=1977&amp;author=S+Zhang&amp;author=W+Li&amp;title=PD-1+inhibitors+for+urothelial+cancer%3A+Combination+or+sequential+therapy%3F" TargetMode="External"/><Relationship Id="rId1" Type="http://schemas.openxmlformats.org/officeDocument/2006/relationships/styles" Target="styles.xml"/><Relationship Id="rId6" Type="http://schemas.openxmlformats.org/officeDocument/2006/relationships/hyperlink" Target="http://scholar.google.com/scholar_lookup?hl=en&amp;volume=40&amp;publication_year=2022&amp;pages=1312-1322&amp;author=SA+Funt&amp;author=M+Lattanzi&amp;author=K+Whiting&amp;title=Neoadjuvant+atezolizumab+with+gemcitabine+and+cisplatin+in+patients+with+muscle-invasive+bladder+cancer%3A+A+multicenter%2C+single-arm%2C+phase+II+trial" TargetMode="External"/><Relationship Id="rId11" Type="http://schemas.openxmlformats.org/officeDocument/2006/relationships/hyperlink" Target="https://ascopubs.org/servlet/linkout?suffix=b4&amp;dbid=8&amp;doi=10.1200%2FJCO.22.00420&amp;key=32868138" TargetMode="External"/><Relationship Id="rId5" Type="http://schemas.openxmlformats.org/officeDocument/2006/relationships/hyperlink" Target="https://ascopubs.org/doi/10.1200/JCO.21.01485" TargetMode="External"/><Relationship Id="rId15" Type="http://schemas.openxmlformats.org/officeDocument/2006/relationships/hyperlink" Target="https://ascopubs.org/servlet/linkout?suffix=b6&amp;dbid=8&amp;doi=10.1200%2FJCO.22.00420&amp;key=33341141" TargetMode="External"/><Relationship Id="rId10" Type="http://schemas.openxmlformats.org/officeDocument/2006/relationships/hyperlink" Target="http://scholar.google.com/scholar_lookup?hl=en&amp;volume=61&amp;publication_year=2012&amp;pages=1229-1238&amp;author=R+Rosenblatt&amp;author=A+Sherif&amp;author=E+Rintala&amp;title=Pathologic+downstaging+is+a+surrogate+marker+for+efficacy+and+increased+survival+following+neoadjuvant+chemotherapy+and+radical+cystectomy+for+muscle-invasive+urothelial+bladder+canc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copubs.org/servlet/linkout?suffix=b3&amp;dbid=8&amp;doi=10.1200%2FJCO.22.00420&amp;key=22189383" TargetMode="External"/><Relationship Id="rId14" Type="http://schemas.openxmlformats.org/officeDocument/2006/relationships/hyperlink" Target="http://scholar.google.com/scholar_lookup?hl=en&amp;volume=395&amp;publication_year=2020&amp;pages=1547-1557&amp;author=MD+Galsky&amp;author=J%C3%81A+Arija&amp;author=A+Bamias&amp;title=Atezolizumab+with+or+without+chemotherapy+in+metastatic+urothelial+cancer+%28IMvigor130%29%3A+A+multicentre%2C+randomised%2C+placebo-controlled+phase+3+t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1052</Words>
  <Characters>6001</Characters>
  <Application>Microsoft Office Word</Application>
  <DocSecurity>0</DocSecurity>
  <Lines>50</Lines>
  <Paragraphs>14</Paragraphs>
  <ScaleCrop>false</ScaleCrop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Nursingg Practice 2021</dc:creator>
  <cp:lastModifiedBy>Nursingg Practice 2021</cp:lastModifiedBy>
  <cp:revision>1</cp:revision>
  <dcterms:created xsi:type="dcterms:W3CDTF">2022-06-01T08:34:00Z</dcterms:created>
  <dcterms:modified xsi:type="dcterms:W3CDTF">2022-06-01T08:41:00Z</dcterms:modified>
</cp:coreProperties>
</file>