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40C81" w14:textId="3EAA4278" w:rsidR="009A5C3F" w:rsidRDefault="009A5C3F" w:rsidP="009A5C3F">
      <w:pPr>
        <w:pStyle w:val="BodyText"/>
        <w:spacing w:before="90" w:line="280" w:lineRule="auto"/>
        <w:ind w:left="1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24C4CD43" w14:textId="77777777" w:rsidR="009A5C3F" w:rsidRDefault="009A5C3F" w:rsidP="009A5C3F">
      <w:pPr>
        <w:pStyle w:val="BodyText"/>
        <w:spacing w:before="90" w:line="280" w:lineRule="auto"/>
        <w:ind w:left="1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FABA5" w14:textId="2F32F169" w:rsidR="00427F43" w:rsidRDefault="00427F43" w:rsidP="00427F43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9A5C3F">
        <w:rPr>
          <w:rFonts w:ascii="Times New Roman" w:hAnsi="Times New Roman" w:cs="Times New Roman"/>
          <w:b/>
          <w:bCs/>
          <w:sz w:val="28"/>
          <w:szCs w:val="28"/>
        </w:rPr>
        <w:t>Statement of the Problem:</w:t>
      </w:r>
      <w:r w:rsidRPr="00427F43">
        <w:rPr>
          <w:rFonts w:ascii="Times New Roman" w:hAnsi="Times New Roman" w:cs="Times New Roman"/>
          <w:sz w:val="28"/>
          <w:szCs w:val="28"/>
        </w:rPr>
        <w:t xml:space="preserve"> The World Health Organization (201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27F43">
        <w:rPr>
          <w:rFonts w:ascii="Times New Roman" w:hAnsi="Times New Roman" w:cs="Times New Roman"/>
          <w:sz w:val="28"/>
          <w:szCs w:val="28"/>
        </w:rPr>
        <w:t xml:space="preserve">) recently reported that “worldwide, at least 2.8 million people die each year as a result of being overweight or obese, and an estimated 35.8 million (2.3%) of global Disability-adjusted life years (DALYs) are caused by both cardiovascular wellness and overweight or obesity. The purpose of this study was </w:t>
      </w:r>
      <w:r w:rsidR="00205095">
        <w:rPr>
          <w:rFonts w:ascii="Times New Roman" w:hAnsi="Times New Roman" w:cs="Times New Roman"/>
          <w:sz w:val="28"/>
          <w:szCs w:val="28"/>
        </w:rPr>
        <w:t xml:space="preserve">to </w:t>
      </w:r>
      <w:r w:rsidRPr="00427F43">
        <w:rPr>
          <w:rFonts w:ascii="Times New Roman" w:hAnsi="Times New Roman" w:cs="Times New Roman"/>
          <w:sz w:val="28"/>
          <w:szCs w:val="28"/>
        </w:rPr>
        <w:t xml:space="preserve">examine identifiable risk factors and disease outcomes which may be associated with cardiovascular health in children and adult populations. </w:t>
      </w:r>
    </w:p>
    <w:p w14:paraId="72AD697B" w14:textId="761299D5" w:rsidR="00427F43" w:rsidRDefault="00427F43" w:rsidP="00205095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9A5C3F">
        <w:rPr>
          <w:rFonts w:ascii="Times New Roman" w:hAnsi="Times New Roman" w:cs="Times New Roman"/>
          <w:b/>
          <w:bCs/>
          <w:sz w:val="28"/>
          <w:szCs w:val="28"/>
        </w:rPr>
        <w:t>Methodology &amp; Theoretical Orientation:</w:t>
      </w:r>
      <w:r w:rsidRPr="00427F43">
        <w:rPr>
          <w:rFonts w:ascii="Times New Roman" w:hAnsi="Times New Roman" w:cs="Times New Roman"/>
          <w:sz w:val="28"/>
          <w:szCs w:val="28"/>
        </w:rPr>
        <w:t xml:space="preserve"> This study examined inpatient pediatric patients using the Kids´ Inpatient Database (KID), Healthcare Cost and Utilization Project (HCUP), and the Agency for Healthcare Research and Quality (AHRQ,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27F43">
        <w:rPr>
          <w:rFonts w:ascii="Times New Roman" w:hAnsi="Times New Roman" w:cs="Times New Roman"/>
          <w:sz w:val="28"/>
          <w:szCs w:val="28"/>
        </w:rPr>
        <w:t>;20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427F43">
        <w:rPr>
          <w:rFonts w:ascii="Times New Roman" w:hAnsi="Times New Roman" w:cs="Times New Roman"/>
          <w:sz w:val="28"/>
          <w:szCs w:val="28"/>
        </w:rPr>
        <w:t>). A large randomly drawn national random sample (N = 801,499) which will included girls (n = 410,528) and boys (n = 390,971) between the ages of 10 to 18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7F43">
        <w:rPr>
          <w:rFonts w:ascii="Times New Roman" w:hAnsi="Times New Roman" w:cs="Times New Roman"/>
          <w:sz w:val="28"/>
          <w:szCs w:val="28"/>
        </w:rPr>
        <w:t xml:space="preserve"> was examined in this research study to test for the association between cardiovascular health</w:t>
      </w:r>
      <w:r w:rsidR="00C3612C">
        <w:rPr>
          <w:rFonts w:ascii="Times New Roman" w:hAnsi="Times New Roman" w:cs="Times New Roman"/>
          <w:sz w:val="28"/>
          <w:szCs w:val="28"/>
        </w:rPr>
        <w:t xml:space="preserve">, obesity, </w:t>
      </w:r>
      <w:r w:rsidRPr="00427F43">
        <w:rPr>
          <w:rFonts w:ascii="Times New Roman" w:hAnsi="Times New Roman" w:cs="Times New Roman"/>
          <w:sz w:val="28"/>
          <w:szCs w:val="28"/>
        </w:rPr>
        <w:t>and disease related outcomes.</w:t>
      </w:r>
      <w:r w:rsidR="00205095">
        <w:rPr>
          <w:rFonts w:ascii="Times New Roman" w:hAnsi="Times New Roman" w:cs="Times New Roman"/>
          <w:sz w:val="28"/>
          <w:szCs w:val="28"/>
        </w:rPr>
        <w:t xml:space="preserve"> </w:t>
      </w:r>
      <w:r w:rsidRPr="00427F43">
        <w:rPr>
          <w:rFonts w:ascii="Times New Roman" w:hAnsi="Times New Roman" w:cs="Times New Roman"/>
          <w:sz w:val="28"/>
          <w:szCs w:val="28"/>
        </w:rPr>
        <w:t xml:space="preserve">The Pearson Chi Square test was applied to measure for significant variable associations in this research study in addition to the application of the Cramer’s V analysis to examine for strength of variable associations. </w:t>
      </w:r>
      <w:r w:rsidR="002050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4A3A5" w14:textId="2020080E" w:rsidR="00427F43" w:rsidRDefault="00427F43" w:rsidP="00427F43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9A5C3F">
        <w:rPr>
          <w:rFonts w:ascii="Times New Roman" w:hAnsi="Times New Roman" w:cs="Times New Roman"/>
          <w:b/>
          <w:bCs/>
          <w:sz w:val="28"/>
          <w:szCs w:val="28"/>
        </w:rPr>
        <w:t>Findings:</w:t>
      </w:r>
      <w:r w:rsidRPr="00427F43">
        <w:rPr>
          <w:rFonts w:ascii="Times New Roman" w:hAnsi="Times New Roman" w:cs="Times New Roman"/>
          <w:sz w:val="28"/>
          <w:szCs w:val="28"/>
        </w:rPr>
        <w:t xml:space="preserve"> The research found that there were significant associations between cardiovascular health and health outcomes in children (</w:t>
      </w:r>
      <w:r w:rsidRPr="00427F43">
        <w:rPr>
          <w:rFonts w:ascii="Times New Roman" w:hAnsi="Times New Roman" w:cs="Times New Roman"/>
          <w:i/>
          <w:sz w:val="28"/>
          <w:szCs w:val="28"/>
        </w:rPr>
        <w:t>p</w:t>
      </w:r>
      <w:r w:rsidRPr="00427F43">
        <w:rPr>
          <w:rFonts w:ascii="Times New Roman" w:hAnsi="Times New Roman" w:cs="Times New Roman"/>
          <w:sz w:val="28"/>
          <w:szCs w:val="28"/>
        </w:rPr>
        <w:t xml:space="preserve"> &lt; .001) and that the factors of obesity and type 2 diabetes risk were significant</w:t>
      </w:r>
      <w:r>
        <w:rPr>
          <w:rFonts w:ascii="Times New Roman" w:hAnsi="Times New Roman" w:cs="Times New Roman"/>
          <w:sz w:val="28"/>
          <w:szCs w:val="28"/>
        </w:rPr>
        <w:t>ly</w:t>
      </w:r>
      <w:r w:rsidRPr="00427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associated with</w:t>
      </w:r>
      <w:r w:rsidRPr="00427F43">
        <w:rPr>
          <w:rFonts w:ascii="Times New Roman" w:hAnsi="Times New Roman" w:cs="Times New Roman"/>
          <w:sz w:val="28"/>
          <w:szCs w:val="28"/>
        </w:rPr>
        <w:t xml:space="preserve"> cardiovascular health (</w:t>
      </w:r>
      <w:r w:rsidRPr="00427F43">
        <w:rPr>
          <w:rFonts w:ascii="Times New Roman" w:hAnsi="Times New Roman" w:cs="Times New Roman"/>
          <w:i/>
          <w:sz w:val="28"/>
          <w:szCs w:val="28"/>
        </w:rPr>
        <w:t>p</w:t>
      </w:r>
      <w:r w:rsidRPr="00427F43">
        <w:rPr>
          <w:rFonts w:ascii="Times New Roman" w:hAnsi="Times New Roman" w:cs="Times New Roman"/>
          <w:sz w:val="28"/>
          <w:szCs w:val="28"/>
        </w:rPr>
        <w:t xml:space="preserve"> &lt; .05). </w:t>
      </w:r>
    </w:p>
    <w:p w14:paraId="3F716B96" w14:textId="5C6F4270" w:rsidR="00427F43" w:rsidRPr="00427F43" w:rsidRDefault="00427F43" w:rsidP="00427F43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9A5C3F">
        <w:rPr>
          <w:rFonts w:ascii="Times New Roman" w:hAnsi="Times New Roman" w:cs="Times New Roman"/>
          <w:b/>
          <w:bCs/>
          <w:sz w:val="28"/>
          <w:szCs w:val="28"/>
        </w:rPr>
        <w:t>Conclusion &amp; Significance:</w:t>
      </w:r>
      <w:r w:rsidRPr="00427F43">
        <w:rPr>
          <w:rFonts w:ascii="Times New Roman" w:hAnsi="Times New Roman" w:cs="Times New Roman"/>
          <w:sz w:val="28"/>
          <w:szCs w:val="28"/>
        </w:rPr>
        <w:t xml:space="preserve"> The outcome of this research study provides support for improved efforts to develop more effective strategies to promote positive healthy lifestyles in adults and children’s populations. </w:t>
      </w:r>
    </w:p>
    <w:p w14:paraId="350215AA" w14:textId="77777777" w:rsidR="00167B74" w:rsidRDefault="00167B74"/>
    <w:sectPr w:rsidR="00167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F43"/>
    <w:rsid w:val="00167B74"/>
    <w:rsid w:val="00205095"/>
    <w:rsid w:val="00427F43"/>
    <w:rsid w:val="009A5C3F"/>
    <w:rsid w:val="00C3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31050"/>
  <w15:chartTrackingRefBased/>
  <w15:docId w15:val="{24783A63-EBE8-4C0F-9A40-0B3B9202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27F43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27F43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Byas</dc:creator>
  <cp:keywords/>
  <dc:description/>
  <cp:lastModifiedBy>Damien Byas</cp:lastModifiedBy>
  <cp:revision>3</cp:revision>
  <dcterms:created xsi:type="dcterms:W3CDTF">2022-04-01T07:40:00Z</dcterms:created>
  <dcterms:modified xsi:type="dcterms:W3CDTF">2022-04-01T07:43:00Z</dcterms:modified>
</cp:coreProperties>
</file>