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625" w:rsidRDefault="00C31625"/>
    <w:p w:rsidR="003C51A6" w:rsidRDefault="003C51A6" w:rsidP="003C51A6">
      <w:pPr>
        <w:shd w:val="clear" w:color="auto" w:fill="FFFFFF"/>
        <w:spacing w:after="225" w:line="240" w:lineRule="auto"/>
        <w:outlineLvl w:val="1"/>
        <w:rPr>
          <w:rFonts w:ascii="Arial" w:eastAsia="Times New Roman" w:hAnsi="Arial" w:cs="Arial"/>
          <w:b/>
          <w:bCs/>
          <w:color w:val="292B2C"/>
          <w:sz w:val="36"/>
          <w:szCs w:val="36"/>
        </w:rPr>
      </w:pPr>
    </w:p>
    <w:p w:rsidR="003C51A6" w:rsidRDefault="003C51A6" w:rsidP="003C51A6">
      <w:pPr>
        <w:shd w:val="clear" w:color="auto" w:fill="FFFFFF"/>
        <w:spacing w:after="225" w:line="240" w:lineRule="auto"/>
        <w:outlineLvl w:val="1"/>
        <w:rPr>
          <w:rFonts w:ascii="Arial" w:eastAsia="Times New Roman" w:hAnsi="Arial" w:cs="Arial"/>
          <w:b/>
          <w:bCs/>
          <w:color w:val="292B2C"/>
          <w:sz w:val="36"/>
          <w:szCs w:val="36"/>
        </w:rPr>
      </w:pPr>
      <w:r w:rsidRPr="003C51A6">
        <w:rPr>
          <w:rFonts w:ascii="Arial" w:eastAsia="Times New Roman" w:hAnsi="Arial" w:cs="Arial"/>
          <w:b/>
          <w:bCs/>
          <w:color w:val="292B2C"/>
          <w:sz w:val="36"/>
          <w:szCs w:val="36"/>
        </w:rPr>
        <w:t>Effect of Omental Reattachment on Food Tolerance and Gastric Emptying in Laparoscopic Sleeve Gastrectomy</w:t>
      </w:r>
      <w:r>
        <w:rPr>
          <w:rFonts w:ascii="Arial" w:eastAsia="Times New Roman" w:hAnsi="Arial" w:cs="Arial"/>
          <w:b/>
          <w:bCs/>
          <w:color w:val="292B2C"/>
          <w:sz w:val="36"/>
          <w:szCs w:val="36"/>
        </w:rPr>
        <w:t xml:space="preserve"> </w:t>
      </w:r>
    </w:p>
    <w:p w:rsidR="003C51A6" w:rsidRPr="003C51A6" w:rsidRDefault="003C51A6" w:rsidP="003C51A6">
      <w:pPr>
        <w:shd w:val="clear" w:color="auto" w:fill="FFFFFF"/>
        <w:spacing w:after="225" w:line="240" w:lineRule="auto"/>
        <w:outlineLvl w:val="1"/>
        <w:rPr>
          <w:rFonts w:ascii="Arial" w:eastAsia="Times New Roman" w:hAnsi="Arial" w:cs="Arial"/>
          <w:color w:val="292B2C"/>
          <w:sz w:val="20"/>
          <w:szCs w:val="20"/>
        </w:rPr>
      </w:pPr>
      <w:r w:rsidRPr="003C51A6">
        <w:rPr>
          <w:rFonts w:ascii="Arial" w:eastAsia="Times New Roman" w:hAnsi="Arial" w:cs="Arial"/>
          <w:color w:val="292B2C"/>
          <w:sz w:val="20"/>
          <w:szCs w:val="20"/>
        </w:rPr>
        <w:t xml:space="preserve">Ibrahim G. </w:t>
      </w:r>
      <w:proofErr w:type="spellStart"/>
      <w:r w:rsidRPr="003C51A6">
        <w:rPr>
          <w:rFonts w:ascii="Arial" w:eastAsia="Times New Roman" w:hAnsi="Arial" w:cs="Arial"/>
          <w:color w:val="292B2C"/>
          <w:sz w:val="20"/>
          <w:szCs w:val="20"/>
        </w:rPr>
        <w:t>Khalifa</w:t>
      </w:r>
      <w:proofErr w:type="spellEnd"/>
      <w:r w:rsidRPr="003C51A6">
        <w:rPr>
          <w:rFonts w:ascii="Arial" w:eastAsia="Times New Roman" w:hAnsi="Arial" w:cs="Arial"/>
          <w:color w:val="292B2C"/>
          <w:sz w:val="20"/>
          <w:szCs w:val="20"/>
        </w:rPr>
        <w:t xml:space="preserve">, Hany A. </w:t>
      </w:r>
      <w:proofErr w:type="spellStart"/>
      <w:r w:rsidRPr="003C51A6">
        <w:rPr>
          <w:rFonts w:ascii="Arial" w:eastAsia="Times New Roman" w:hAnsi="Arial" w:cs="Arial"/>
          <w:color w:val="292B2C"/>
          <w:sz w:val="20"/>
          <w:szCs w:val="20"/>
        </w:rPr>
        <w:t>Balamoun</w:t>
      </w:r>
      <w:proofErr w:type="spellEnd"/>
      <w:r w:rsidRPr="003C51A6">
        <w:rPr>
          <w:rFonts w:ascii="Arial" w:eastAsia="Times New Roman" w:hAnsi="Arial" w:cs="Arial"/>
          <w:color w:val="292B2C"/>
          <w:sz w:val="20"/>
          <w:szCs w:val="20"/>
        </w:rPr>
        <w:t xml:space="preserve">, Omar </w:t>
      </w:r>
      <w:proofErr w:type="spellStart"/>
      <w:r w:rsidRPr="003C51A6">
        <w:rPr>
          <w:rFonts w:ascii="Arial" w:eastAsia="Times New Roman" w:hAnsi="Arial" w:cs="Arial"/>
          <w:color w:val="292B2C"/>
          <w:sz w:val="20"/>
          <w:szCs w:val="20"/>
        </w:rPr>
        <w:t>Lasheen</w:t>
      </w:r>
      <w:proofErr w:type="spellEnd"/>
      <w:r w:rsidRPr="003C51A6">
        <w:rPr>
          <w:rFonts w:ascii="Arial" w:eastAsia="Times New Roman" w:hAnsi="Arial" w:cs="Arial"/>
          <w:color w:val="292B2C"/>
          <w:sz w:val="20"/>
          <w:szCs w:val="20"/>
        </w:rPr>
        <w:t xml:space="preserve">, Mohamed Y. Ibrahim, </w:t>
      </w:r>
      <w:proofErr w:type="spellStart"/>
      <w:r w:rsidRPr="003C51A6">
        <w:rPr>
          <w:rFonts w:ascii="Arial" w:eastAsia="Times New Roman" w:hAnsi="Arial" w:cs="Arial"/>
          <w:color w:val="292B2C"/>
          <w:sz w:val="20"/>
          <w:szCs w:val="20"/>
        </w:rPr>
        <w:t>Abdrabou</w:t>
      </w:r>
      <w:proofErr w:type="spellEnd"/>
      <w:r w:rsidRPr="003C51A6">
        <w:rPr>
          <w:rFonts w:ascii="Arial" w:eastAsia="Times New Roman" w:hAnsi="Arial" w:cs="Arial"/>
          <w:color w:val="292B2C"/>
          <w:sz w:val="20"/>
          <w:szCs w:val="20"/>
        </w:rPr>
        <w:t xml:space="preserve"> N. Mashhour, and Ahmed A. </w:t>
      </w:r>
      <w:proofErr w:type="spellStart"/>
      <w:r w:rsidRPr="003C51A6">
        <w:rPr>
          <w:rFonts w:ascii="Arial" w:eastAsia="Times New Roman" w:hAnsi="Arial" w:cs="Arial"/>
          <w:color w:val="292B2C"/>
          <w:sz w:val="20"/>
          <w:szCs w:val="20"/>
        </w:rPr>
        <w:t>Kandeel</w:t>
      </w:r>
      <w:proofErr w:type="spellEnd"/>
    </w:p>
    <w:p w:rsidR="003C51A6" w:rsidRPr="003C51A6" w:rsidRDefault="003C51A6" w:rsidP="003C51A6">
      <w:pPr>
        <w:shd w:val="clear" w:color="auto" w:fill="FFFFFF"/>
        <w:spacing w:after="225" w:line="240" w:lineRule="auto"/>
        <w:outlineLvl w:val="1"/>
        <w:rPr>
          <w:rFonts w:ascii="Arial" w:eastAsia="Times New Roman" w:hAnsi="Arial" w:cs="Arial"/>
          <w:color w:val="292B2C"/>
          <w:sz w:val="20"/>
          <w:szCs w:val="20"/>
        </w:rPr>
      </w:pPr>
      <w:r w:rsidRPr="003C51A6">
        <w:rPr>
          <w:rFonts w:ascii="Arial" w:eastAsia="Times New Roman" w:hAnsi="Arial" w:cs="Arial"/>
          <w:color w:val="292B2C"/>
          <w:sz w:val="20"/>
          <w:szCs w:val="20"/>
        </w:rPr>
        <w:t>Published Online</w:t>
      </w:r>
      <w:proofErr w:type="gramStart"/>
      <w:r w:rsidRPr="003C51A6">
        <w:rPr>
          <w:rFonts w:ascii="Arial" w:eastAsia="Times New Roman" w:hAnsi="Arial" w:cs="Arial"/>
          <w:color w:val="292B2C"/>
          <w:sz w:val="20"/>
          <w:szCs w:val="20"/>
        </w:rPr>
        <w:t>:1</w:t>
      </w:r>
      <w:proofErr w:type="gramEnd"/>
      <w:r w:rsidRPr="003C51A6">
        <w:rPr>
          <w:rFonts w:ascii="Arial" w:eastAsia="Times New Roman" w:hAnsi="Arial" w:cs="Arial"/>
          <w:color w:val="292B2C"/>
          <w:sz w:val="20"/>
          <w:szCs w:val="20"/>
        </w:rPr>
        <w:t xml:space="preserve"> Jun 2018https://doi.org/10.1089/bari.2018.0013</w:t>
      </w:r>
    </w:p>
    <w:p w:rsidR="003C51A6" w:rsidRPr="003C51A6" w:rsidRDefault="003C51A6" w:rsidP="003C51A6">
      <w:pPr>
        <w:shd w:val="clear" w:color="auto" w:fill="FFFFFF"/>
        <w:spacing w:after="225" w:line="240" w:lineRule="auto"/>
        <w:outlineLvl w:val="1"/>
        <w:rPr>
          <w:rFonts w:ascii="Arial" w:eastAsia="Times New Roman" w:hAnsi="Arial" w:cs="Arial"/>
          <w:b/>
          <w:bCs/>
          <w:color w:val="292B2C"/>
          <w:sz w:val="36"/>
          <w:szCs w:val="36"/>
        </w:rPr>
      </w:pPr>
      <w:r w:rsidRPr="003C51A6">
        <w:rPr>
          <w:rFonts w:ascii="Arial" w:eastAsia="Times New Roman" w:hAnsi="Arial" w:cs="Arial"/>
          <w:b/>
          <w:bCs/>
          <w:color w:val="292B2C"/>
          <w:sz w:val="36"/>
          <w:szCs w:val="36"/>
        </w:rPr>
        <w:t>Abstract</w:t>
      </w:r>
    </w:p>
    <w:p w:rsidR="003C51A6" w:rsidRPr="003C51A6" w:rsidRDefault="003C51A6" w:rsidP="003C51A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92B2C"/>
          <w:sz w:val="24"/>
          <w:szCs w:val="24"/>
        </w:rPr>
      </w:pPr>
      <w:r w:rsidRPr="003C51A6">
        <w:rPr>
          <w:rFonts w:ascii="Arial" w:eastAsia="Times New Roman" w:hAnsi="Arial" w:cs="Arial"/>
          <w:b/>
          <w:bCs/>
          <w:i/>
          <w:iCs/>
          <w:color w:val="292B2C"/>
          <w:sz w:val="24"/>
          <w:szCs w:val="24"/>
        </w:rPr>
        <w:t>Purpose:</w:t>
      </w:r>
      <w:r w:rsidRPr="003C51A6">
        <w:rPr>
          <w:rFonts w:ascii="Arial" w:eastAsia="Times New Roman" w:hAnsi="Arial" w:cs="Arial"/>
          <w:color w:val="292B2C"/>
          <w:sz w:val="24"/>
          <w:szCs w:val="24"/>
        </w:rPr>
        <w:t> The study aims to evaluate the potential benefit of omental reattachment in laparoscopic sleeve gastrectomy (LSG) and its effect on food tolerance and gastric emptying (GE).</w:t>
      </w:r>
    </w:p>
    <w:p w:rsidR="003C51A6" w:rsidRPr="003C51A6" w:rsidRDefault="003C51A6" w:rsidP="003C51A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92B2C"/>
          <w:sz w:val="24"/>
          <w:szCs w:val="24"/>
        </w:rPr>
      </w:pPr>
      <w:r w:rsidRPr="003C51A6">
        <w:rPr>
          <w:rFonts w:ascii="Arial" w:eastAsia="Times New Roman" w:hAnsi="Arial" w:cs="Arial"/>
          <w:b/>
          <w:bCs/>
          <w:i/>
          <w:iCs/>
          <w:color w:val="292B2C"/>
          <w:sz w:val="24"/>
          <w:szCs w:val="24"/>
        </w:rPr>
        <w:t>Patients and Methods:</w:t>
      </w:r>
      <w:r w:rsidRPr="003C51A6">
        <w:rPr>
          <w:rFonts w:ascii="Arial" w:eastAsia="Times New Roman" w:hAnsi="Arial" w:cs="Arial"/>
          <w:color w:val="292B2C"/>
          <w:sz w:val="24"/>
          <w:szCs w:val="24"/>
        </w:rPr>
        <w:t> This prospective study included 40 morbidly obese adults scheduled for LSG from January 2017 to January 2018. They were randomly assigned into one of two groups: reattachment group (</w:t>
      </w:r>
      <w:r w:rsidRPr="003C51A6">
        <w:rPr>
          <w:rFonts w:ascii="Arial" w:eastAsia="Times New Roman" w:hAnsi="Arial" w:cs="Arial"/>
          <w:i/>
          <w:iCs/>
          <w:color w:val="292B2C"/>
          <w:sz w:val="24"/>
          <w:szCs w:val="24"/>
        </w:rPr>
        <w:t>n</w:t>
      </w:r>
      <w:r w:rsidRPr="003C51A6">
        <w:rPr>
          <w:rFonts w:ascii="Arial" w:eastAsia="Times New Roman" w:hAnsi="Arial" w:cs="Arial"/>
          <w:color w:val="292B2C"/>
          <w:sz w:val="24"/>
          <w:szCs w:val="24"/>
        </w:rPr>
        <w:t> = 20) had omental reattachment at the end of LSG and non-reattachment group (</w:t>
      </w:r>
      <w:r w:rsidRPr="003C51A6">
        <w:rPr>
          <w:rFonts w:ascii="Arial" w:eastAsia="Times New Roman" w:hAnsi="Arial" w:cs="Arial"/>
          <w:i/>
          <w:iCs/>
          <w:color w:val="292B2C"/>
          <w:sz w:val="24"/>
          <w:szCs w:val="24"/>
        </w:rPr>
        <w:t>n</w:t>
      </w:r>
      <w:r w:rsidRPr="003C51A6">
        <w:rPr>
          <w:rFonts w:ascii="Arial" w:eastAsia="Times New Roman" w:hAnsi="Arial" w:cs="Arial"/>
          <w:color w:val="292B2C"/>
          <w:sz w:val="24"/>
          <w:szCs w:val="24"/>
        </w:rPr>
        <w:t> = 20) had LSG without omental reattachment. Food tolerance was assessed using the Suter's questionnaire, and GE was studied radiologically 2–3 months after the operation.</w:t>
      </w:r>
    </w:p>
    <w:p w:rsidR="003C51A6" w:rsidRPr="003C51A6" w:rsidRDefault="003C51A6" w:rsidP="003C51A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92B2C"/>
          <w:sz w:val="24"/>
          <w:szCs w:val="24"/>
        </w:rPr>
      </w:pPr>
      <w:r w:rsidRPr="003C51A6">
        <w:rPr>
          <w:rFonts w:ascii="Arial" w:eastAsia="Times New Roman" w:hAnsi="Arial" w:cs="Arial"/>
          <w:b/>
          <w:bCs/>
          <w:i/>
          <w:iCs/>
          <w:color w:val="292B2C"/>
          <w:sz w:val="24"/>
          <w:szCs w:val="24"/>
        </w:rPr>
        <w:t>Results:</w:t>
      </w:r>
      <w:r w:rsidRPr="003C51A6">
        <w:rPr>
          <w:rFonts w:ascii="Arial" w:eastAsia="Times New Roman" w:hAnsi="Arial" w:cs="Arial"/>
          <w:color w:val="292B2C"/>
          <w:sz w:val="24"/>
          <w:szCs w:val="24"/>
        </w:rPr>
        <w:t> GE of liquids and solids was significantly faster in the non-reattachment group. Liquid emptying T½ in the reattachment group was 25.0 ± 6.2 min compared to 11.8 ± 3.0 min in the non-reattachment group (</w:t>
      </w:r>
      <w:r w:rsidRPr="003C51A6">
        <w:rPr>
          <w:rFonts w:ascii="Arial" w:eastAsia="Times New Roman" w:hAnsi="Arial" w:cs="Arial"/>
          <w:i/>
          <w:iCs/>
          <w:color w:val="292B2C"/>
          <w:sz w:val="24"/>
          <w:szCs w:val="24"/>
        </w:rPr>
        <w:t>p</w:t>
      </w:r>
      <w:r w:rsidRPr="003C51A6">
        <w:rPr>
          <w:rFonts w:ascii="Arial" w:eastAsia="Times New Roman" w:hAnsi="Arial" w:cs="Arial"/>
          <w:color w:val="292B2C"/>
          <w:sz w:val="24"/>
          <w:szCs w:val="24"/>
        </w:rPr>
        <w:t> &lt; 0.001). Solid emptying T½ in the reattachment group was 49.0 ± 13.8 min compared to 28.4 ± 8.3 min in the non-reattachment group (</w:t>
      </w:r>
      <w:r w:rsidRPr="003C51A6">
        <w:rPr>
          <w:rFonts w:ascii="Arial" w:eastAsia="Times New Roman" w:hAnsi="Arial" w:cs="Arial"/>
          <w:i/>
          <w:iCs/>
          <w:color w:val="292B2C"/>
          <w:sz w:val="24"/>
          <w:szCs w:val="24"/>
        </w:rPr>
        <w:t>p</w:t>
      </w:r>
      <w:r w:rsidRPr="003C51A6">
        <w:rPr>
          <w:rFonts w:ascii="Arial" w:eastAsia="Times New Roman" w:hAnsi="Arial" w:cs="Arial"/>
          <w:color w:val="292B2C"/>
          <w:sz w:val="24"/>
          <w:szCs w:val="24"/>
        </w:rPr>
        <w:t> &lt; 0.001). There was no significant difference between the two groups in percentage of excess weight loss (</w:t>
      </w:r>
      <w:r w:rsidRPr="003C51A6">
        <w:rPr>
          <w:rFonts w:ascii="Arial" w:eastAsia="Times New Roman" w:hAnsi="Arial" w:cs="Arial"/>
          <w:i/>
          <w:iCs/>
          <w:color w:val="292B2C"/>
          <w:sz w:val="24"/>
          <w:szCs w:val="24"/>
        </w:rPr>
        <w:t>p</w:t>
      </w:r>
      <w:r w:rsidRPr="003C51A6">
        <w:rPr>
          <w:rFonts w:ascii="Arial" w:eastAsia="Times New Roman" w:hAnsi="Arial" w:cs="Arial"/>
          <w:color w:val="292B2C"/>
          <w:sz w:val="24"/>
          <w:szCs w:val="24"/>
        </w:rPr>
        <w:t> = 0.581) and the total score of food tolerance (</w:t>
      </w:r>
      <w:r w:rsidRPr="003C51A6">
        <w:rPr>
          <w:rFonts w:ascii="Arial" w:eastAsia="Times New Roman" w:hAnsi="Arial" w:cs="Arial"/>
          <w:i/>
          <w:iCs/>
          <w:color w:val="292B2C"/>
          <w:sz w:val="24"/>
          <w:szCs w:val="24"/>
        </w:rPr>
        <w:t>p</w:t>
      </w:r>
      <w:r w:rsidRPr="003C51A6">
        <w:rPr>
          <w:rFonts w:ascii="Arial" w:eastAsia="Times New Roman" w:hAnsi="Arial" w:cs="Arial"/>
          <w:color w:val="292B2C"/>
          <w:sz w:val="24"/>
          <w:szCs w:val="24"/>
        </w:rPr>
        <w:t> = 0.529).</w:t>
      </w:r>
    </w:p>
    <w:p w:rsidR="003C51A6" w:rsidRPr="003C51A6" w:rsidRDefault="003C51A6" w:rsidP="003C51A6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92B2C"/>
          <w:sz w:val="24"/>
          <w:szCs w:val="24"/>
        </w:rPr>
      </w:pPr>
      <w:r w:rsidRPr="003C51A6">
        <w:rPr>
          <w:rFonts w:ascii="Arial" w:eastAsia="Times New Roman" w:hAnsi="Arial" w:cs="Arial"/>
          <w:b/>
          <w:bCs/>
          <w:i/>
          <w:iCs/>
          <w:color w:val="292B2C"/>
          <w:sz w:val="24"/>
          <w:szCs w:val="24"/>
        </w:rPr>
        <w:t>Conclusion:</w:t>
      </w:r>
      <w:r w:rsidRPr="003C51A6">
        <w:rPr>
          <w:rFonts w:ascii="Arial" w:eastAsia="Times New Roman" w:hAnsi="Arial" w:cs="Arial"/>
          <w:color w:val="292B2C"/>
          <w:sz w:val="24"/>
          <w:szCs w:val="24"/>
        </w:rPr>
        <w:t xml:space="preserve"> Reattaching the greater </w:t>
      </w:r>
      <w:proofErr w:type="spellStart"/>
      <w:r w:rsidRPr="003C51A6">
        <w:rPr>
          <w:rFonts w:ascii="Arial" w:eastAsia="Times New Roman" w:hAnsi="Arial" w:cs="Arial"/>
          <w:color w:val="292B2C"/>
          <w:sz w:val="24"/>
          <w:szCs w:val="24"/>
        </w:rPr>
        <w:t>omentum</w:t>
      </w:r>
      <w:proofErr w:type="spellEnd"/>
      <w:r w:rsidRPr="003C51A6">
        <w:rPr>
          <w:rFonts w:ascii="Arial" w:eastAsia="Times New Roman" w:hAnsi="Arial" w:cs="Arial"/>
          <w:color w:val="292B2C"/>
          <w:sz w:val="24"/>
          <w:szCs w:val="24"/>
        </w:rPr>
        <w:t xml:space="preserve"> to the new greater curvature of the gastric sleeve during LSG delays GE of liquids and solids as evidenced by gastric scintigraphy. This delay was not associated with food intolerance.</w:t>
      </w:r>
    </w:p>
    <w:p w:rsidR="003C51A6" w:rsidRDefault="003C51A6"/>
    <w:p w:rsidR="003C51A6" w:rsidRDefault="003C51A6" w:rsidP="003C51A6">
      <w:pPr>
        <w:shd w:val="clear" w:color="auto" w:fill="FFFFFF"/>
        <w:spacing w:after="0" w:line="240" w:lineRule="auto"/>
      </w:pPr>
      <w:r>
        <w:t>Bibliography:</w:t>
      </w:r>
    </w:p>
    <w:p w:rsidR="003C51A6" w:rsidRDefault="003C51A6" w:rsidP="003C51A6">
      <w:pPr>
        <w:shd w:val="clear" w:color="auto" w:fill="FFFFFF"/>
        <w:spacing w:after="0" w:line="240" w:lineRule="auto"/>
      </w:pPr>
    </w:p>
    <w:p w:rsidR="003C51A6" w:rsidRPr="003C51A6" w:rsidRDefault="003C51A6" w:rsidP="003C51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92B2C"/>
          <w:sz w:val="21"/>
          <w:szCs w:val="21"/>
        </w:rPr>
      </w:pPr>
      <w:r>
        <w:t xml:space="preserve">Omar </w:t>
      </w:r>
      <w:proofErr w:type="spellStart"/>
      <w:r>
        <w:t>Lasheen</w:t>
      </w:r>
      <w:proofErr w:type="spellEnd"/>
      <w:r>
        <w:t xml:space="preserve"> is a general surgery Specialty Doctor in Royal Oldham Hospital, PAT. He has an MSc from Cairo </w:t>
      </w:r>
      <w:proofErr w:type="gramStart"/>
      <w:r>
        <w:t>university</w:t>
      </w:r>
      <w:bookmarkStart w:id="0" w:name="_GoBack"/>
      <w:bookmarkEnd w:id="0"/>
      <w:proofErr w:type="gramEnd"/>
      <w:r>
        <w:t xml:space="preserve"> where he trained in bariatric surgery for 5 years.</w:t>
      </w:r>
    </w:p>
    <w:p w:rsidR="003C51A6" w:rsidRDefault="003C51A6"/>
    <w:sectPr w:rsidR="003C5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1A6"/>
    <w:rsid w:val="003C51A6"/>
    <w:rsid w:val="00C31625"/>
    <w:rsid w:val="00C7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51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3C51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C51A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3C5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C51A6"/>
    <w:rPr>
      <w:color w:val="0000FF"/>
      <w:u w:val="single"/>
    </w:rPr>
  </w:style>
  <w:style w:type="character" w:customStyle="1" w:styleId="author-name">
    <w:name w:val="author-name"/>
    <w:basedOn w:val="DefaultParagraphFont"/>
    <w:rsid w:val="003C51A6"/>
  </w:style>
  <w:style w:type="character" w:customStyle="1" w:styleId="Heading1Char">
    <w:name w:val="Heading 1 Char"/>
    <w:basedOn w:val="DefaultParagraphFont"/>
    <w:link w:val="Heading1"/>
    <w:uiPriority w:val="9"/>
    <w:rsid w:val="003C51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51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3C51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C51A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3C5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C51A6"/>
    <w:rPr>
      <w:color w:val="0000FF"/>
      <w:u w:val="single"/>
    </w:rPr>
  </w:style>
  <w:style w:type="character" w:customStyle="1" w:styleId="author-name">
    <w:name w:val="author-name"/>
    <w:basedOn w:val="DefaultParagraphFont"/>
    <w:rsid w:val="003C51A6"/>
  </w:style>
  <w:style w:type="character" w:customStyle="1" w:styleId="Heading1Char">
    <w:name w:val="Heading 1 Char"/>
    <w:basedOn w:val="DefaultParagraphFont"/>
    <w:link w:val="Heading1"/>
    <w:uiPriority w:val="9"/>
    <w:rsid w:val="003C51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7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3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175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4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2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190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830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0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925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24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58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4859229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6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G</cp:lastModifiedBy>
  <cp:revision>1</cp:revision>
  <dcterms:created xsi:type="dcterms:W3CDTF">2020-05-14T17:38:00Z</dcterms:created>
  <dcterms:modified xsi:type="dcterms:W3CDTF">2020-05-14T17:44:00Z</dcterms:modified>
</cp:coreProperties>
</file>