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61BED" w:rsidRDefault="00761BED" w:rsidP="00761BED">
      <w:pPr>
        <w:jc w:val="center"/>
        <w:rPr>
          <w:b/>
          <w:bCs/>
          <w:sz w:val="36"/>
          <w:szCs w:val="36"/>
        </w:rPr>
      </w:pPr>
      <w:r w:rsidRPr="00A22E42">
        <w:rPr>
          <w:b/>
          <w:bCs/>
          <w:sz w:val="36"/>
          <w:szCs w:val="36"/>
        </w:rPr>
        <w:t xml:space="preserve">Adult </w:t>
      </w:r>
      <w:r w:rsidR="00A22E42" w:rsidRPr="00A22E42">
        <w:rPr>
          <w:b/>
          <w:bCs/>
          <w:sz w:val="36"/>
          <w:szCs w:val="36"/>
        </w:rPr>
        <w:t>Lactose Intolerance (ALI), Calcium and Bone Health</w:t>
      </w:r>
    </w:p>
    <w:p w:rsidR="00A22E42" w:rsidRDefault="00A22E42" w:rsidP="00825FE2">
      <w:pPr>
        <w:rPr>
          <w:b/>
          <w:bCs/>
          <w:sz w:val="24"/>
          <w:szCs w:val="24"/>
        </w:rPr>
      </w:pPr>
    </w:p>
    <w:p w:rsidR="00825FE2" w:rsidRDefault="00825FE2" w:rsidP="00825FE2">
      <w:pPr>
        <w:rPr>
          <w:sz w:val="24"/>
          <w:szCs w:val="24"/>
        </w:rPr>
      </w:pPr>
      <w:r w:rsidRPr="005F3804">
        <w:rPr>
          <w:b/>
          <w:bCs/>
          <w:sz w:val="24"/>
          <w:szCs w:val="24"/>
        </w:rPr>
        <w:t>Amina Fouad Al Houssari</w:t>
      </w:r>
      <w:r w:rsidRPr="00140964">
        <w:rPr>
          <w:sz w:val="24"/>
          <w:szCs w:val="24"/>
        </w:rPr>
        <w:t xml:space="preserve"> </w:t>
      </w:r>
      <w:r w:rsidR="00140964" w:rsidRPr="00140964">
        <w:rPr>
          <w:sz w:val="24"/>
          <w:szCs w:val="24"/>
        </w:rPr>
        <w:t>– Clinical RDN</w:t>
      </w:r>
    </w:p>
    <w:p w:rsidR="00140964" w:rsidRDefault="00140964" w:rsidP="00825FE2">
      <w:pPr>
        <w:rPr>
          <w:sz w:val="24"/>
          <w:szCs w:val="24"/>
        </w:rPr>
      </w:pPr>
    </w:p>
    <w:p w:rsidR="00CD0080" w:rsidRDefault="00CD0080" w:rsidP="00825FE2">
      <w:pPr>
        <w:rPr>
          <w:sz w:val="24"/>
          <w:szCs w:val="24"/>
        </w:rPr>
      </w:pPr>
      <w:r>
        <w:rPr>
          <w:sz w:val="24"/>
          <w:szCs w:val="24"/>
        </w:rPr>
        <w:t>Lebanese International University, Beirut, Lebanon</w:t>
      </w:r>
    </w:p>
    <w:p w:rsidR="005F3804" w:rsidRDefault="005F3804" w:rsidP="00825FE2">
      <w:pPr>
        <w:rPr>
          <w:sz w:val="24"/>
          <w:szCs w:val="24"/>
        </w:rPr>
      </w:pPr>
    </w:p>
    <w:p w:rsidR="005F3804" w:rsidRDefault="00B46554" w:rsidP="00825FE2">
      <w:pPr>
        <w:rPr>
          <w:sz w:val="24"/>
          <w:szCs w:val="24"/>
        </w:rPr>
      </w:pPr>
      <w:r w:rsidRPr="00B46554">
        <w:rPr>
          <w:b/>
          <w:bCs/>
          <w:sz w:val="24"/>
          <w:szCs w:val="24"/>
        </w:rPr>
        <w:t>Background</w:t>
      </w:r>
      <w:r>
        <w:rPr>
          <w:sz w:val="24"/>
          <w:szCs w:val="24"/>
        </w:rPr>
        <w:t xml:space="preserve">: </w:t>
      </w:r>
      <w:r w:rsidR="00E9755D">
        <w:rPr>
          <w:sz w:val="24"/>
          <w:szCs w:val="24"/>
        </w:rPr>
        <w:t xml:space="preserve">Bone health is a complex issue </w:t>
      </w:r>
      <w:r w:rsidR="00A950E1">
        <w:rPr>
          <w:sz w:val="24"/>
          <w:szCs w:val="24"/>
        </w:rPr>
        <w:t xml:space="preserve">affected by multiple hormones and </w:t>
      </w:r>
      <w:r w:rsidR="006B14B7">
        <w:rPr>
          <w:sz w:val="24"/>
          <w:szCs w:val="24"/>
        </w:rPr>
        <w:t xml:space="preserve">minerals. Findings show </w:t>
      </w:r>
      <w:r w:rsidR="002A131C">
        <w:rPr>
          <w:sz w:val="24"/>
          <w:szCs w:val="24"/>
        </w:rPr>
        <w:t xml:space="preserve">that 1 </w:t>
      </w:r>
      <w:r w:rsidR="00A950E1">
        <w:rPr>
          <w:sz w:val="24"/>
          <w:szCs w:val="24"/>
        </w:rPr>
        <w:t>out of 3 women and 1</w:t>
      </w:r>
      <w:r w:rsidR="00610B80">
        <w:rPr>
          <w:sz w:val="24"/>
          <w:szCs w:val="24"/>
        </w:rPr>
        <w:t xml:space="preserve"> </w:t>
      </w:r>
      <w:r w:rsidR="00A950E1">
        <w:rPr>
          <w:sz w:val="24"/>
          <w:szCs w:val="24"/>
        </w:rPr>
        <w:t xml:space="preserve">out of 5 men are suffering </w:t>
      </w:r>
      <w:r w:rsidR="006B14B7">
        <w:rPr>
          <w:sz w:val="24"/>
          <w:szCs w:val="24"/>
        </w:rPr>
        <w:t>from osteoporosis</w:t>
      </w:r>
      <w:r w:rsidR="002A131C">
        <w:rPr>
          <w:sz w:val="24"/>
          <w:szCs w:val="24"/>
        </w:rPr>
        <w:t xml:space="preserve">. Some of </w:t>
      </w:r>
      <w:r w:rsidR="004E444D">
        <w:rPr>
          <w:sz w:val="24"/>
          <w:szCs w:val="24"/>
        </w:rPr>
        <w:t>the adults group are suffering from Adult Lactose Intolerance (</w:t>
      </w:r>
      <w:r w:rsidR="004E444D" w:rsidRPr="004E444D">
        <w:rPr>
          <w:b/>
          <w:bCs/>
          <w:sz w:val="24"/>
          <w:szCs w:val="24"/>
        </w:rPr>
        <w:t>ALI</w:t>
      </w:r>
      <w:r w:rsidR="004E444D">
        <w:rPr>
          <w:sz w:val="24"/>
          <w:szCs w:val="24"/>
        </w:rPr>
        <w:t xml:space="preserve">). </w:t>
      </w:r>
      <w:r w:rsidR="009A4299">
        <w:rPr>
          <w:sz w:val="24"/>
          <w:szCs w:val="24"/>
        </w:rPr>
        <w:t xml:space="preserve">Those </w:t>
      </w:r>
      <w:r w:rsidR="005D7936">
        <w:rPr>
          <w:sz w:val="24"/>
          <w:szCs w:val="24"/>
        </w:rPr>
        <w:t xml:space="preserve">cases prefer not consume dairy products since they feel uncomfortable after eating </w:t>
      </w:r>
      <w:r w:rsidR="00E4352F">
        <w:rPr>
          <w:sz w:val="24"/>
          <w:szCs w:val="24"/>
        </w:rPr>
        <w:t xml:space="preserve">cheese or drinking milk knowing that they are not lactose-free food. Now, we investigate the influence of </w:t>
      </w:r>
      <w:r w:rsidR="00D7716C">
        <w:rPr>
          <w:sz w:val="24"/>
          <w:szCs w:val="24"/>
        </w:rPr>
        <w:t xml:space="preserve">(ALI) on Calcium </w:t>
      </w:r>
      <w:r w:rsidR="003304AA">
        <w:rPr>
          <w:sz w:val="24"/>
          <w:szCs w:val="24"/>
        </w:rPr>
        <w:t>intake, a</w:t>
      </w:r>
      <w:r w:rsidR="00D7716C">
        <w:rPr>
          <w:sz w:val="24"/>
          <w:szCs w:val="24"/>
        </w:rPr>
        <w:t>bsorption</w:t>
      </w:r>
      <w:r w:rsidR="003304AA">
        <w:rPr>
          <w:sz w:val="24"/>
          <w:szCs w:val="24"/>
        </w:rPr>
        <w:t xml:space="preserve"> and osteoporosis. </w:t>
      </w:r>
      <w:r w:rsidR="00B7341F" w:rsidRPr="00B7341F">
        <w:rPr>
          <w:b/>
          <w:bCs/>
          <w:sz w:val="24"/>
          <w:szCs w:val="24"/>
        </w:rPr>
        <w:t>Method</w:t>
      </w:r>
      <w:r w:rsidR="00B7341F">
        <w:rPr>
          <w:sz w:val="24"/>
          <w:szCs w:val="24"/>
        </w:rPr>
        <w:t xml:space="preserve">: Investigated calcium intake </w:t>
      </w:r>
      <w:r w:rsidR="00566507">
        <w:rPr>
          <w:sz w:val="24"/>
          <w:szCs w:val="24"/>
        </w:rPr>
        <w:t xml:space="preserve">single nucleotide polymorphism of LCT, markers </w:t>
      </w:r>
      <w:r w:rsidR="00FC47BF">
        <w:rPr>
          <w:sz w:val="24"/>
          <w:szCs w:val="24"/>
        </w:rPr>
        <w:t xml:space="preserve">of bone metabolism and BMD in 183 Turkish </w:t>
      </w:r>
      <w:r w:rsidR="006C5DB9">
        <w:rPr>
          <w:sz w:val="24"/>
          <w:szCs w:val="24"/>
        </w:rPr>
        <w:t>immigrates</w:t>
      </w:r>
      <w:r w:rsidR="00FC47BF">
        <w:rPr>
          <w:sz w:val="24"/>
          <w:szCs w:val="24"/>
        </w:rPr>
        <w:t>.</w:t>
      </w:r>
      <w:r w:rsidR="006C5DB9">
        <w:rPr>
          <w:sz w:val="24"/>
          <w:szCs w:val="24"/>
        </w:rPr>
        <w:t xml:space="preserve"> </w:t>
      </w:r>
      <w:r w:rsidR="006C5DB9" w:rsidRPr="006C5DB9">
        <w:rPr>
          <w:b/>
          <w:bCs/>
          <w:sz w:val="24"/>
          <w:szCs w:val="24"/>
        </w:rPr>
        <w:t>Result</w:t>
      </w:r>
      <w:r w:rsidR="006C5DB9">
        <w:rPr>
          <w:sz w:val="24"/>
          <w:szCs w:val="24"/>
        </w:rPr>
        <w:t xml:space="preserve">: </w:t>
      </w:r>
      <w:r w:rsidR="00BA0364">
        <w:rPr>
          <w:sz w:val="24"/>
          <w:szCs w:val="24"/>
        </w:rPr>
        <w:t xml:space="preserve">154 out of 183 was </w:t>
      </w:r>
      <w:r w:rsidR="00150BE3">
        <w:rPr>
          <w:sz w:val="24"/>
          <w:szCs w:val="24"/>
        </w:rPr>
        <w:t>(</w:t>
      </w:r>
      <w:r w:rsidR="00BA0364">
        <w:rPr>
          <w:sz w:val="24"/>
          <w:szCs w:val="24"/>
        </w:rPr>
        <w:t>ALI) diagnosed</w:t>
      </w:r>
      <w:r w:rsidR="00150BE3">
        <w:rPr>
          <w:sz w:val="24"/>
          <w:szCs w:val="24"/>
        </w:rPr>
        <w:t xml:space="preserve">. Osteopenia was diagnosed in </w:t>
      </w:r>
      <w:r w:rsidR="00E91131">
        <w:rPr>
          <w:sz w:val="24"/>
          <w:szCs w:val="24"/>
        </w:rPr>
        <w:t>59 out of 183 (32%) and osteoporosis in 15 out of 183 (</w:t>
      </w:r>
      <w:r w:rsidR="005519AE">
        <w:rPr>
          <w:sz w:val="24"/>
          <w:szCs w:val="24"/>
        </w:rPr>
        <w:t xml:space="preserve">8%). Probands had a decreased calcium </w:t>
      </w:r>
      <w:r w:rsidR="00A87D9C">
        <w:rPr>
          <w:sz w:val="24"/>
          <w:szCs w:val="24"/>
        </w:rPr>
        <w:t xml:space="preserve">intake and probands with reduced bone mass density (BMD) </w:t>
      </w:r>
      <w:r w:rsidR="00B870FC">
        <w:rPr>
          <w:sz w:val="24"/>
          <w:szCs w:val="24"/>
        </w:rPr>
        <w:t xml:space="preserve">had (ALI) in 86%. There was no significant </w:t>
      </w:r>
      <w:r w:rsidR="00116DF7">
        <w:rPr>
          <w:sz w:val="24"/>
          <w:szCs w:val="24"/>
        </w:rPr>
        <w:t>association between (ALI), Calcium intake</w:t>
      </w:r>
      <w:r w:rsidR="00ED2CFC">
        <w:rPr>
          <w:sz w:val="24"/>
          <w:szCs w:val="24"/>
        </w:rPr>
        <w:t xml:space="preserve">, BMD or markers of bone metabolism. </w:t>
      </w:r>
      <w:r w:rsidR="00ED2CFC" w:rsidRPr="00ED2CFC">
        <w:rPr>
          <w:b/>
          <w:bCs/>
          <w:sz w:val="24"/>
          <w:szCs w:val="24"/>
        </w:rPr>
        <w:t>Conclusion</w:t>
      </w:r>
      <w:r w:rsidR="00ED2CFC">
        <w:rPr>
          <w:sz w:val="24"/>
          <w:szCs w:val="24"/>
        </w:rPr>
        <w:t xml:space="preserve">: </w:t>
      </w:r>
      <w:r w:rsidR="00783174">
        <w:rPr>
          <w:sz w:val="24"/>
          <w:szCs w:val="24"/>
        </w:rPr>
        <w:t xml:space="preserve">Turkish immigrates who suffer from (ALI) don’t consume </w:t>
      </w:r>
      <w:r w:rsidR="001E5511">
        <w:rPr>
          <w:sz w:val="24"/>
          <w:szCs w:val="24"/>
        </w:rPr>
        <w:t xml:space="preserve">dairy products and this means low calcium intake </w:t>
      </w:r>
      <w:r w:rsidR="005F4BD4">
        <w:rPr>
          <w:sz w:val="24"/>
          <w:szCs w:val="24"/>
        </w:rPr>
        <w:t xml:space="preserve">compared to other people who normally eat dairy products. However, </w:t>
      </w:r>
      <w:r w:rsidR="002F62BC">
        <w:rPr>
          <w:sz w:val="24"/>
          <w:szCs w:val="24"/>
        </w:rPr>
        <w:t xml:space="preserve">(ALI) didn’t significantly </w:t>
      </w:r>
      <w:r w:rsidR="000A110B">
        <w:rPr>
          <w:sz w:val="24"/>
          <w:szCs w:val="24"/>
        </w:rPr>
        <w:t xml:space="preserve">influence calcium intake. Therefore, (ALI) </w:t>
      </w:r>
      <w:r w:rsidR="00BE5462">
        <w:rPr>
          <w:sz w:val="24"/>
          <w:szCs w:val="24"/>
        </w:rPr>
        <w:t xml:space="preserve">doesn’t seem to be a risk factor for osteoporosis or affect directly the bone health. </w:t>
      </w:r>
    </w:p>
    <w:p w:rsidR="00B77F3A" w:rsidRDefault="00B77F3A" w:rsidP="00825FE2">
      <w:pPr>
        <w:rPr>
          <w:b/>
          <w:bCs/>
          <w:sz w:val="24"/>
          <w:szCs w:val="24"/>
        </w:rPr>
      </w:pPr>
    </w:p>
    <w:p w:rsidR="00044BF2" w:rsidRDefault="00044BF2" w:rsidP="00825FE2">
      <w:pPr>
        <w:rPr>
          <w:sz w:val="24"/>
          <w:szCs w:val="24"/>
        </w:rPr>
      </w:pPr>
      <w:r w:rsidRPr="00044BF2">
        <w:rPr>
          <w:b/>
          <w:bCs/>
          <w:sz w:val="24"/>
          <w:szCs w:val="24"/>
        </w:rPr>
        <w:t>Citation</w:t>
      </w:r>
      <w:r>
        <w:rPr>
          <w:sz w:val="24"/>
          <w:szCs w:val="24"/>
        </w:rPr>
        <w:t xml:space="preserve">: </w:t>
      </w:r>
      <w:proofErr w:type="spellStart"/>
      <w:r w:rsidR="006E64AD">
        <w:rPr>
          <w:sz w:val="24"/>
          <w:szCs w:val="24"/>
        </w:rPr>
        <w:t>Klemm</w:t>
      </w:r>
      <w:proofErr w:type="spellEnd"/>
      <w:r w:rsidR="006E64AD">
        <w:rPr>
          <w:sz w:val="24"/>
          <w:szCs w:val="24"/>
        </w:rPr>
        <w:t xml:space="preserve">, P., </w:t>
      </w:r>
      <w:proofErr w:type="spellStart"/>
      <w:r w:rsidR="006E64AD">
        <w:rPr>
          <w:sz w:val="24"/>
          <w:szCs w:val="24"/>
        </w:rPr>
        <w:t>Dischereit</w:t>
      </w:r>
      <w:proofErr w:type="spellEnd"/>
      <w:r w:rsidR="006E64AD">
        <w:rPr>
          <w:sz w:val="24"/>
          <w:szCs w:val="24"/>
        </w:rPr>
        <w:t xml:space="preserve">, G. &amp; Lange, U. Adult lactose intolerance, calcium intake, bone metabolism and bone density in German-Turkish immigrants. J Bone Miner </w:t>
      </w:r>
      <w:proofErr w:type="spellStart"/>
      <w:r w:rsidR="006E64AD">
        <w:rPr>
          <w:sz w:val="24"/>
          <w:szCs w:val="24"/>
        </w:rPr>
        <w:t>Metab</w:t>
      </w:r>
      <w:proofErr w:type="spellEnd"/>
      <w:r w:rsidR="006E64AD">
        <w:rPr>
          <w:sz w:val="24"/>
          <w:szCs w:val="24"/>
        </w:rPr>
        <w:t xml:space="preserve"> 38, 378–384 (2020). </w:t>
      </w:r>
      <w:hyperlink r:id="rId4" w:history="1">
        <w:r w:rsidR="006E64AD" w:rsidRPr="00A1031A">
          <w:rPr>
            <w:rStyle w:val="Hyperlink"/>
            <w:sz w:val="24"/>
            <w:szCs w:val="24"/>
          </w:rPr>
          <w:t>https://doi.org/10.1007/s00774-019-01070-4</w:t>
        </w:r>
      </w:hyperlink>
    </w:p>
    <w:p w:rsidR="00BC657B" w:rsidRDefault="001B31E9" w:rsidP="00825FE2">
      <w:pPr>
        <w:rPr>
          <w:rFonts w:ascii="Segoe UI" w:eastAsia="Times New Roman" w:hAnsi="Segoe UI" w:cs="Segoe UI"/>
          <w:color w:val="212121"/>
          <w:shd w:val="clear" w:color="auto" w:fill="FFFFFF"/>
        </w:rPr>
      </w:pPr>
      <w:proofErr w:type="spellStart"/>
      <w:r>
        <w:rPr>
          <w:rFonts w:ascii="Segoe UI" w:eastAsia="Times New Roman" w:hAnsi="Segoe UI" w:cs="Segoe UI"/>
          <w:color w:val="212121"/>
          <w:shd w:val="clear" w:color="auto" w:fill="FFFFFF"/>
        </w:rPr>
        <w:t>Vatanparast</w:t>
      </w:r>
      <w:proofErr w:type="spellEnd"/>
      <w:r>
        <w:rPr>
          <w:rFonts w:ascii="Segoe UI" w:eastAsia="Times New Roman" w:hAnsi="Segoe UI" w:cs="Segoe UI"/>
          <w:color w:val="212121"/>
          <w:shd w:val="clear" w:color="auto" w:fill="FFFFFF"/>
        </w:rPr>
        <w:t xml:space="preserve"> H, Islam N, </w:t>
      </w:r>
      <w:proofErr w:type="spellStart"/>
      <w:r>
        <w:rPr>
          <w:rFonts w:ascii="Segoe UI" w:eastAsia="Times New Roman" w:hAnsi="Segoe UI" w:cs="Segoe UI"/>
          <w:color w:val="212121"/>
          <w:shd w:val="clear" w:color="auto" w:fill="FFFFFF"/>
        </w:rPr>
        <w:t>Patil</w:t>
      </w:r>
      <w:proofErr w:type="spellEnd"/>
      <w:r>
        <w:rPr>
          <w:rFonts w:ascii="Segoe UI" w:eastAsia="Times New Roman" w:hAnsi="Segoe UI" w:cs="Segoe UI"/>
          <w:color w:val="212121"/>
          <w:shd w:val="clear" w:color="auto" w:fill="FFFFFF"/>
        </w:rPr>
        <w:t xml:space="preserve"> RP, </w:t>
      </w:r>
      <w:proofErr w:type="spellStart"/>
      <w:r>
        <w:rPr>
          <w:rFonts w:ascii="Segoe UI" w:eastAsia="Times New Roman" w:hAnsi="Segoe UI" w:cs="Segoe UI"/>
          <w:color w:val="212121"/>
          <w:shd w:val="clear" w:color="auto" w:fill="FFFFFF"/>
        </w:rPr>
        <w:t>Shafiee</w:t>
      </w:r>
      <w:proofErr w:type="spellEnd"/>
      <w:r>
        <w:rPr>
          <w:rFonts w:ascii="Segoe UI" w:eastAsia="Times New Roman" w:hAnsi="Segoe UI" w:cs="Segoe UI"/>
          <w:color w:val="212121"/>
          <w:shd w:val="clear" w:color="auto" w:fill="FFFFFF"/>
        </w:rPr>
        <w:t xml:space="preserve"> M, Whiting SJ. Calcium Intake from Food and Supplemental Sources Decreased in the Canadian Population from 2004 to 2015. J </w:t>
      </w:r>
      <w:proofErr w:type="spellStart"/>
      <w:r>
        <w:rPr>
          <w:rFonts w:ascii="Segoe UI" w:eastAsia="Times New Roman" w:hAnsi="Segoe UI" w:cs="Segoe UI"/>
          <w:color w:val="212121"/>
          <w:shd w:val="clear" w:color="auto" w:fill="FFFFFF"/>
        </w:rPr>
        <w:t>Nutr</w:t>
      </w:r>
      <w:proofErr w:type="spellEnd"/>
      <w:r>
        <w:rPr>
          <w:rFonts w:ascii="Segoe UI" w:eastAsia="Times New Roman" w:hAnsi="Segoe UI" w:cs="Segoe UI"/>
          <w:color w:val="212121"/>
          <w:shd w:val="clear" w:color="auto" w:fill="FFFFFF"/>
        </w:rPr>
        <w:t xml:space="preserve">. 2020 Apr 1;150(4):833-841. </w:t>
      </w:r>
      <w:hyperlink r:id="rId5" w:history="1">
        <w:r w:rsidR="00BC657B" w:rsidRPr="00A1031A">
          <w:rPr>
            <w:rStyle w:val="Hyperlink"/>
            <w:rFonts w:ascii="Segoe UI" w:eastAsia="Times New Roman" w:hAnsi="Segoe UI" w:cs="Segoe UI"/>
            <w:shd w:val="clear" w:color="auto" w:fill="FFFFFF"/>
          </w:rPr>
          <w:t>https://doi.org/10.1093/jn/nxz318</w:t>
        </w:r>
      </w:hyperlink>
    </w:p>
    <w:p w:rsidR="00BC657B" w:rsidRDefault="00BC657B" w:rsidP="00825FE2">
      <w:pPr>
        <w:rPr>
          <w:sz w:val="24"/>
          <w:szCs w:val="24"/>
        </w:rPr>
      </w:pPr>
    </w:p>
    <w:p w:rsidR="00CD0080" w:rsidRPr="001B31E9" w:rsidRDefault="00CD0080" w:rsidP="00825FE2">
      <w:pPr>
        <w:rPr>
          <w:i/>
          <w:iCs/>
          <w:sz w:val="24"/>
          <w:szCs w:val="24"/>
        </w:rPr>
      </w:pPr>
    </w:p>
    <w:sectPr w:rsidR="00CD0080" w:rsidRPr="001B31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BED"/>
    <w:rsid w:val="00044BF2"/>
    <w:rsid w:val="000A110B"/>
    <w:rsid w:val="00116DF7"/>
    <w:rsid w:val="00140964"/>
    <w:rsid w:val="00150BE3"/>
    <w:rsid w:val="001B31E9"/>
    <w:rsid w:val="001E5511"/>
    <w:rsid w:val="00271C96"/>
    <w:rsid w:val="002A131C"/>
    <w:rsid w:val="002F62BC"/>
    <w:rsid w:val="003304AA"/>
    <w:rsid w:val="00396833"/>
    <w:rsid w:val="004A5C03"/>
    <w:rsid w:val="004C34DC"/>
    <w:rsid w:val="004E444D"/>
    <w:rsid w:val="00520E43"/>
    <w:rsid w:val="005519AE"/>
    <w:rsid w:val="00566507"/>
    <w:rsid w:val="005D7936"/>
    <w:rsid w:val="005F3804"/>
    <w:rsid w:val="005F4BD4"/>
    <w:rsid w:val="00610B80"/>
    <w:rsid w:val="006A27AF"/>
    <w:rsid w:val="006B14B7"/>
    <w:rsid w:val="006C5DB9"/>
    <w:rsid w:val="006E64AD"/>
    <w:rsid w:val="00761BED"/>
    <w:rsid w:val="00783174"/>
    <w:rsid w:val="00825FE2"/>
    <w:rsid w:val="009A4299"/>
    <w:rsid w:val="00A22E42"/>
    <w:rsid w:val="00A64279"/>
    <w:rsid w:val="00A87D9C"/>
    <w:rsid w:val="00A950E1"/>
    <w:rsid w:val="00B46554"/>
    <w:rsid w:val="00B7341F"/>
    <w:rsid w:val="00B77F3A"/>
    <w:rsid w:val="00B870FC"/>
    <w:rsid w:val="00B96052"/>
    <w:rsid w:val="00BA0364"/>
    <w:rsid w:val="00BC657B"/>
    <w:rsid w:val="00BE5462"/>
    <w:rsid w:val="00C95920"/>
    <w:rsid w:val="00CD0080"/>
    <w:rsid w:val="00D7716C"/>
    <w:rsid w:val="00DF38CE"/>
    <w:rsid w:val="00E4352F"/>
    <w:rsid w:val="00E91131"/>
    <w:rsid w:val="00E9755D"/>
    <w:rsid w:val="00ED2CFC"/>
    <w:rsid w:val="00FC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A16B6D"/>
  <w15:chartTrackingRefBased/>
  <w15:docId w15:val="{AA4B4B28-C3A6-8041-A36E-1865FC58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64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64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https://doi.org/10.1093/jn/nxz318" TargetMode="External" /><Relationship Id="rId4" Type="http://schemas.openxmlformats.org/officeDocument/2006/relationships/hyperlink" Target="https://doi.org/10.1007/s00774-019-01070-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96179320796</dc:creator>
  <cp:keywords/>
  <dc:description/>
  <cp:lastModifiedBy>96179320796</cp:lastModifiedBy>
  <cp:revision>2</cp:revision>
  <dcterms:created xsi:type="dcterms:W3CDTF">2020-09-29T16:57:00Z</dcterms:created>
  <dcterms:modified xsi:type="dcterms:W3CDTF">2020-09-29T16:57:00Z</dcterms:modified>
</cp:coreProperties>
</file>