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29DE7" w14:textId="77777777" w:rsidR="006D129C" w:rsidRPr="006D129C" w:rsidRDefault="006D129C" w:rsidP="006D129C">
      <w:pPr>
        <w:pStyle w:val="NoSpacing1"/>
        <w:rPr>
          <w:bCs w:val="0"/>
        </w:rPr>
      </w:pPr>
      <w:r w:rsidRPr="006D129C">
        <w:rPr>
          <w:bCs w:val="0"/>
        </w:rPr>
        <w:t>Nutritional Status and Associated Factors among the Community-Dwelling Elderly Population in Debre Berhan Town, North Shewa Zone, Ethiopia</w:t>
      </w:r>
    </w:p>
    <w:p w14:paraId="17107AEA" w14:textId="77777777" w:rsidR="006D129C" w:rsidRDefault="006D129C" w:rsidP="006D129C">
      <w:pPr>
        <w:pStyle w:val="NoSpacing"/>
        <w:spacing w:line="480" w:lineRule="auto"/>
      </w:pPr>
    </w:p>
    <w:p w14:paraId="6E482E3C" w14:textId="77777777" w:rsidR="006D129C" w:rsidRDefault="006D129C" w:rsidP="006D129C">
      <w:pPr>
        <w:spacing w:after="200" w:line="480" w:lineRule="auto"/>
        <w:jc w:val="both"/>
        <w:rPr>
          <w:rFonts w:eastAsia="+mj-ea" w:cs="Times New Roman"/>
          <w:bCs/>
          <w:color w:val="000000"/>
          <w:kern w:val="24"/>
          <w:sz w:val="28"/>
          <w:szCs w:val="28"/>
        </w:rPr>
      </w:pPr>
      <w:bookmarkStart w:id="0" w:name="_Hlk49413907"/>
      <w:proofErr w:type="spellStart"/>
      <w:r>
        <w:rPr>
          <w:rFonts w:eastAsia="+mj-ea" w:cs="Times New Roman"/>
          <w:bCs/>
          <w:color w:val="000000"/>
          <w:kern w:val="24"/>
          <w:sz w:val="28"/>
          <w:szCs w:val="28"/>
        </w:rPr>
        <w:t>Yordanos</w:t>
      </w:r>
      <w:proofErr w:type="spellEnd"/>
      <w:r>
        <w:rPr>
          <w:rFonts w:eastAsia="+mj-ea" w:cs="Times New Roman"/>
          <w:bCs/>
          <w:color w:val="000000"/>
          <w:kern w:val="24"/>
          <w:sz w:val="28"/>
          <w:szCs w:val="28"/>
        </w:rPr>
        <w:t xml:space="preserve"> Mezemir</w:t>
      </w:r>
      <w:bookmarkEnd w:id="0"/>
      <w:r>
        <w:rPr>
          <w:rFonts w:eastAsia="+mj-ea" w:cs="Times New Roman"/>
          <w:bCs/>
          <w:color w:val="000000"/>
          <w:kern w:val="24"/>
          <w:sz w:val="28"/>
          <w:szCs w:val="28"/>
        </w:rPr>
        <w:t>,</w:t>
      </w:r>
      <w:r>
        <w:rPr>
          <w:rFonts w:eastAsia="+mj-ea" w:cs="Times New Roman"/>
          <w:bCs/>
          <w:color w:val="000000"/>
          <w:kern w:val="24"/>
          <w:sz w:val="28"/>
          <w:szCs w:val="28"/>
          <w:vertAlign w:val="superscript"/>
        </w:rPr>
        <w:t>1</w:t>
      </w:r>
      <w:r>
        <w:rPr>
          <w:rFonts w:eastAsia="+mj-ea" w:cs="Times New Roman"/>
          <w:bCs/>
          <w:color w:val="000000"/>
          <w:kern w:val="24"/>
          <w:sz w:val="28"/>
          <w:szCs w:val="28"/>
        </w:rPr>
        <w:t xml:space="preserve"> </w:t>
      </w:r>
      <w:proofErr w:type="spellStart"/>
      <w:r>
        <w:rPr>
          <w:rFonts w:eastAsia="+mj-ea" w:cs="Times New Roman"/>
          <w:bCs/>
          <w:color w:val="000000"/>
          <w:kern w:val="24"/>
          <w:sz w:val="28"/>
          <w:szCs w:val="28"/>
        </w:rPr>
        <w:t>Gudina</w:t>
      </w:r>
      <w:proofErr w:type="spellEnd"/>
      <w:r>
        <w:rPr>
          <w:rFonts w:eastAsia="+mj-ea" w:cs="Times New Roman"/>
          <w:bCs/>
          <w:color w:val="000000"/>
          <w:kern w:val="24"/>
          <w:sz w:val="28"/>
          <w:szCs w:val="28"/>
        </w:rPr>
        <w:t xml:space="preserve"> Egata,</w:t>
      </w:r>
      <w:proofErr w:type="gramStart"/>
      <w:r>
        <w:rPr>
          <w:rFonts w:eastAsia="+mj-ea" w:cs="Times New Roman"/>
          <w:bCs/>
          <w:color w:val="000000"/>
          <w:kern w:val="24"/>
          <w:sz w:val="28"/>
          <w:szCs w:val="28"/>
          <w:vertAlign w:val="superscript"/>
        </w:rPr>
        <w:t xml:space="preserve">2  </w:t>
      </w:r>
      <w:proofErr w:type="spellStart"/>
      <w:r>
        <w:rPr>
          <w:rFonts w:eastAsia="Calibri" w:cs="Times New Roman"/>
          <w:bCs/>
          <w:szCs w:val="24"/>
        </w:rPr>
        <w:t>Demelash</w:t>
      </w:r>
      <w:proofErr w:type="spellEnd"/>
      <w:proofErr w:type="gramEnd"/>
      <w:r>
        <w:rPr>
          <w:rFonts w:eastAsia="Calibri" w:cs="Times New Roman"/>
          <w:bCs/>
          <w:szCs w:val="24"/>
        </w:rPr>
        <w:t xml:space="preserve"> Geset</w:t>
      </w:r>
      <w:r>
        <w:rPr>
          <w:rFonts w:eastAsia="Calibri" w:cs="Times New Roman"/>
          <w:bCs/>
          <w:szCs w:val="24"/>
          <w:vertAlign w:val="superscript"/>
        </w:rPr>
        <w:t>1</w:t>
      </w:r>
      <w:r>
        <w:rPr>
          <w:rFonts w:eastAsia="+mj-ea" w:cs="Times New Roman"/>
          <w:bCs/>
          <w:color w:val="000000"/>
          <w:kern w:val="24"/>
          <w:sz w:val="28"/>
          <w:szCs w:val="28"/>
        </w:rPr>
        <w:t xml:space="preserve">  and Abera Lambebo</w:t>
      </w:r>
      <w:r>
        <w:rPr>
          <w:rFonts w:eastAsia="+mj-ea" w:cs="Times New Roman"/>
          <w:bCs/>
          <w:color w:val="000000"/>
          <w:kern w:val="24"/>
          <w:sz w:val="28"/>
          <w:szCs w:val="28"/>
          <w:vertAlign w:val="superscript"/>
        </w:rPr>
        <w:t>3</w:t>
      </w:r>
    </w:p>
    <w:p w14:paraId="62229BB8" w14:textId="77777777" w:rsidR="006D129C" w:rsidRDefault="006D129C" w:rsidP="006D129C">
      <w:pPr>
        <w:tabs>
          <w:tab w:val="left" w:pos="5520"/>
        </w:tabs>
        <w:spacing w:after="200" w:line="480" w:lineRule="auto"/>
        <w:jc w:val="both"/>
        <w:rPr>
          <w:rFonts w:eastAsia="Calibri" w:cs="Times New Roman"/>
          <w:bCs/>
          <w:szCs w:val="24"/>
        </w:rPr>
      </w:pPr>
      <w:r>
        <w:rPr>
          <w:rFonts w:ascii="Calibri" w:eastAsia="Calibri" w:hAnsi="Calibri" w:cs="Calibri"/>
          <w:bCs/>
          <w:szCs w:val="24"/>
        </w:rPr>
        <w:t xml:space="preserve">1 </w:t>
      </w:r>
      <w:r>
        <w:rPr>
          <w:rFonts w:eastAsia="Calibri" w:cs="Times New Roman"/>
          <w:bCs/>
          <w:szCs w:val="24"/>
        </w:rPr>
        <w:t xml:space="preserve">Department of public health, Debre Berhan Health science college, Debre Berhan, North Shewa Amhara Regional State of Ethiopia. </w:t>
      </w:r>
    </w:p>
    <w:p w14:paraId="64BCDFA5" w14:textId="77777777" w:rsidR="006D129C" w:rsidRDefault="006D129C" w:rsidP="006D129C">
      <w:pPr>
        <w:tabs>
          <w:tab w:val="left" w:pos="5520"/>
        </w:tabs>
        <w:spacing w:after="200" w:line="480" w:lineRule="auto"/>
        <w:jc w:val="both"/>
        <w:rPr>
          <w:rFonts w:eastAsia="Calibri" w:cs="Times New Roman"/>
          <w:bCs/>
          <w:szCs w:val="24"/>
        </w:rPr>
      </w:pPr>
      <w:r>
        <w:rPr>
          <w:rFonts w:eastAsia="Calibri" w:cs="Times New Roman"/>
          <w:bCs/>
          <w:szCs w:val="24"/>
        </w:rPr>
        <w:t>2 Department of Public Health, Addis Ababa University, Addis Ababa Ethiopia.</w:t>
      </w:r>
    </w:p>
    <w:p w14:paraId="3CDCBC2C" w14:textId="77777777" w:rsidR="006D129C" w:rsidRDefault="006D129C" w:rsidP="006D129C">
      <w:pPr>
        <w:tabs>
          <w:tab w:val="left" w:pos="5520"/>
        </w:tabs>
        <w:spacing w:after="200" w:line="480" w:lineRule="auto"/>
        <w:jc w:val="both"/>
        <w:rPr>
          <w:rFonts w:eastAsia="Calibri" w:cs="Times New Roman"/>
          <w:bCs/>
          <w:szCs w:val="24"/>
        </w:rPr>
      </w:pPr>
      <w:r>
        <w:rPr>
          <w:rFonts w:eastAsia="Calibri" w:cs="Times New Roman"/>
          <w:bCs/>
          <w:szCs w:val="24"/>
        </w:rPr>
        <w:t>3 Department of Public Health, Debre Berhan University, Debre Berhan, North Shewa Amhara Regional State of Ethiopia.</w:t>
      </w:r>
    </w:p>
    <w:p w14:paraId="7B2BA7CB" w14:textId="77777777" w:rsidR="006D129C" w:rsidRDefault="006D129C" w:rsidP="006D129C">
      <w:pPr>
        <w:tabs>
          <w:tab w:val="left" w:pos="5520"/>
        </w:tabs>
        <w:spacing w:after="200" w:line="480" w:lineRule="auto"/>
        <w:jc w:val="both"/>
        <w:rPr>
          <w:rFonts w:eastAsia="Calibri" w:cs="Times New Roman"/>
          <w:bCs/>
          <w:szCs w:val="24"/>
        </w:rPr>
      </w:pPr>
      <w:r>
        <w:rPr>
          <w:rFonts w:eastAsia="Calibri" w:cs="Times New Roman"/>
          <w:bCs/>
          <w:szCs w:val="24"/>
        </w:rPr>
        <w:t xml:space="preserve">Corresponding Author; Abera Lambebo corresponding Author Debre Berhan University Lecturer and PhD Candi-date at Jimma university for Human nutrition, </w:t>
      </w:r>
    </w:p>
    <w:p w14:paraId="54D0FF58" w14:textId="152E9DBF" w:rsidR="006D129C" w:rsidRDefault="006D129C" w:rsidP="006D129C">
      <w:pPr>
        <w:tabs>
          <w:tab w:val="left" w:pos="5520"/>
        </w:tabs>
        <w:spacing w:after="200" w:line="480" w:lineRule="auto"/>
        <w:jc w:val="both"/>
        <w:rPr>
          <w:rFonts w:eastAsia="Calibri" w:cs="Times New Roman"/>
          <w:bCs/>
          <w:szCs w:val="24"/>
        </w:rPr>
      </w:pPr>
      <w:r>
        <w:rPr>
          <w:rFonts w:eastAsia="Calibri" w:cs="Times New Roman"/>
          <w:bCs/>
          <w:szCs w:val="24"/>
        </w:rPr>
        <w:t>Email; lambebo70@gmail.com, cell phone +251910153058</w:t>
      </w:r>
    </w:p>
    <w:p w14:paraId="0202CF76" w14:textId="77777777" w:rsidR="006D129C" w:rsidRPr="006D129C" w:rsidRDefault="006D129C" w:rsidP="006D129C">
      <w:pPr>
        <w:spacing w:line="480" w:lineRule="auto"/>
        <w:rPr>
          <w:b/>
          <w:bCs/>
        </w:rPr>
      </w:pPr>
      <w:bookmarkStart w:id="1" w:name="_Toc44074763"/>
      <w:r w:rsidRPr="006D129C">
        <w:rPr>
          <w:b/>
          <w:bCs/>
          <w:caps/>
        </w:rPr>
        <w:t>ABSTRACT</w:t>
      </w:r>
      <w:bookmarkEnd w:id="1"/>
    </w:p>
    <w:p w14:paraId="40DD8DC7" w14:textId="77777777" w:rsidR="006D129C" w:rsidRDefault="006D129C" w:rsidP="006D129C">
      <w:pPr>
        <w:spacing w:after="200" w:line="480" w:lineRule="auto"/>
        <w:jc w:val="both"/>
        <w:rPr>
          <w:rFonts w:eastAsia="Times New Roman" w:cs="Times New Roman"/>
          <w:b/>
          <w:bCs/>
        </w:rPr>
      </w:pPr>
      <w:r>
        <w:rPr>
          <w:rFonts w:eastAsia="Times New Roman" w:cs="Times New Roman"/>
          <w:b/>
          <w:bCs/>
        </w:rPr>
        <w:t xml:space="preserve"> Background: </w:t>
      </w:r>
      <w:r>
        <w:rPr>
          <w:rFonts w:eastAsia="Times New Roman" w:cs="Times New Roman"/>
        </w:rPr>
        <w:t>Nutritional status of the elderly is one of the important determinants of their health and quality of life. However, there is limited evidence on the prevalence of malnutrition among the elderly population in Ethiopia.</w:t>
      </w:r>
      <w:r>
        <w:t xml:space="preserve"> </w:t>
      </w:r>
    </w:p>
    <w:p w14:paraId="0E94CFB5" w14:textId="77777777" w:rsidR="006D129C" w:rsidRDefault="006D129C" w:rsidP="006D129C">
      <w:pPr>
        <w:spacing w:after="200" w:line="480" w:lineRule="auto"/>
        <w:jc w:val="both"/>
        <w:rPr>
          <w:rFonts w:eastAsia="Times New Roman" w:cs="Times New Roman"/>
          <w:b/>
          <w:bCs/>
        </w:rPr>
      </w:pPr>
      <w:r>
        <w:rPr>
          <w:rFonts w:eastAsia="Times New Roman" w:cs="Times New Roman"/>
          <w:b/>
          <w:bCs/>
        </w:rPr>
        <w:t xml:space="preserve">Objective: </w:t>
      </w:r>
      <w:r>
        <w:rPr>
          <w:rFonts w:eastAsia="Times New Roman" w:cs="Times New Roman"/>
        </w:rPr>
        <w:t>To assess the nutritional status and associated factors among the community-dwelling elderly population, in Debre Berhan Town, Ethiopia.</w:t>
      </w:r>
    </w:p>
    <w:p w14:paraId="7DF11703" w14:textId="77777777" w:rsidR="006D129C" w:rsidRDefault="006D129C" w:rsidP="006D129C">
      <w:pPr>
        <w:spacing w:after="200" w:line="480" w:lineRule="auto"/>
        <w:jc w:val="both"/>
        <w:rPr>
          <w:rFonts w:eastAsia="Times New Roman" w:cs="Times New Roman"/>
        </w:rPr>
      </w:pPr>
      <w:r>
        <w:rPr>
          <w:rFonts w:eastAsia="Times New Roman" w:cs="Times New Roman"/>
          <w:b/>
          <w:bCs/>
        </w:rPr>
        <w:t xml:space="preserve">Methods and Materials:  </w:t>
      </w:r>
      <w:r>
        <w:rPr>
          <w:rFonts w:eastAsia="Times New Roman" w:cs="Times New Roman"/>
        </w:rPr>
        <w:t xml:space="preserve">A community based cross-sectional study design was used among a random sample of 347 elderly people living in Debre Berhan town North Shewa, Ethiopia from </w:t>
      </w:r>
      <w:bookmarkStart w:id="2" w:name="_Hlk42225873"/>
      <w:r>
        <w:rPr>
          <w:rFonts w:eastAsia="Times New Roman" w:cs="Times New Roman"/>
        </w:rPr>
        <w:t>April 1 – 30 /2020.</w:t>
      </w:r>
      <w:bookmarkEnd w:id="2"/>
      <w:r>
        <w:rPr>
          <w:rFonts w:eastAsia="Times New Roman" w:cs="Times New Roman"/>
        </w:rPr>
        <w:t xml:space="preserve"> Data were entered into Epi-Data version 3.1 and then exported to STATA14 </w:t>
      </w:r>
      <w:r>
        <w:rPr>
          <w:rFonts w:eastAsia="Times New Roman" w:cs="Times New Roman"/>
        </w:rPr>
        <w:lastRenderedPageBreak/>
        <w:t xml:space="preserve">for analysis. Multivariable ordinal logistic regression analyses were done after checking parallel line assumptions with the STATA command </w:t>
      </w:r>
      <w:r>
        <w:rPr>
          <w:rFonts w:eastAsia="Times New Roman" w:cs="Times New Roman"/>
          <w:b/>
        </w:rPr>
        <w:t>“</w:t>
      </w:r>
      <w:proofErr w:type="spellStart"/>
      <w:r>
        <w:rPr>
          <w:rFonts w:eastAsia="Times New Roman" w:cs="Times New Roman"/>
          <w:b/>
        </w:rPr>
        <w:t>ologit</w:t>
      </w:r>
      <w:proofErr w:type="spellEnd"/>
      <w:r>
        <w:rPr>
          <w:rFonts w:eastAsia="Times New Roman" w:cs="Times New Roman"/>
          <w:b/>
        </w:rPr>
        <w:t>”</w:t>
      </w:r>
      <w:r>
        <w:rPr>
          <w:rFonts w:eastAsia="Times New Roman" w:cs="Times New Roman"/>
        </w:rPr>
        <w:t xml:space="preserve"> and </w:t>
      </w:r>
      <w:r>
        <w:rPr>
          <w:rFonts w:eastAsia="Times New Roman" w:cs="Times New Roman"/>
          <w:b/>
        </w:rPr>
        <w:t xml:space="preserve">“gologit2” </w:t>
      </w:r>
      <w:r>
        <w:rPr>
          <w:rFonts w:eastAsia="Times New Roman" w:cs="Times New Roman"/>
        </w:rPr>
        <w:t xml:space="preserve">for POM and PPOM respectively. And odds ratio along with 95% confidence interval was estimated by </w:t>
      </w:r>
      <w:r>
        <w:rPr>
          <w:rFonts w:eastAsia="Times New Roman" w:cs="Times New Roman"/>
          <w:b/>
          <w:bCs/>
        </w:rPr>
        <w:t>“</w:t>
      </w:r>
      <w:proofErr w:type="spellStart"/>
      <w:r>
        <w:rPr>
          <w:rFonts w:eastAsia="Times New Roman" w:cs="Times New Roman"/>
          <w:b/>
          <w:bCs/>
        </w:rPr>
        <w:t>ologit</w:t>
      </w:r>
      <w:proofErr w:type="spellEnd"/>
      <w:r>
        <w:rPr>
          <w:rFonts w:eastAsia="Times New Roman" w:cs="Times New Roman"/>
          <w:b/>
          <w:bCs/>
        </w:rPr>
        <w:t>”</w:t>
      </w:r>
      <w:r>
        <w:rPr>
          <w:rFonts w:eastAsia="Times New Roman" w:cs="Times New Roman"/>
        </w:rPr>
        <w:t xml:space="preserve"> and </w:t>
      </w:r>
      <w:r>
        <w:rPr>
          <w:rFonts w:eastAsia="Times New Roman" w:cs="Times New Roman"/>
          <w:b/>
          <w:bCs/>
        </w:rPr>
        <w:t>“or”</w:t>
      </w:r>
      <w:r>
        <w:rPr>
          <w:rFonts w:eastAsia="Times New Roman" w:cs="Times New Roman"/>
        </w:rPr>
        <w:t xml:space="preserve">. The level of statistical significance was declared at a p-value of &lt; 0.05. </w:t>
      </w:r>
    </w:p>
    <w:p w14:paraId="250CBA23" w14:textId="77777777" w:rsidR="006D129C" w:rsidRDefault="006D129C" w:rsidP="006D129C">
      <w:pPr>
        <w:spacing w:after="200" w:line="480" w:lineRule="auto"/>
        <w:rPr>
          <w:rFonts w:eastAsia="Times New Roman" w:cs="Times New Roman"/>
        </w:rPr>
      </w:pPr>
      <w:r>
        <w:rPr>
          <w:rFonts w:eastAsia="Times New Roman" w:cs="Times New Roman"/>
          <w:b/>
          <w:bCs/>
        </w:rPr>
        <w:t>Results</w:t>
      </w:r>
      <w:r>
        <w:rPr>
          <w:rFonts w:eastAsia="Times New Roman" w:cs="Times New Roman"/>
        </w:rPr>
        <w:t xml:space="preserve"> A total of 341 elderly groups were participated in this study with the response rate of 98.27% </w:t>
      </w:r>
      <w:r>
        <w:rPr>
          <w:rFonts w:eastAsia="Times New Roman" w:cs="Calibri"/>
          <w:sz w:val="22"/>
        </w:rPr>
        <w:t xml:space="preserve">Out of this </w:t>
      </w:r>
      <w:r>
        <w:rPr>
          <w:rFonts w:eastAsia="Times New Roman" w:cs="Times New Roman"/>
        </w:rPr>
        <w:t xml:space="preserve">21.1%, 95% CI:(16.4%,25.2%) were malnourished ,49.3%, 95% CI:(43.9%,55.3%) were at risk of malnutrition. In Multivariable ordinal logistic regression, for being at risk of malnutrition and being malnourished the following variables were significantly associated;  being male 2.03 [(AOR =2.03, 95% CI:1.13,3.63)], being aged above 75 years  </w:t>
      </w:r>
      <w:r>
        <w:rPr>
          <w:rFonts w:eastAsia="Times New Roman" w:cs="Times New Roman"/>
          <w:szCs w:val="24"/>
        </w:rPr>
        <w:t>2.58 [(AOR =2.58, 95%CI:1.34,4.99)]</w:t>
      </w:r>
      <w:r>
        <w:rPr>
          <w:rFonts w:eastAsia="Times New Roman" w:cs="Times New Roman"/>
        </w:rPr>
        <w:t xml:space="preserve">, living with others </w:t>
      </w:r>
      <w:r>
        <w:rPr>
          <w:rFonts w:eastAsia="Times New Roman" w:cs="Times New Roman"/>
          <w:szCs w:val="24"/>
        </w:rPr>
        <w:t>3 [(AOR=3.00, 95%CI:1.23,7.05)]</w:t>
      </w:r>
      <w:r>
        <w:rPr>
          <w:rFonts w:eastAsia="Times New Roman" w:cs="Times New Roman"/>
        </w:rPr>
        <w:t xml:space="preserve"> ,not having care giver </w:t>
      </w:r>
      <w:r>
        <w:rPr>
          <w:rFonts w:eastAsia="Times New Roman" w:cs="Times New Roman"/>
          <w:szCs w:val="24"/>
        </w:rPr>
        <w:t>2.21 [(AOR=2.21, 95%CI:1.14,4.27)</w:t>
      </w:r>
      <w:r>
        <w:rPr>
          <w:rFonts w:eastAsia="Times New Roman" w:cs="Times New Roman"/>
        </w:rPr>
        <w:t>],</w:t>
      </w:r>
      <w:r>
        <w:t>lack of formal education</w:t>
      </w:r>
      <w:r>
        <w:rPr>
          <w:rFonts w:eastAsia="Times New Roman" w:cs="Times New Roman"/>
        </w:rPr>
        <w:t xml:space="preserve"> </w:t>
      </w:r>
      <w:r>
        <w:rPr>
          <w:rFonts w:eastAsia="Times New Roman" w:cs="Times New Roman"/>
          <w:szCs w:val="24"/>
        </w:rPr>
        <w:t>2.06 [(AOR=2.06, 95%CI:1.19,3.57)</w:t>
      </w:r>
      <w:r>
        <w:rPr>
          <w:rFonts w:eastAsia="Times New Roman" w:cs="Times New Roman"/>
        </w:rPr>
        <w:t xml:space="preserve">], being in the low category of wealth index </w:t>
      </w:r>
      <w:r>
        <w:rPr>
          <w:rFonts w:eastAsia="Times New Roman" w:cs="Times New Roman"/>
          <w:szCs w:val="24"/>
        </w:rPr>
        <w:t>3.27 [(AOR =3.27, 95%CI: 1.95,5.5)</w:t>
      </w:r>
      <w:r>
        <w:rPr>
          <w:rFonts w:eastAsia="Times New Roman" w:cs="Times New Roman"/>
        </w:rPr>
        <w:t xml:space="preserve">], having depression 1.9 </w:t>
      </w:r>
      <w:bookmarkStart w:id="3" w:name="_Hlk43050131"/>
      <w:r>
        <w:rPr>
          <w:rFonts w:eastAsia="Times New Roman" w:cs="Times New Roman"/>
        </w:rPr>
        <w:t>[(A</w:t>
      </w:r>
      <w:r>
        <w:rPr>
          <w:rFonts w:eastAsia="Times New Roman" w:cs="Times New Roman"/>
          <w:szCs w:val="24"/>
        </w:rPr>
        <w:t xml:space="preserve">OR=1.9, 95%CI:1.22,2.94)] </w:t>
      </w:r>
      <w:bookmarkEnd w:id="3"/>
      <w:r>
        <w:rPr>
          <w:rFonts w:eastAsia="Times New Roman" w:cs="Times New Roman"/>
        </w:rPr>
        <w:t xml:space="preserve">and alcohol consumption </w:t>
      </w:r>
      <w:r>
        <w:rPr>
          <w:rFonts w:eastAsia="Times New Roman" w:cs="Times New Roman"/>
          <w:szCs w:val="24"/>
        </w:rPr>
        <w:t>1.77 [(AOR=1.77, 95%CI:1.04,2.99)]</w:t>
      </w:r>
      <w:r>
        <w:rPr>
          <w:rFonts w:eastAsia="Times New Roman" w:cs="Times New Roman"/>
        </w:rPr>
        <w:t xml:space="preserve"> were significantly associated.  </w:t>
      </w:r>
    </w:p>
    <w:p w14:paraId="744DA7DB" w14:textId="77777777" w:rsidR="006D129C" w:rsidRDefault="006D129C" w:rsidP="006D129C">
      <w:pPr>
        <w:spacing w:after="200" w:line="480" w:lineRule="auto"/>
        <w:jc w:val="both"/>
        <w:rPr>
          <w:rFonts w:eastAsia="Times New Roman" w:cs="Times New Roman"/>
          <w:szCs w:val="24"/>
          <w:lang w:val="en-GB" w:eastAsia="en-GB"/>
        </w:rPr>
      </w:pPr>
      <w:r>
        <w:rPr>
          <w:rFonts w:eastAsia="Times New Roman" w:cs="Times New Roman"/>
          <w:b/>
          <w:bCs/>
        </w:rPr>
        <w:t xml:space="preserve">Conclusion: </w:t>
      </w:r>
      <w:r>
        <w:rPr>
          <w:rFonts w:eastAsia="Times New Roman" w:cs="Times New Roman"/>
          <w:bCs/>
        </w:rPr>
        <w:t>One-fifth of the participants were malnourished and around half of the participants were at risk of malnutrition.</w:t>
      </w:r>
      <w:r>
        <w:rPr>
          <w:rFonts w:eastAsia="Times New Roman" w:cs="Times New Roman"/>
          <w:szCs w:val="24"/>
          <w:lang w:val="en-GB" w:eastAsia="en-GB"/>
        </w:rPr>
        <w:t xml:space="preserve"> </w:t>
      </w:r>
    </w:p>
    <w:p w14:paraId="622D5FE9" w14:textId="77777777" w:rsidR="006D129C" w:rsidRDefault="006D129C" w:rsidP="006D129C">
      <w:pPr>
        <w:spacing w:after="200" w:line="480" w:lineRule="auto"/>
        <w:rPr>
          <w:rFonts w:eastAsia="Times New Roman" w:cs="Times New Roman"/>
        </w:rPr>
      </w:pPr>
      <w:r>
        <w:rPr>
          <w:rFonts w:eastAsia="Times New Roman" w:cs="Times New Roman"/>
          <w:b/>
          <w:bCs/>
        </w:rPr>
        <w:t>Keywords</w:t>
      </w:r>
      <w:r>
        <w:rPr>
          <w:rFonts w:eastAsia="Times New Roman" w:cs="Times New Roman"/>
        </w:rPr>
        <w:t>:  Malnutrition, Risk of malnutrition, Factors, Elderly, Debre Berhan, Ethiopia.</w:t>
      </w:r>
    </w:p>
    <w:p w14:paraId="01C56875" w14:textId="77777777" w:rsidR="006D129C" w:rsidRDefault="006D129C" w:rsidP="006D129C">
      <w:pPr>
        <w:spacing w:after="0" w:line="480" w:lineRule="auto"/>
        <w:rPr>
          <w:rFonts w:eastAsia="Times New Roman" w:cs="Times New Roman"/>
        </w:rPr>
        <w:sectPr w:rsidR="006D129C">
          <w:pgSz w:w="12240" w:h="15840"/>
          <w:pgMar w:top="1440" w:right="1440" w:bottom="1440" w:left="1440" w:header="720" w:footer="720" w:gutter="0"/>
          <w:cols w:space="720"/>
        </w:sectPr>
      </w:pPr>
    </w:p>
    <w:p w14:paraId="38665B1D" w14:textId="77777777" w:rsidR="006D129C" w:rsidRDefault="006D129C" w:rsidP="006D129C">
      <w:pPr>
        <w:tabs>
          <w:tab w:val="left" w:pos="5520"/>
        </w:tabs>
        <w:spacing w:after="200" w:line="480" w:lineRule="auto"/>
        <w:jc w:val="both"/>
        <w:rPr>
          <w:rFonts w:eastAsia="Calibri" w:cs="Times New Roman"/>
          <w:bCs/>
          <w:szCs w:val="24"/>
        </w:rPr>
      </w:pPr>
    </w:p>
    <w:p w14:paraId="152CEFE1" w14:textId="77777777" w:rsidR="00D01EF7" w:rsidRDefault="00D01EF7"/>
    <w:sectPr w:rsidR="00D01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j-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C45"/>
    <w:rsid w:val="006D129C"/>
    <w:rsid w:val="00D01EF7"/>
    <w:rsid w:val="00FA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137E"/>
  <w15:chartTrackingRefBased/>
  <w15:docId w15:val="{03049E0B-1787-4596-9A72-67540A36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bCs/>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29C"/>
    <w:pPr>
      <w:spacing w:line="256" w:lineRule="auto"/>
    </w:pPr>
    <w:rPr>
      <w:bCs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129C"/>
    <w:pPr>
      <w:spacing w:after="0" w:line="240" w:lineRule="auto"/>
    </w:pPr>
    <w:rPr>
      <w:bCs w:val="0"/>
      <w:szCs w:val="22"/>
    </w:rPr>
  </w:style>
  <w:style w:type="paragraph" w:customStyle="1" w:styleId="NoSpacing1">
    <w:name w:val="No Spacing1"/>
    <w:next w:val="NoSpacing"/>
    <w:autoRedefine/>
    <w:uiPriority w:val="1"/>
    <w:qFormat/>
    <w:rsid w:val="006D129C"/>
    <w:pPr>
      <w:spacing w:after="0" w:line="240" w:lineRule="auto"/>
    </w:pPr>
    <w:rPr>
      <w:rFonts w:cs="Calibri"/>
      <w:b/>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33790">
      <w:bodyDiv w:val="1"/>
      <w:marLeft w:val="0"/>
      <w:marRight w:val="0"/>
      <w:marTop w:val="0"/>
      <w:marBottom w:val="0"/>
      <w:divBdr>
        <w:top w:val="none" w:sz="0" w:space="0" w:color="auto"/>
        <w:left w:val="none" w:sz="0" w:space="0" w:color="auto"/>
        <w:bottom w:val="none" w:sz="0" w:space="0" w:color="auto"/>
        <w:right w:val="none" w:sz="0" w:space="0" w:color="auto"/>
      </w:divBdr>
    </w:div>
    <w:div w:id="95625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abera temamo</dc:creator>
  <cp:keywords/>
  <dc:description/>
  <cp:lastModifiedBy>abera temamo</cp:lastModifiedBy>
  <cp:revision>2</cp:revision>
  <dcterms:created xsi:type="dcterms:W3CDTF">2021-04-01T11:46:00Z</dcterms:created>
  <dcterms:modified xsi:type="dcterms:W3CDTF">2021-04-01T11:47:00Z</dcterms:modified>
</cp:coreProperties>
</file>