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C37" w:rsidRPr="00061C37" w:rsidRDefault="00061C37" w:rsidP="00061C37">
      <w:pPr>
        <w:rPr>
          <w:b/>
          <w:bCs/>
        </w:rPr>
      </w:pPr>
      <w:r w:rsidRPr="00061C37">
        <w:rPr>
          <w:b/>
          <w:bCs/>
        </w:rPr>
        <w:t xml:space="preserve">Efficacy of two different doses of oral vitamin D supplementation on inflammatory biomarkers and maternal and neonatal outcomes </w:t>
      </w:r>
    </w:p>
    <w:p w:rsidR="00AF5E5D" w:rsidRDefault="00061C37" w:rsidP="00AF5E5D">
      <w:proofErr w:type="spellStart"/>
      <w:r w:rsidRPr="00061C37">
        <w:t>Soudabe</w:t>
      </w:r>
      <w:proofErr w:type="spellEnd"/>
      <w:r w:rsidRPr="00061C37">
        <w:t xml:space="preserve"> Motamed1 | </w:t>
      </w:r>
      <w:proofErr w:type="spellStart"/>
      <w:r w:rsidRPr="00061C37">
        <w:t>Bahareh</w:t>
      </w:r>
      <w:proofErr w:type="spellEnd"/>
      <w:r w:rsidRPr="00061C37">
        <w:t xml:space="preserve"> Nikooyeh2 | Bruce W. Hollis</w:t>
      </w:r>
      <w:r w:rsidR="00AF5E5D">
        <w:t>3</w:t>
      </w:r>
      <w:r w:rsidRPr="00061C37">
        <w:t xml:space="preserve"> | </w:t>
      </w:r>
      <w:proofErr w:type="spellStart"/>
      <w:r w:rsidRPr="00061C37">
        <w:t>Tirang</w:t>
      </w:r>
      <w:proofErr w:type="spellEnd"/>
      <w:r w:rsidRPr="00061C37">
        <w:t xml:space="preserve"> R. Neyestani2</w:t>
      </w:r>
    </w:p>
    <w:p w:rsidR="00AF5E5D" w:rsidRDefault="00AF5E5D" w:rsidP="00AF5E5D">
      <w:r>
        <w:t xml:space="preserve">1Department of Nutrition, </w:t>
      </w:r>
      <w:proofErr w:type="spellStart"/>
      <w:r>
        <w:t>Shahid</w:t>
      </w:r>
      <w:proofErr w:type="spellEnd"/>
      <w:r>
        <w:t xml:space="preserve"> </w:t>
      </w:r>
      <w:proofErr w:type="spellStart"/>
      <w:r>
        <w:t>Beheshti</w:t>
      </w:r>
      <w:proofErr w:type="spellEnd"/>
      <w:r>
        <w:t xml:space="preserve"> University of Medical Sciences, Tehran, Iran </w:t>
      </w:r>
    </w:p>
    <w:p w:rsidR="00AF5E5D" w:rsidRDefault="00AF5E5D" w:rsidP="00AF5E5D">
      <w:r>
        <w:t xml:space="preserve">2 Laboratory of Nutrition Research, National Nutrition and Food Technology Research Institute and Faculty of Nutrition Sciences and Food Technology, </w:t>
      </w:r>
      <w:proofErr w:type="spellStart"/>
      <w:r>
        <w:t>Shahid</w:t>
      </w:r>
      <w:proofErr w:type="spellEnd"/>
      <w:r>
        <w:t xml:space="preserve"> </w:t>
      </w:r>
      <w:proofErr w:type="spellStart"/>
      <w:r>
        <w:t>Beheshti</w:t>
      </w:r>
      <w:proofErr w:type="spellEnd"/>
      <w:r>
        <w:t xml:space="preserve"> University of Medical Sciences, Tehran, Iran </w:t>
      </w:r>
    </w:p>
    <w:p w:rsidR="00AF5E5D" w:rsidRDefault="00AF5E5D" w:rsidP="00AF5E5D">
      <w:r>
        <w:t>3</w:t>
      </w:r>
      <w:r>
        <w:t xml:space="preserve">Division of Neonatology, Department of Pediatrics, Medical University of South Carolina, Charleston, South Carolina, USA Correspondence Professor </w:t>
      </w:r>
      <w:proofErr w:type="spellStart"/>
      <w:r>
        <w:t>Tirang</w:t>
      </w:r>
      <w:proofErr w:type="spellEnd"/>
      <w:r>
        <w:t xml:space="preserve"> R. </w:t>
      </w:r>
      <w:proofErr w:type="spellStart"/>
      <w:r>
        <w:t>Neyestani</w:t>
      </w:r>
      <w:proofErr w:type="spellEnd"/>
      <w:r>
        <w:t xml:space="preserve">, Laboratory of Nutrition Research, National Nutrition and Food Technology Research Institute, </w:t>
      </w:r>
      <w:proofErr w:type="spellStart"/>
      <w:r>
        <w:t>Hafezi</w:t>
      </w:r>
      <w:proofErr w:type="spellEnd"/>
      <w:r>
        <w:t xml:space="preserve"> St. </w:t>
      </w:r>
      <w:proofErr w:type="spellStart"/>
      <w:r>
        <w:t>i</w:t>
      </w:r>
      <w:proofErr w:type="spellEnd"/>
      <w:r>
        <w:t xml:space="preserve">, </w:t>
      </w:r>
      <w:proofErr w:type="spellStart"/>
      <w:r>
        <w:t>Farahzadi</w:t>
      </w:r>
      <w:proofErr w:type="spellEnd"/>
      <w:r>
        <w:t xml:space="preserve"> Blvd., </w:t>
      </w:r>
      <w:proofErr w:type="spellStart"/>
      <w:r>
        <w:t>ShahrakQods</w:t>
      </w:r>
      <w:proofErr w:type="spellEnd"/>
      <w:r>
        <w:t xml:space="preserve"> (</w:t>
      </w:r>
      <w:proofErr w:type="spellStart"/>
      <w:r>
        <w:t>Gharb</w:t>
      </w:r>
      <w:proofErr w:type="spellEnd"/>
      <w:r>
        <w:t xml:space="preserve">), Tehran 1981619573, Iran. Email: t.neyestani@sbmu.ac.ir; </w:t>
      </w:r>
      <w:proofErr w:type="spellStart"/>
      <w:r>
        <w:t>neytr@yahoo</w:t>
      </w:r>
      <w:proofErr w:type="spellEnd"/>
      <w:r>
        <w:t xml:space="preserve">. </w:t>
      </w:r>
      <w:r>
        <w:t>C</w:t>
      </w:r>
      <w:r>
        <w:t>om</w:t>
      </w:r>
    </w:p>
    <w:p w:rsidR="00AF5E5D" w:rsidRPr="00AF5E5D" w:rsidRDefault="00AF5E5D" w:rsidP="00AF5E5D">
      <w:pPr>
        <w:rPr>
          <w:b/>
          <w:bCs/>
        </w:rPr>
      </w:pPr>
    </w:p>
    <w:p w:rsidR="007A7FD1" w:rsidRPr="00AF5E5D" w:rsidRDefault="00AF5E5D" w:rsidP="00AF5E5D">
      <w:pPr>
        <w:rPr>
          <w:b/>
          <w:bCs/>
        </w:rPr>
      </w:pPr>
      <w:r w:rsidRPr="00AF5E5D">
        <w:rPr>
          <w:b/>
          <w:bCs/>
        </w:rPr>
        <w:t xml:space="preserve">Abstract </w:t>
      </w:r>
    </w:p>
    <w:p w:rsidR="00AF5E5D" w:rsidRPr="00AF5E5D" w:rsidRDefault="00AF5E5D" w:rsidP="00AF5E5D">
      <w:pPr>
        <w:pStyle w:val="NormalWeb"/>
        <w:shd w:val="clear" w:color="auto" w:fill="FFFFFF"/>
        <w:rPr>
          <w:rFonts w:ascii="Segoe UI" w:hAnsi="Segoe UI" w:cs="Segoe UI"/>
          <w:color w:val="212121"/>
          <w:sz w:val="22"/>
          <w:szCs w:val="22"/>
        </w:rPr>
      </w:pPr>
      <w:proofErr w:type="spellStart"/>
      <w:r w:rsidRPr="00AF5E5D">
        <w:rPr>
          <w:rFonts w:ascii="Segoe UI" w:hAnsi="Segoe UI" w:cs="Segoe UI"/>
          <w:color w:val="212121"/>
          <w:sz w:val="22"/>
          <w:szCs w:val="22"/>
        </w:rPr>
        <w:t>Hypovitaminosis</w:t>
      </w:r>
      <w:proofErr w:type="spellEnd"/>
      <w:r w:rsidRPr="00AF5E5D">
        <w:rPr>
          <w:rFonts w:ascii="Segoe UI" w:hAnsi="Segoe UI" w:cs="Segoe UI"/>
          <w:color w:val="212121"/>
          <w:sz w:val="22"/>
          <w:szCs w:val="22"/>
        </w:rPr>
        <w:t xml:space="preserve"> D during pregnancy is suggested to have a link with complications in both mother and infant. We aimed to evaluate the efficacy of two doses of vitamin D3 supplementation during pregnancy on maternal and cord blood vitamin D status, inflammatory biomarkers, and maternal and neonatal outcomes. A total of 84 pregnant women (gestational age of &lt;12 weeks) were randomly allocated to one of two groups: (a) 1,000-IU/d vitamin D and (b) 2,000 IU/d. Biochemical assessments (25-hydroxycalciferol (25(OH)D), </w:t>
      </w:r>
      <w:proofErr w:type="spellStart"/>
      <w:r w:rsidRPr="00AF5E5D">
        <w:rPr>
          <w:rFonts w:ascii="Segoe UI" w:hAnsi="Segoe UI" w:cs="Segoe UI"/>
          <w:color w:val="212121"/>
          <w:sz w:val="22"/>
          <w:szCs w:val="22"/>
        </w:rPr>
        <w:t>hs</w:t>
      </w:r>
      <w:proofErr w:type="spellEnd"/>
      <w:r w:rsidRPr="00AF5E5D">
        <w:rPr>
          <w:rFonts w:ascii="Segoe UI" w:hAnsi="Segoe UI" w:cs="Segoe UI"/>
          <w:color w:val="212121"/>
          <w:sz w:val="22"/>
          <w:szCs w:val="22"/>
        </w:rPr>
        <w:t>-CRP, and cell-culture supernatant concentrations of IL-1β, IL-6, and TNF-α) of mothers were performed at the beginning and 34 weeks of gestation. Assessments of infants at delivery comprised cord blood serum concentrations of 25(OH</w:t>
      </w:r>
      <w:proofErr w:type="gramStart"/>
      <w:r w:rsidRPr="00AF5E5D">
        <w:rPr>
          <w:rFonts w:ascii="Segoe UI" w:hAnsi="Segoe UI" w:cs="Segoe UI"/>
          <w:color w:val="212121"/>
          <w:sz w:val="22"/>
          <w:szCs w:val="22"/>
        </w:rPr>
        <w:t>)D</w:t>
      </w:r>
      <w:proofErr w:type="gramEnd"/>
      <w:r w:rsidRPr="00AF5E5D">
        <w:rPr>
          <w:rFonts w:ascii="Segoe UI" w:hAnsi="Segoe UI" w:cs="Segoe UI"/>
          <w:color w:val="212121"/>
          <w:sz w:val="22"/>
          <w:szCs w:val="22"/>
        </w:rPr>
        <w:t xml:space="preserve">, </w:t>
      </w:r>
      <w:proofErr w:type="spellStart"/>
      <w:r w:rsidRPr="00AF5E5D">
        <w:rPr>
          <w:rFonts w:ascii="Segoe UI" w:hAnsi="Segoe UI" w:cs="Segoe UI"/>
          <w:color w:val="212121"/>
          <w:sz w:val="22"/>
          <w:szCs w:val="22"/>
        </w:rPr>
        <w:t>hs</w:t>
      </w:r>
      <w:proofErr w:type="spellEnd"/>
      <w:r w:rsidRPr="00AF5E5D">
        <w:rPr>
          <w:rFonts w:ascii="Segoe UI" w:hAnsi="Segoe UI" w:cs="Segoe UI"/>
          <w:color w:val="212121"/>
          <w:sz w:val="22"/>
          <w:szCs w:val="22"/>
        </w:rPr>
        <w:t>-CRP, IL-1β, IL-6, TNF-α, birth sizes, and Apgar score. Circulating concentrations of 25(OH</w:t>
      </w:r>
      <w:proofErr w:type="gramStart"/>
      <w:r w:rsidRPr="00AF5E5D">
        <w:rPr>
          <w:rFonts w:ascii="Segoe UI" w:hAnsi="Segoe UI" w:cs="Segoe UI"/>
          <w:color w:val="212121"/>
          <w:sz w:val="22"/>
          <w:szCs w:val="22"/>
        </w:rPr>
        <w:t>)D</w:t>
      </w:r>
      <w:proofErr w:type="gramEnd"/>
      <w:r w:rsidRPr="00AF5E5D">
        <w:rPr>
          <w:rFonts w:ascii="Segoe UI" w:hAnsi="Segoe UI" w:cs="Segoe UI"/>
          <w:color w:val="212121"/>
          <w:sz w:val="22"/>
          <w:szCs w:val="22"/>
        </w:rPr>
        <w:t xml:space="preserve"> increased in both intervention groups with more increment in 2,000 IU/d than in 1,000 IU/d (46.7 ± 30.7 vs. 24.0 ± 21.07 </w:t>
      </w:r>
      <w:proofErr w:type="spellStart"/>
      <w:r w:rsidRPr="00AF5E5D">
        <w:rPr>
          <w:rFonts w:ascii="Segoe UI" w:hAnsi="Segoe UI" w:cs="Segoe UI"/>
          <w:color w:val="212121"/>
          <w:sz w:val="22"/>
          <w:szCs w:val="22"/>
        </w:rPr>
        <w:t>nmol</w:t>
      </w:r>
      <w:proofErr w:type="spellEnd"/>
      <w:r w:rsidRPr="00AF5E5D">
        <w:rPr>
          <w:rFonts w:ascii="Segoe UI" w:hAnsi="Segoe UI" w:cs="Segoe UI"/>
          <w:color w:val="212121"/>
          <w:sz w:val="22"/>
          <w:szCs w:val="22"/>
        </w:rPr>
        <w:t xml:space="preserve"> L</w:t>
      </w:r>
      <w:r w:rsidRPr="00AF5E5D">
        <w:rPr>
          <w:rFonts w:ascii="Segoe UI" w:hAnsi="Segoe UI" w:cs="Segoe UI"/>
          <w:color w:val="212121"/>
          <w:sz w:val="22"/>
          <w:szCs w:val="22"/>
          <w:vertAlign w:val="superscript"/>
        </w:rPr>
        <w:t>-1</w:t>
      </w:r>
      <w:r w:rsidRPr="00AF5E5D">
        <w:rPr>
          <w:rFonts w:ascii="Segoe UI" w:hAnsi="Segoe UI" w:cs="Segoe UI"/>
          <w:color w:val="212121"/>
          <w:sz w:val="22"/>
          <w:szCs w:val="22"/>
        </w:rPr>
        <w:t xml:space="preserve"> , P = .001). Concentrations of TNF-α decreased significantly in group 2,000 (-913.1 ± 1261.3 </w:t>
      </w:r>
      <w:proofErr w:type="spellStart"/>
      <w:r w:rsidRPr="00AF5E5D">
        <w:rPr>
          <w:rFonts w:ascii="Segoe UI" w:hAnsi="Segoe UI" w:cs="Segoe UI"/>
          <w:color w:val="212121"/>
          <w:sz w:val="22"/>
          <w:szCs w:val="22"/>
        </w:rPr>
        <w:t>ng</w:t>
      </w:r>
      <w:proofErr w:type="spellEnd"/>
      <w:r w:rsidRPr="00AF5E5D">
        <w:rPr>
          <w:rFonts w:ascii="Segoe UI" w:hAnsi="Segoe UI" w:cs="Segoe UI"/>
          <w:color w:val="212121"/>
          <w:sz w:val="22"/>
          <w:szCs w:val="22"/>
        </w:rPr>
        <w:t xml:space="preserve"> L</w:t>
      </w:r>
      <w:r w:rsidRPr="00AF5E5D">
        <w:rPr>
          <w:rFonts w:ascii="Segoe UI" w:hAnsi="Segoe UI" w:cs="Segoe UI"/>
          <w:color w:val="212121"/>
          <w:sz w:val="22"/>
          <w:szCs w:val="22"/>
          <w:vertAlign w:val="superscript"/>
        </w:rPr>
        <w:t>-</w:t>
      </w:r>
      <w:proofErr w:type="gramStart"/>
      <w:r w:rsidRPr="00AF5E5D">
        <w:rPr>
          <w:rFonts w:ascii="Segoe UI" w:hAnsi="Segoe UI" w:cs="Segoe UI"/>
          <w:color w:val="212121"/>
          <w:sz w:val="22"/>
          <w:szCs w:val="22"/>
          <w:vertAlign w:val="superscript"/>
        </w:rPr>
        <w:t>1</w:t>
      </w:r>
      <w:r w:rsidRPr="00AF5E5D">
        <w:rPr>
          <w:rFonts w:ascii="Segoe UI" w:hAnsi="Segoe UI" w:cs="Segoe UI"/>
          <w:color w:val="212121"/>
          <w:sz w:val="22"/>
          <w:szCs w:val="22"/>
        </w:rPr>
        <w:t> ,</w:t>
      </w:r>
      <w:proofErr w:type="gramEnd"/>
      <w:r w:rsidRPr="00AF5E5D">
        <w:rPr>
          <w:rFonts w:ascii="Segoe UI" w:hAnsi="Segoe UI" w:cs="Segoe UI"/>
          <w:color w:val="212121"/>
          <w:sz w:val="22"/>
          <w:szCs w:val="22"/>
        </w:rPr>
        <w:t xml:space="preserve"> P = .01). The cord blood concentration of IL-6 in group 2,000 IU/d, compared with 1,000 IU/d, was significantly lower (25.9 ± 32.0 vs. 4.6 ± 1.4 </w:t>
      </w:r>
      <w:proofErr w:type="spellStart"/>
      <w:r w:rsidRPr="00AF5E5D">
        <w:rPr>
          <w:rFonts w:ascii="Segoe UI" w:hAnsi="Segoe UI" w:cs="Segoe UI"/>
          <w:color w:val="212121"/>
          <w:sz w:val="22"/>
          <w:szCs w:val="22"/>
        </w:rPr>
        <w:t>ng</w:t>
      </w:r>
      <w:proofErr w:type="spellEnd"/>
      <w:r w:rsidRPr="00AF5E5D">
        <w:rPr>
          <w:rFonts w:ascii="Segoe UI" w:hAnsi="Segoe UI" w:cs="Segoe UI"/>
          <w:color w:val="212121"/>
          <w:sz w:val="22"/>
          <w:szCs w:val="22"/>
        </w:rPr>
        <w:t xml:space="preserve"> L</w:t>
      </w:r>
      <w:r w:rsidRPr="00AF5E5D">
        <w:rPr>
          <w:rFonts w:ascii="Segoe UI" w:hAnsi="Segoe UI" w:cs="Segoe UI"/>
          <w:color w:val="212121"/>
          <w:sz w:val="22"/>
          <w:szCs w:val="22"/>
          <w:vertAlign w:val="superscript"/>
        </w:rPr>
        <w:t>-</w:t>
      </w:r>
      <w:proofErr w:type="gramStart"/>
      <w:r w:rsidRPr="00AF5E5D">
        <w:rPr>
          <w:rFonts w:ascii="Segoe UI" w:hAnsi="Segoe UI" w:cs="Segoe UI"/>
          <w:color w:val="212121"/>
          <w:sz w:val="22"/>
          <w:szCs w:val="22"/>
          <w:vertAlign w:val="superscript"/>
        </w:rPr>
        <w:t>1</w:t>
      </w:r>
      <w:r w:rsidRPr="00AF5E5D">
        <w:rPr>
          <w:rFonts w:ascii="Segoe UI" w:hAnsi="Segoe UI" w:cs="Segoe UI"/>
          <w:color w:val="212121"/>
          <w:sz w:val="22"/>
          <w:szCs w:val="22"/>
        </w:rPr>
        <w:t> ,</w:t>
      </w:r>
      <w:proofErr w:type="gramEnd"/>
      <w:r w:rsidRPr="00AF5E5D">
        <w:rPr>
          <w:rFonts w:ascii="Segoe UI" w:hAnsi="Segoe UI" w:cs="Segoe UI"/>
          <w:color w:val="212121"/>
          <w:sz w:val="22"/>
          <w:szCs w:val="22"/>
        </w:rPr>
        <w:t xml:space="preserve"> P = .03). The birth sizes including weight, length, and head circumference of the infants of group 2,000 IU/d were significantly higher than the infants' of group 1,000 IU/d. Supplementation with 2,000-IU/d vitamin D3 is more effective than 1,000 IU/d in pregnant women in terms of increasing circulating 25(OH</w:t>
      </w:r>
      <w:proofErr w:type="gramStart"/>
      <w:r w:rsidRPr="00AF5E5D">
        <w:rPr>
          <w:rFonts w:ascii="Segoe UI" w:hAnsi="Segoe UI" w:cs="Segoe UI"/>
          <w:color w:val="212121"/>
          <w:sz w:val="22"/>
          <w:szCs w:val="22"/>
        </w:rPr>
        <w:t>)D</w:t>
      </w:r>
      <w:proofErr w:type="gramEnd"/>
      <w:r w:rsidRPr="00AF5E5D">
        <w:rPr>
          <w:rFonts w:ascii="Segoe UI" w:hAnsi="Segoe UI" w:cs="Segoe UI"/>
          <w:color w:val="212121"/>
          <w:sz w:val="22"/>
          <w:szCs w:val="22"/>
        </w:rPr>
        <w:t>, ameliorating pro-inflammatory markers notably TNF-α in mother and IL-6 in cord blood, and improving neonatal outcomes including the birth sizes.</w:t>
      </w:r>
    </w:p>
    <w:p w:rsidR="00AF5E5D" w:rsidRPr="00AF5E5D" w:rsidRDefault="00AF5E5D" w:rsidP="00AF5E5D">
      <w:pPr>
        <w:pStyle w:val="NormalWeb"/>
        <w:shd w:val="clear" w:color="auto" w:fill="FFFFFF"/>
        <w:rPr>
          <w:rFonts w:ascii="Segoe UI" w:hAnsi="Segoe UI" w:cs="Segoe UI"/>
          <w:color w:val="212121"/>
        </w:rPr>
      </w:pPr>
      <w:r>
        <w:rPr>
          <w:rStyle w:val="Strong"/>
          <w:rFonts w:ascii="Segoe UI" w:hAnsi="Segoe UI" w:cs="Segoe UI"/>
          <w:color w:val="212121"/>
        </w:rPr>
        <w:t>Keywords: </w:t>
      </w:r>
      <w:r>
        <w:rPr>
          <w:rFonts w:ascii="Segoe UI" w:hAnsi="Segoe UI" w:cs="Segoe UI"/>
          <w:color w:val="212121"/>
        </w:rPr>
        <w:t>micronutrient m</w:t>
      </w:r>
      <w:bookmarkStart w:id="0" w:name="_GoBack"/>
      <w:bookmarkEnd w:id="0"/>
      <w:r>
        <w:rPr>
          <w:rFonts w:ascii="Segoe UI" w:hAnsi="Segoe UI" w:cs="Segoe UI"/>
          <w:color w:val="212121"/>
        </w:rPr>
        <w:t>alnutrition; neonate; policy; pregnancy and nutrition; public health; vitamin D.</w:t>
      </w:r>
    </w:p>
    <w:sectPr w:rsidR="00AF5E5D" w:rsidRPr="00AF5E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C37"/>
    <w:rsid w:val="00061C37"/>
    <w:rsid w:val="000B0FAB"/>
    <w:rsid w:val="00AF5E5D"/>
    <w:rsid w:val="00DE55C0"/>
    <w:rsid w:val="00E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E7BFD4-8D12-48E5-BFE2-24F1072C1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0B0FAB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B0FAB"/>
    <w:rPr>
      <w:rFonts w:ascii="Calibri" w:hAnsi="Calibri" w:cs="Calibri"/>
      <w:noProof/>
    </w:rPr>
  </w:style>
  <w:style w:type="paragraph" w:customStyle="1" w:styleId="EndNoteBibliographyTitle">
    <w:name w:val="EndNote Bibliography Title"/>
    <w:basedOn w:val="Normal"/>
    <w:link w:val="EndNoteBibliographyTitleChar"/>
    <w:rsid w:val="000B0FAB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B0FAB"/>
    <w:rPr>
      <w:rFonts w:ascii="Calibri" w:hAnsi="Calibri" w:cs="Calibri"/>
      <w:noProof/>
    </w:rPr>
  </w:style>
  <w:style w:type="paragraph" w:styleId="NormalWeb">
    <w:name w:val="Normal (Web)"/>
    <w:basedOn w:val="Normal"/>
    <w:uiPriority w:val="99"/>
    <w:unhideWhenUsed/>
    <w:rsid w:val="00AF5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F5E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4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33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403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</dc:creator>
  <cp:keywords/>
  <dc:description/>
  <cp:lastModifiedBy>SM</cp:lastModifiedBy>
  <cp:revision>2</cp:revision>
  <dcterms:created xsi:type="dcterms:W3CDTF">2022-08-31T17:39:00Z</dcterms:created>
  <dcterms:modified xsi:type="dcterms:W3CDTF">2022-08-31T17:44:00Z</dcterms:modified>
</cp:coreProperties>
</file>