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A6D055" w14:textId="1A613EEB" w:rsidR="005D2049" w:rsidRPr="00D22920" w:rsidRDefault="005D2049" w:rsidP="004701DD">
      <w:pPr>
        <w:rPr>
          <w:rFonts w:cstheme="minorHAnsi"/>
          <w:sz w:val="24"/>
          <w:szCs w:val="24"/>
        </w:rPr>
      </w:pPr>
      <w:r w:rsidRPr="00D22920">
        <w:rPr>
          <w:rFonts w:cstheme="minorHAnsi"/>
          <w:sz w:val="24"/>
          <w:szCs w:val="24"/>
        </w:rPr>
        <w:t>Human Rabies in the United States:  The Atypically Atypical Cases</w:t>
      </w:r>
    </w:p>
    <w:p w14:paraId="47704150" w14:textId="325AF2F7" w:rsidR="000E53BF" w:rsidRPr="00D22920" w:rsidRDefault="005D2049" w:rsidP="008C3C78">
      <w:pPr>
        <w:rPr>
          <w:rFonts w:cstheme="minorHAnsi"/>
          <w:sz w:val="24"/>
          <w:szCs w:val="24"/>
        </w:rPr>
      </w:pPr>
      <w:r w:rsidRPr="00D22920">
        <w:rPr>
          <w:rFonts w:cstheme="minorHAnsi"/>
          <w:sz w:val="24"/>
          <w:szCs w:val="24"/>
        </w:rPr>
        <w:t>Paul Rega M.D.</w:t>
      </w:r>
      <w:r w:rsidR="004701DD">
        <w:rPr>
          <w:rFonts w:cstheme="minorHAnsi"/>
          <w:sz w:val="24"/>
          <w:szCs w:val="24"/>
        </w:rPr>
        <w:t xml:space="preserve">, </w:t>
      </w:r>
      <w:r w:rsidRPr="00D22920">
        <w:rPr>
          <w:rFonts w:cstheme="minorHAnsi"/>
          <w:sz w:val="24"/>
          <w:szCs w:val="24"/>
        </w:rPr>
        <w:t>Assistant Professor in Public Health and Emergency Medicine</w:t>
      </w:r>
      <w:r w:rsidR="004701DD">
        <w:rPr>
          <w:rFonts w:cstheme="minorHAnsi"/>
          <w:sz w:val="24"/>
          <w:szCs w:val="24"/>
        </w:rPr>
        <w:t xml:space="preserve">, </w:t>
      </w:r>
      <w:r w:rsidRPr="00D22920">
        <w:rPr>
          <w:rFonts w:cstheme="minorHAnsi"/>
          <w:sz w:val="24"/>
          <w:szCs w:val="24"/>
        </w:rPr>
        <w:t>The University of Toledo</w:t>
      </w:r>
      <w:r w:rsidR="004701DD">
        <w:rPr>
          <w:rFonts w:cstheme="minorHAnsi"/>
          <w:sz w:val="24"/>
          <w:szCs w:val="24"/>
        </w:rPr>
        <w:t xml:space="preserve">, </w:t>
      </w:r>
      <w:r w:rsidRPr="00D22920">
        <w:rPr>
          <w:rFonts w:cstheme="minorHAnsi"/>
          <w:sz w:val="24"/>
          <w:szCs w:val="24"/>
        </w:rPr>
        <w:t>Toledo, Ohio, USA</w:t>
      </w:r>
    </w:p>
    <w:p w14:paraId="0AAEDA76" w14:textId="70FFA726" w:rsidR="005D2049" w:rsidRPr="00D22920" w:rsidRDefault="005D2049" w:rsidP="005D2049">
      <w:pPr>
        <w:jc w:val="center"/>
        <w:rPr>
          <w:rFonts w:cstheme="minorHAnsi"/>
          <w:sz w:val="24"/>
          <w:szCs w:val="24"/>
        </w:rPr>
      </w:pPr>
    </w:p>
    <w:p w14:paraId="1ABC452F" w14:textId="049BC510" w:rsidR="005D2049" w:rsidRPr="00D22920" w:rsidRDefault="00AD5980" w:rsidP="005D2049">
      <w:pPr>
        <w:rPr>
          <w:rFonts w:cstheme="minorHAnsi"/>
          <w:sz w:val="24"/>
          <w:szCs w:val="24"/>
        </w:rPr>
      </w:pPr>
      <w:r>
        <w:rPr>
          <w:rFonts w:cstheme="minorHAnsi"/>
          <w:sz w:val="24"/>
          <w:szCs w:val="24"/>
        </w:rPr>
        <w:t>Statement of the problem</w:t>
      </w:r>
      <w:r w:rsidR="005D2049" w:rsidRPr="00D22920">
        <w:rPr>
          <w:rFonts w:cstheme="minorHAnsi"/>
          <w:sz w:val="24"/>
          <w:szCs w:val="24"/>
        </w:rPr>
        <w:t xml:space="preserve">:  The initial manifestations of human rabies can be described as typical (classical) and atypical.  However, there are anecdotal cases of human rabies whose initial manifestations are significantly rare that they are likely to </w:t>
      </w:r>
      <w:r w:rsidR="00754B12">
        <w:rPr>
          <w:rFonts w:cstheme="minorHAnsi"/>
          <w:sz w:val="24"/>
          <w:szCs w:val="24"/>
        </w:rPr>
        <w:t xml:space="preserve">further </w:t>
      </w:r>
      <w:r w:rsidR="005D2049" w:rsidRPr="00D22920">
        <w:rPr>
          <w:rFonts w:cstheme="minorHAnsi"/>
          <w:sz w:val="24"/>
          <w:szCs w:val="24"/>
        </w:rPr>
        <w:t xml:space="preserve">delay the correct diagnosis.  This delay can expose unwary, unprotected </w:t>
      </w:r>
      <w:r w:rsidR="00056B9E" w:rsidRPr="00D22920">
        <w:rPr>
          <w:rFonts w:cstheme="minorHAnsi"/>
          <w:sz w:val="24"/>
          <w:szCs w:val="24"/>
        </w:rPr>
        <w:t xml:space="preserve">nurses and other </w:t>
      </w:r>
      <w:r w:rsidR="005D2049" w:rsidRPr="00D22920">
        <w:rPr>
          <w:rFonts w:cstheme="minorHAnsi"/>
          <w:sz w:val="24"/>
          <w:szCs w:val="24"/>
        </w:rPr>
        <w:t xml:space="preserve">healthcare providers from the emergency department to the intensive care to becoming infected by the rabies virus as they render care to a deteriorating patient.  The objective of this review is to identify and describe these atypically atypical cases </w:t>
      </w:r>
      <w:proofErr w:type="gramStart"/>
      <w:r w:rsidR="00056B9E" w:rsidRPr="00D22920">
        <w:rPr>
          <w:rFonts w:cstheme="minorHAnsi"/>
          <w:sz w:val="24"/>
          <w:szCs w:val="24"/>
        </w:rPr>
        <w:t>so as to</w:t>
      </w:r>
      <w:proofErr w:type="gramEnd"/>
      <w:r w:rsidR="00056B9E" w:rsidRPr="00D22920">
        <w:rPr>
          <w:rFonts w:cstheme="minorHAnsi"/>
          <w:sz w:val="24"/>
          <w:szCs w:val="24"/>
        </w:rPr>
        <w:t xml:space="preserve"> increase the knowledge base of the healthcare provider empowering them to employ proper personal protective equipment and lessen their risk of secondary infection.  Methodology:  A literature search was done that included human rabies cases from 19</w:t>
      </w:r>
      <w:r w:rsidR="00A2591A">
        <w:rPr>
          <w:rFonts w:cstheme="minorHAnsi"/>
          <w:sz w:val="24"/>
          <w:szCs w:val="24"/>
        </w:rPr>
        <w:t>60</w:t>
      </w:r>
      <w:r w:rsidR="00056B9E" w:rsidRPr="00D22920">
        <w:rPr>
          <w:rFonts w:cstheme="minorHAnsi"/>
          <w:sz w:val="24"/>
          <w:szCs w:val="24"/>
        </w:rPr>
        <w:t>-201</w:t>
      </w:r>
      <w:r w:rsidR="00D22920">
        <w:rPr>
          <w:rFonts w:cstheme="minorHAnsi"/>
          <w:sz w:val="24"/>
          <w:szCs w:val="24"/>
        </w:rPr>
        <w:t>8</w:t>
      </w:r>
      <w:r w:rsidR="00056B9E" w:rsidRPr="00D22920">
        <w:rPr>
          <w:rFonts w:cstheme="minorHAnsi"/>
          <w:sz w:val="24"/>
          <w:szCs w:val="24"/>
        </w:rPr>
        <w:t xml:space="preserve">.  Results:  </w:t>
      </w:r>
      <w:r w:rsidR="00A2591A">
        <w:rPr>
          <w:rFonts w:cstheme="minorHAnsi"/>
          <w:sz w:val="24"/>
          <w:szCs w:val="24"/>
        </w:rPr>
        <w:t>From 1938-2018, t</w:t>
      </w:r>
      <w:r w:rsidR="00D22920">
        <w:rPr>
          <w:rFonts w:cstheme="minorHAnsi"/>
          <w:sz w:val="24"/>
          <w:szCs w:val="24"/>
        </w:rPr>
        <w:t>here were 588 cases of human rabies in the United States</w:t>
      </w:r>
      <w:r w:rsidR="00A2591A">
        <w:rPr>
          <w:rFonts w:cstheme="minorHAnsi"/>
          <w:sz w:val="24"/>
          <w:szCs w:val="24"/>
        </w:rPr>
        <w:t xml:space="preserve">.  During the period of study (1960-2018), there were 125 reported human </w:t>
      </w:r>
      <w:bookmarkStart w:id="0" w:name="_GoBack"/>
      <w:bookmarkEnd w:id="0"/>
      <w:r w:rsidR="00A2591A">
        <w:rPr>
          <w:rFonts w:cstheme="minorHAnsi"/>
          <w:sz w:val="24"/>
          <w:szCs w:val="24"/>
        </w:rPr>
        <w:t xml:space="preserve">rabies cases.  </w:t>
      </w:r>
      <w:r w:rsidR="00F06CBF">
        <w:rPr>
          <w:rFonts w:cstheme="minorHAnsi"/>
          <w:sz w:val="24"/>
          <w:szCs w:val="24"/>
        </w:rPr>
        <w:t xml:space="preserve">Within that cohort, </w:t>
      </w:r>
      <w:proofErr w:type="gramStart"/>
      <w:r w:rsidR="00F06CBF">
        <w:rPr>
          <w:rFonts w:cstheme="minorHAnsi"/>
          <w:sz w:val="24"/>
          <w:szCs w:val="24"/>
        </w:rPr>
        <w:t>a number of</w:t>
      </w:r>
      <w:proofErr w:type="gramEnd"/>
      <w:r w:rsidR="00F06CBF">
        <w:rPr>
          <w:rFonts w:cstheme="minorHAnsi"/>
          <w:sz w:val="24"/>
          <w:szCs w:val="24"/>
        </w:rPr>
        <w:t xml:space="preserve"> atypically atypical cases </w:t>
      </w:r>
      <w:r w:rsidR="00F204EC">
        <w:rPr>
          <w:rFonts w:cstheme="minorHAnsi"/>
          <w:sz w:val="24"/>
          <w:szCs w:val="24"/>
        </w:rPr>
        <w:t xml:space="preserve">(~15%) </w:t>
      </w:r>
      <w:r w:rsidR="00F06CBF">
        <w:rPr>
          <w:rFonts w:cstheme="minorHAnsi"/>
          <w:sz w:val="24"/>
          <w:szCs w:val="24"/>
        </w:rPr>
        <w:t>were identified</w:t>
      </w:r>
      <w:r w:rsidR="00754B12">
        <w:rPr>
          <w:rFonts w:cstheme="minorHAnsi"/>
          <w:sz w:val="24"/>
          <w:szCs w:val="24"/>
        </w:rPr>
        <w:t>.</w:t>
      </w:r>
      <w:r w:rsidR="00F06CBF">
        <w:rPr>
          <w:rFonts w:cstheme="minorHAnsi"/>
          <w:sz w:val="24"/>
          <w:szCs w:val="24"/>
        </w:rPr>
        <w:t xml:space="preserve"> </w:t>
      </w:r>
      <w:r w:rsidR="00754B12">
        <w:rPr>
          <w:rFonts w:cstheme="minorHAnsi"/>
          <w:sz w:val="24"/>
          <w:szCs w:val="24"/>
        </w:rPr>
        <w:t>Their</w:t>
      </w:r>
      <w:r w:rsidR="00F06CBF">
        <w:rPr>
          <w:rFonts w:cstheme="minorHAnsi"/>
          <w:sz w:val="24"/>
          <w:szCs w:val="24"/>
        </w:rPr>
        <w:t xml:space="preserve"> initial presentations obfuscated the correct diagnosis thereby increasing the exposure of individuals to the index patient and requiring </w:t>
      </w:r>
      <w:r>
        <w:rPr>
          <w:rFonts w:cstheme="minorHAnsi"/>
          <w:sz w:val="24"/>
          <w:szCs w:val="24"/>
        </w:rPr>
        <w:t>post-exposure prophylaxis (</w:t>
      </w:r>
      <w:r w:rsidR="00F06CBF">
        <w:rPr>
          <w:rFonts w:cstheme="minorHAnsi"/>
          <w:sz w:val="24"/>
          <w:szCs w:val="24"/>
        </w:rPr>
        <w:t>PEP</w:t>
      </w:r>
      <w:r>
        <w:rPr>
          <w:rFonts w:cstheme="minorHAnsi"/>
          <w:sz w:val="24"/>
          <w:szCs w:val="24"/>
        </w:rPr>
        <w:t>)</w:t>
      </w:r>
      <w:r w:rsidR="00F06CBF">
        <w:rPr>
          <w:rFonts w:cstheme="minorHAnsi"/>
          <w:sz w:val="24"/>
          <w:szCs w:val="24"/>
        </w:rPr>
        <w:t xml:space="preserve"> once the correct diagnosis was finally made, oftentimes post-mortem</w:t>
      </w:r>
      <w:r w:rsidR="008C3C78">
        <w:rPr>
          <w:rFonts w:cstheme="minorHAnsi"/>
          <w:sz w:val="24"/>
          <w:szCs w:val="24"/>
        </w:rPr>
        <w:t>.  The initial manifestations of these c</w:t>
      </w:r>
      <w:r w:rsidR="00F204EC">
        <w:rPr>
          <w:rFonts w:cstheme="minorHAnsi"/>
          <w:sz w:val="24"/>
          <w:szCs w:val="24"/>
        </w:rPr>
        <w:t xml:space="preserve">ases </w:t>
      </w:r>
      <w:r w:rsidR="00754B12">
        <w:rPr>
          <w:rFonts w:cstheme="minorHAnsi"/>
          <w:sz w:val="24"/>
          <w:szCs w:val="24"/>
        </w:rPr>
        <w:t>included</w:t>
      </w:r>
      <w:r w:rsidR="008C3C78">
        <w:rPr>
          <w:rFonts w:cstheme="minorHAnsi"/>
          <w:sz w:val="24"/>
          <w:szCs w:val="24"/>
        </w:rPr>
        <w:t xml:space="preserve"> diagnoses of </w:t>
      </w:r>
      <w:r w:rsidR="00F204EC">
        <w:rPr>
          <w:rFonts w:cstheme="minorHAnsi"/>
          <w:sz w:val="24"/>
          <w:szCs w:val="24"/>
        </w:rPr>
        <w:t>priapism, acute abdominal aneurysm, spontaneous ejaculation, generalized rash, etc</w:t>
      </w:r>
      <w:r w:rsidR="00F06CBF">
        <w:rPr>
          <w:rFonts w:cstheme="minorHAnsi"/>
          <w:sz w:val="24"/>
          <w:szCs w:val="24"/>
        </w:rPr>
        <w:t>.</w:t>
      </w:r>
      <w:r w:rsidR="00F204EC">
        <w:rPr>
          <w:rFonts w:cstheme="minorHAnsi"/>
          <w:sz w:val="24"/>
          <w:szCs w:val="24"/>
        </w:rPr>
        <w:t xml:space="preserve">  A summary of these atypically atypical cases will be explored further.  Conclusion</w:t>
      </w:r>
      <w:r>
        <w:rPr>
          <w:rFonts w:cstheme="minorHAnsi"/>
          <w:sz w:val="24"/>
          <w:szCs w:val="24"/>
        </w:rPr>
        <w:t xml:space="preserve"> and significance</w:t>
      </w:r>
      <w:r w:rsidR="00F204EC">
        <w:rPr>
          <w:rFonts w:cstheme="minorHAnsi"/>
          <w:sz w:val="24"/>
          <w:szCs w:val="24"/>
        </w:rPr>
        <w:t xml:space="preserve">:  </w:t>
      </w:r>
      <w:r w:rsidR="00F06CBF">
        <w:rPr>
          <w:rFonts w:cstheme="minorHAnsi"/>
          <w:sz w:val="24"/>
          <w:szCs w:val="24"/>
        </w:rPr>
        <w:t xml:space="preserve"> </w:t>
      </w:r>
      <w:r w:rsidR="00F204EC">
        <w:rPr>
          <w:rFonts w:cstheme="minorHAnsi"/>
          <w:sz w:val="24"/>
          <w:szCs w:val="24"/>
        </w:rPr>
        <w:t xml:space="preserve">Knowledge of these cases may assist nurses and other healthcare providers in increasing their awareness of the diverse initial manifestations of rabies and </w:t>
      </w:r>
      <w:r w:rsidR="00754B12">
        <w:rPr>
          <w:rFonts w:cstheme="minorHAnsi"/>
          <w:sz w:val="24"/>
          <w:szCs w:val="24"/>
        </w:rPr>
        <w:t>don</w:t>
      </w:r>
      <w:r w:rsidR="00F204EC">
        <w:rPr>
          <w:rFonts w:cstheme="minorHAnsi"/>
          <w:sz w:val="24"/>
          <w:szCs w:val="24"/>
        </w:rPr>
        <w:t xml:space="preserve"> proper PPE</w:t>
      </w:r>
      <w:r w:rsidR="00754B12">
        <w:rPr>
          <w:rFonts w:cstheme="minorHAnsi"/>
          <w:sz w:val="24"/>
          <w:szCs w:val="24"/>
        </w:rPr>
        <w:t xml:space="preserve"> (personal protective equipment)</w:t>
      </w:r>
      <w:r w:rsidR="00F204EC">
        <w:rPr>
          <w:rFonts w:cstheme="minorHAnsi"/>
          <w:sz w:val="24"/>
          <w:szCs w:val="24"/>
        </w:rPr>
        <w:t xml:space="preserve"> until the diagnosis has been clarified.</w:t>
      </w:r>
      <w:r w:rsidR="00F06CBF">
        <w:rPr>
          <w:rFonts w:cstheme="minorHAnsi"/>
          <w:sz w:val="24"/>
          <w:szCs w:val="24"/>
        </w:rPr>
        <w:t xml:space="preserve"> </w:t>
      </w:r>
    </w:p>
    <w:p w14:paraId="43C55769" w14:textId="04B723E0" w:rsidR="0041239D" w:rsidRPr="00D22920" w:rsidRDefault="0041239D" w:rsidP="005D2049">
      <w:pPr>
        <w:rPr>
          <w:rFonts w:cstheme="minorHAnsi"/>
          <w:sz w:val="24"/>
          <w:szCs w:val="24"/>
        </w:rPr>
      </w:pPr>
    </w:p>
    <w:p w14:paraId="00E7FBDB" w14:textId="5EB5ABDE" w:rsidR="0041239D" w:rsidRPr="00D22920" w:rsidRDefault="0041239D" w:rsidP="005D2049">
      <w:pPr>
        <w:rPr>
          <w:rFonts w:cstheme="minorHAnsi"/>
          <w:sz w:val="24"/>
          <w:szCs w:val="24"/>
        </w:rPr>
      </w:pPr>
    </w:p>
    <w:p w14:paraId="7A8F3D09" w14:textId="0DDC7AB6" w:rsidR="0041239D" w:rsidRPr="004701DD" w:rsidRDefault="0041239D" w:rsidP="005D2049">
      <w:pPr>
        <w:rPr>
          <w:rFonts w:ascii="Times New Roman" w:hAnsi="Times New Roman" w:cs="Times New Roman"/>
          <w:sz w:val="24"/>
          <w:szCs w:val="24"/>
        </w:rPr>
      </w:pPr>
      <w:r w:rsidRPr="004701DD">
        <w:rPr>
          <w:rFonts w:ascii="Times New Roman" w:hAnsi="Times New Roman" w:cs="Times New Roman"/>
          <w:sz w:val="24"/>
          <w:szCs w:val="24"/>
        </w:rPr>
        <w:t>References</w:t>
      </w:r>
    </w:p>
    <w:p w14:paraId="51E2BCC6" w14:textId="77777777" w:rsidR="004701DD" w:rsidRPr="004701DD" w:rsidRDefault="004701DD" w:rsidP="004701DD">
      <w:pPr>
        <w:pStyle w:val="NormalWeb"/>
        <w:numPr>
          <w:ilvl w:val="0"/>
          <w:numId w:val="2"/>
        </w:numPr>
        <w:spacing w:before="0" w:beforeAutospacing="0" w:after="0" w:afterAutospacing="0"/>
        <w:rPr>
          <w:rFonts w:ascii="Times New Roman" w:hAnsi="Times New Roman"/>
        </w:rPr>
      </w:pPr>
      <w:r w:rsidRPr="004701DD">
        <w:rPr>
          <w:rFonts w:ascii="Times New Roman" w:hAnsi="Times New Roman"/>
        </w:rPr>
        <w:t xml:space="preserve">Rega P.  </w:t>
      </w:r>
      <w:hyperlink r:id="rId5" w:tgtFrame="_blank" w:history="1">
        <w:r w:rsidRPr="004701DD">
          <w:rPr>
            <w:rStyle w:val="Hyperlink"/>
            <w:rFonts w:ascii="Times New Roman" w:hAnsi="Times New Roman"/>
            <w:color w:val="auto"/>
            <w:u w:val="none"/>
          </w:rPr>
          <w:t>Utilizing Medical Gaming Principles to Teach Emergency Management Strategies and Crisis Leadership during a Botulism Mass Casualty Incident</w:t>
        </w:r>
      </w:hyperlink>
      <w:r w:rsidRPr="004701DD">
        <w:rPr>
          <w:rFonts w:ascii="Times New Roman" w:hAnsi="Times New Roman"/>
        </w:rPr>
        <w:t>.  EC Nursing and Healthcare. 1.2(2019):39-45.</w:t>
      </w:r>
    </w:p>
    <w:p w14:paraId="0270CF26" w14:textId="6B36AB17" w:rsidR="004701DD" w:rsidRPr="004701DD" w:rsidRDefault="004701DD" w:rsidP="004701DD">
      <w:pPr>
        <w:pStyle w:val="NormalWeb"/>
        <w:numPr>
          <w:ilvl w:val="0"/>
          <w:numId w:val="2"/>
        </w:numPr>
        <w:spacing w:before="0" w:beforeAutospacing="0" w:after="0" w:afterAutospacing="0"/>
        <w:rPr>
          <w:rFonts w:ascii="Times New Roman" w:hAnsi="Times New Roman"/>
        </w:rPr>
      </w:pPr>
      <w:r w:rsidRPr="004701DD">
        <w:rPr>
          <w:rFonts w:ascii="Times New Roman" w:hAnsi="Times New Roman"/>
        </w:rPr>
        <w:t xml:space="preserve">McKenzie N, </w:t>
      </w:r>
      <w:proofErr w:type="spellStart"/>
      <w:r w:rsidRPr="004701DD">
        <w:rPr>
          <w:rFonts w:ascii="Times New Roman" w:hAnsi="Times New Roman"/>
        </w:rPr>
        <w:t>Grider</w:t>
      </w:r>
      <w:proofErr w:type="spellEnd"/>
      <w:r w:rsidRPr="004701DD">
        <w:rPr>
          <w:rFonts w:ascii="Times New Roman" w:hAnsi="Times New Roman"/>
        </w:rPr>
        <w:t xml:space="preserve"> S, Fink BF, Rega PP.  Interdisciplinary Cricothyrotomy Training for Respiratory Therapy Students: A Pilot Study.  Respiratory Care Education Annual; Fall, 2019.  </w:t>
      </w:r>
    </w:p>
    <w:p w14:paraId="7D2ACF9C" w14:textId="77777777" w:rsidR="004701DD" w:rsidRPr="004701DD" w:rsidRDefault="004701DD" w:rsidP="004701DD">
      <w:pPr>
        <w:pStyle w:val="NormalWeb"/>
        <w:numPr>
          <w:ilvl w:val="0"/>
          <w:numId w:val="2"/>
        </w:numPr>
        <w:spacing w:before="0" w:beforeAutospacing="0" w:after="0" w:afterAutospacing="0"/>
        <w:rPr>
          <w:rFonts w:ascii="Times New Roman" w:hAnsi="Times New Roman"/>
        </w:rPr>
      </w:pPr>
      <w:r w:rsidRPr="004701DD">
        <w:rPr>
          <w:rFonts w:ascii="Times New Roman" w:hAnsi="Times New Roman"/>
        </w:rPr>
        <w:t xml:space="preserve">McKenzie N, </w:t>
      </w:r>
      <w:proofErr w:type="spellStart"/>
      <w:r w:rsidRPr="004701DD">
        <w:rPr>
          <w:rFonts w:ascii="Times New Roman" w:hAnsi="Times New Roman"/>
        </w:rPr>
        <w:t>Wishner</w:t>
      </w:r>
      <w:proofErr w:type="spellEnd"/>
      <w:r w:rsidRPr="004701DD">
        <w:rPr>
          <w:rFonts w:ascii="Times New Roman" w:hAnsi="Times New Roman"/>
        </w:rPr>
        <w:t xml:space="preserve"> C, Sexton M, </w:t>
      </w:r>
      <w:proofErr w:type="spellStart"/>
      <w:r w:rsidRPr="004701DD">
        <w:rPr>
          <w:rFonts w:ascii="Times New Roman" w:hAnsi="Times New Roman"/>
        </w:rPr>
        <w:t>Saevig</w:t>
      </w:r>
      <w:proofErr w:type="spellEnd"/>
      <w:r w:rsidRPr="004701DD">
        <w:rPr>
          <w:rFonts w:ascii="Times New Roman" w:hAnsi="Times New Roman"/>
        </w:rPr>
        <w:t xml:space="preserve"> D, Fink B, Rega P. (2019). Active Shooter: What Would Healthcare Students Do While Caring for Their Patients? Run? Hide? Or Fight? </w:t>
      </w:r>
      <w:r w:rsidRPr="004701DD">
        <w:rPr>
          <w:rFonts w:ascii="Times New Roman" w:hAnsi="Times New Roman"/>
          <w:i/>
          <w:iCs/>
        </w:rPr>
        <w:t xml:space="preserve">Disaster Medicine and Public Health Preparedness. </w:t>
      </w:r>
      <w:hyperlink r:id="rId6" w:history="1">
        <w:r w:rsidRPr="004701DD">
          <w:rPr>
            <w:rStyle w:val="Hyperlink"/>
            <w:rFonts w:ascii="Times New Roman" w:hAnsi="Times New Roman"/>
            <w:color w:val="auto"/>
            <w:u w:val="none"/>
          </w:rPr>
          <w:t>https://doi.org/10.1017/dmp.2019.67</w:t>
        </w:r>
      </w:hyperlink>
      <w:r w:rsidRPr="004701DD">
        <w:rPr>
          <w:rFonts w:ascii="Times New Roman" w:hAnsi="Times New Roman"/>
        </w:rPr>
        <w:t>.  Published on-line 7/24/2019.</w:t>
      </w:r>
    </w:p>
    <w:p w14:paraId="6E6B9A8A" w14:textId="77777777" w:rsidR="004701DD" w:rsidRPr="004701DD" w:rsidRDefault="004701DD" w:rsidP="004701DD">
      <w:pPr>
        <w:pStyle w:val="NormalWeb"/>
        <w:numPr>
          <w:ilvl w:val="0"/>
          <w:numId w:val="2"/>
        </w:numPr>
        <w:spacing w:before="0" w:beforeAutospacing="0" w:after="0" w:afterAutospacing="0"/>
        <w:rPr>
          <w:rFonts w:ascii="Times New Roman" w:hAnsi="Times New Roman"/>
        </w:rPr>
      </w:pPr>
      <w:r w:rsidRPr="004701DD">
        <w:rPr>
          <w:rFonts w:ascii="Times New Roman" w:hAnsi="Times New Roman"/>
          <w:shd w:val="clear" w:color="auto" w:fill="FFFFFF"/>
        </w:rPr>
        <w:lastRenderedPageBreak/>
        <w:t>Rega PP.  The Emergency Department Application of a Windlass to a Bedsheet Pelvic Circumferential Compression Device.   J</w:t>
      </w:r>
      <w:hyperlink r:id="rId7" w:tooltip="Go to Journal of Clinical Orthopaedics and Trauma on ScienceDirect" w:history="1">
        <w:r w:rsidRPr="004701DD">
          <w:rPr>
            <w:rStyle w:val="Hyperlink"/>
            <w:rFonts w:ascii="Times New Roman" w:hAnsi="Times New Roman"/>
            <w:color w:val="auto"/>
            <w:u w:val="none"/>
          </w:rPr>
          <w:t>ournal of Clinical Orthopaedics and Trauma</w:t>
        </w:r>
      </w:hyperlink>
      <w:r w:rsidRPr="004701DD">
        <w:rPr>
          <w:rFonts w:ascii="Times New Roman" w:hAnsi="Times New Roman"/>
        </w:rPr>
        <w:t xml:space="preserve">.  </w:t>
      </w:r>
      <w:hyperlink r:id="rId8" w:tooltip="Go to table of contents for this volume/issue" w:history="1">
        <w:r w:rsidRPr="004701DD">
          <w:rPr>
            <w:rStyle w:val="Hyperlink"/>
            <w:rFonts w:ascii="Times New Roman" w:hAnsi="Times New Roman"/>
            <w:color w:val="auto"/>
            <w:u w:val="none"/>
          </w:rPr>
          <w:t>Volume 10, Issue 4</w:t>
        </w:r>
      </w:hyperlink>
      <w:r w:rsidRPr="004701DD">
        <w:rPr>
          <w:rFonts w:ascii="Times New Roman" w:hAnsi="Times New Roman"/>
        </w:rPr>
        <w:t>, July–August 2019, Pages 831-832</w:t>
      </w:r>
    </w:p>
    <w:p w14:paraId="31149E8A" w14:textId="28ABAE00" w:rsidR="004701DD" w:rsidRPr="004701DD" w:rsidRDefault="004701DD" w:rsidP="004701DD">
      <w:pPr>
        <w:pStyle w:val="NormalWeb"/>
        <w:numPr>
          <w:ilvl w:val="0"/>
          <w:numId w:val="2"/>
        </w:numPr>
        <w:spacing w:before="0" w:beforeAutospacing="0" w:after="0" w:afterAutospacing="0"/>
        <w:rPr>
          <w:rFonts w:ascii="Times New Roman" w:hAnsi="Times New Roman"/>
        </w:rPr>
      </w:pPr>
      <w:r w:rsidRPr="004701DD">
        <w:rPr>
          <w:rFonts w:ascii="Times New Roman" w:hAnsi="Times New Roman"/>
          <w:shd w:val="clear" w:color="auto" w:fill="FFFFFF"/>
        </w:rPr>
        <w:t xml:space="preserve">Cooper AM; </w:t>
      </w:r>
      <w:proofErr w:type="spellStart"/>
      <w:r w:rsidRPr="004701DD">
        <w:rPr>
          <w:rFonts w:ascii="Times New Roman" w:hAnsi="Times New Roman"/>
          <w:shd w:val="clear" w:color="auto" w:fill="FFFFFF"/>
        </w:rPr>
        <w:t>Aouthmany</w:t>
      </w:r>
      <w:proofErr w:type="spellEnd"/>
      <w:r w:rsidRPr="004701DD">
        <w:rPr>
          <w:rFonts w:ascii="Times New Roman" w:hAnsi="Times New Roman"/>
          <w:shd w:val="clear" w:color="auto" w:fill="FFFFFF"/>
        </w:rPr>
        <w:t xml:space="preserve"> S; Shah K; Rega PP.  </w:t>
      </w:r>
      <w:hyperlink r:id="rId9" w:history="1">
        <w:r w:rsidRPr="004701DD">
          <w:rPr>
            <w:rStyle w:val="Hyperlink"/>
            <w:rFonts w:ascii="Times New Roman" w:hAnsi="Times New Roman"/>
            <w:color w:val="auto"/>
            <w:u w:val="none"/>
          </w:rPr>
          <w:t>Killer amoebas: Primary amoebic meningoencephalitis in a changing climate.</w:t>
        </w:r>
      </w:hyperlink>
      <w:r w:rsidRPr="004701DD">
        <w:rPr>
          <w:rFonts w:ascii="Times New Roman" w:hAnsi="Times New Roman"/>
        </w:rPr>
        <w:t xml:space="preserve">  </w:t>
      </w:r>
      <w:r w:rsidRPr="004701DD">
        <w:rPr>
          <w:rStyle w:val="jrnl"/>
          <w:rFonts w:ascii="Times New Roman" w:hAnsi="Times New Roman"/>
        </w:rPr>
        <w:t>JAAPA</w:t>
      </w:r>
      <w:r w:rsidRPr="004701DD">
        <w:rPr>
          <w:rFonts w:ascii="Times New Roman" w:hAnsi="Times New Roman"/>
          <w:shd w:val="clear" w:color="auto" w:fill="FFFFFF"/>
        </w:rPr>
        <w:t>. 2019 Jun;32(6):30-35.</w:t>
      </w:r>
    </w:p>
    <w:p w14:paraId="6E58D219" w14:textId="552B3AB3" w:rsidR="004701DD" w:rsidRDefault="004701DD" w:rsidP="004701DD">
      <w:pPr>
        <w:pStyle w:val="NormalWeb"/>
        <w:numPr>
          <w:ilvl w:val="0"/>
          <w:numId w:val="2"/>
        </w:numPr>
        <w:spacing w:before="0" w:beforeAutospacing="0" w:after="0" w:afterAutospacing="0"/>
        <w:rPr>
          <w:rFonts w:ascii="Times New Roman" w:hAnsi="Times New Roman"/>
        </w:rPr>
      </w:pPr>
      <w:proofErr w:type="spellStart"/>
      <w:r w:rsidRPr="004701DD">
        <w:rPr>
          <w:rFonts w:ascii="Times New Roman" w:hAnsi="Times New Roman"/>
        </w:rPr>
        <w:t>Dagenhard</w:t>
      </w:r>
      <w:proofErr w:type="spellEnd"/>
      <w:r w:rsidRPr="004701DD">
        <w:rPr>
          <w:rFonts w:ascii="Times New Roman" w:hAnsi="Times New Roman"/>
        </w:rPr>
        <w:t xml:space="preserve">, P., Thompson, A., </w:t>
      </w:r>
      <w:proofErr w:type="spellStart"/>
      <w:r w:rsidRPr="004701DD">
        <w:rPr>
          <w:rFonts w:ascii="Times New Roman" w:hAnsi="Times New Roman"/>
        </w:rPr>
        <w:t>Dake</w:t>
      </w:r>
      <w:proofErr w:type="spellEnd"/>
      <w:r w:rsidRPr="004701DD">
        <w:rPr>
          <w:rFonts w:ascii="Times New Roman" w:hAnsi="Times New Roman"/>
        </w:rPr>
        <w:t xml:space="preserve">, J., Pescara-Kovach, L., Rega, P., Active Shooter Events in Schools: A review of reports and related materials. </w:t>
      </w:r>
      <w:r w:rsidRPr="004701DD">
        <w:rPr>
          <w:rFonts w:ascii="Times New Roman" w:hAnsi="Times New Roman"/>
          <w:i/>
          <w:iCs/>
        </w:rPr>
        <w:t xml:space="preserve">Health </w:t>
      </w:r>
      <w:proofErr w:type="spellStart"/>
      <w:r w:rsidRPr="004701DD">
        <w:rPr>
          <w:rFonts w:ascii="Times New Roman" w:hAnsi="Times New Roman"/>
          <w:i/>
          <w:iCs/>
        </w:rPr>
        <w:t>Behav</w:t>
      </w:r>
      <w:proofErr w:type="spellEnd"/>
      <w:r w:rsidRPr="004701DD">
        <w:rPr>
          <w:rFonts w:ascii="Times New Roman" w:hAnsi="Times New Roman"/>
          <w:i/>
          <w:iCs/>
        </w:rPr>
        <w:t xml:space="preserve"> Policy Rev</w:t>
      </w:r>
      <w:r w:rsidRPr="004701DD">
        <w:rPr>
          <w:rFonts w:ascii="Times New Roman" w:hAnsi="Times New Roman"/>
        </w:rPr>
        <w:t>. 2019; 6(3): 219-231.</w:t>
      </w:r>
    </w:p>
    <w:p w14:paraId="696F4D00" w14:textId="77777777" w:rsidR="0027786C" w:rsidRPr="00232B0F" w:rsidRDefault="0027786C" w:rsidP="0027786C">
      <w:pPr>
        <w:pStyle w:val="NormalWeb"/>
        <w:numPr>
          <w:ilvl w:val="0"/>
          <w:numId w:val="2"/>
        </w:numPr>
        <w:spacing w:before="0" w:beforeAutospacing="0" w:after="0" w:afterAutospacing="0"/>
        <w:rPr>
          <w:rFonts w:ascii="Times New Roman" w:hAnsi="Times New Roman"/>
          <w:color w:val="000000"/>
        </w:rPr>
      </w:pPr>
      <w:r w:rsidRPr="00232B0F">
        <w:rPr>
          <w:rFonts w:ascii="Times New Roman" w:hAnsi="Times New Roman"/>
          <w:color w:val="000000"/>
        </w:rPr>
        <w:t xml:space="preserve">Duff JR, Cameron D, </w:t>
      </w:r>
      <w:proofErr w:type="spellStart"/>
      <w:r w:rsidRPr="00232B0F">
        <w:rPr>
          <w:rFonts w:ascii="Times New Roman" w:hAnsi="Times New Roman"/>
          <w:color w:val="000000"/>
        </w:rPr>
        <w:t>Pontasch</w:t>
      </w:r>
      <w:proofErr w:type="spellEnd"/>
      <w:r w:rsidRPr="00232B0F">
        <w:rPr>
          <w:rFonts w:ascii="Times New Roman" w:hAnsi="Times New Roman"/>
          <w:color w:val="000000"/>
        </w:rPr>
        <w:t xml:space="preserve"> J, </w:t>
      </w:r>
      <w:proofErr w:type="spellStart"/>
      <w:r w:rsidRPr="00232B0F">
        <w:rPr>
          <w:rFonts w:ascii="Times New Roman" w:hAnsi="Times New Roman"/>
          <w:color w:val="000000"/>
        </w:rPr>
        <w:t>Khambadkone</w:t>
      </w:r>
      <w:proofErr w:type="spellEnd"/>
      <w:r w:rsidRPr="00232B0F">
        <w:rPr>
          <w:rFonts w:ascii="Times New Roman" w:hAnsi="Times New Roman"/>
          <w:color w:val="000000"/>
        </w:rPr>
        <w:t xml:space="preserve"> T, Fink BN, Jones C, Brickman K, Rega PP.</w:t>
      </w:r>
      <w:r w:rsidRPr="00232B0F">
        <w:rPr>
          <w:rFonts w:ascii="Times New Roman" w:hAnsi="Times New Roman"/>
        </w:rPr>
        <w:t xml:space="preserve"> Developing “Herd Immunity” in a Civilian Community Through Incorporation of “Just-In-Time” Tourniquet Application Training.  Prehospital and Disaster Medicine, 2019 (in press).</w:t>
      </w:r>
    </w:p>
    <w:p w14:paraId="2B4E7D54" w14:textId="59084E26" w:rsidR="004701DD" w:rsidRPr="008C3C78" w:rsidRDefault="0027786C" w:rsidP="008C3C78">
      <w:pPr>
        <w:numPr>
          <w:ilvl w:val="0"/>
          <w:numId w:val="2"/>
        </w:numPr>
        <w:spacing w:line="256" w:lineRule="auto"/>
        <w:rPr>
          <w:rFonts w:ascii="Times New Roman" w:hAnsi="Times New Roman"/>
          <w:sz w:val="24"/>
          <w:szCs w:val="24"/>
        </w:rPr>
      </w:pPr>
      <w:r w:rsidRPr="00CC5864">
        <w:rPr>
          <w:rFonts w:ascii="Times New Roman" w:hAnsi="Times New Roman"/>
          <w:sz w:val="24"/>
          <w:szCs w:val="24"/>
        </w:rPr>
        <w:t xml:space="preserve">Rega PP, McKenzie N, Fink BN, Sexton ME, Kenney KC, </w:t>
      </w:r>
      <w:proofErr w:type="spellStart"/>
      <w:r w:rsidRPr="00CC5864">
        <w:rPr>
          <w:rFonts w:ascii="Times New Roman" w:hAnsi="Times New Roman"/>
          <w:sz w:val="24"/>
          <w:szCs w:val="24"/>
        </w:rPr>
        <w:t>Kakish</w:t>
      </w:r>
      <w:proofErr w:type="spellEnd"/>
      <w:r w:rsidRPr="00CC5864">
        <w:rPr>
          <w:rFonts w:ascii="Times New Roman" w:hAnsi="Times New Roman"/>
          <w:sz w:val="24"/>
          <w:szCs w:val="24"/>
        </w:rPr>
        <w:t xml:space="preserve"> E, Schneiderman J, Jones C. Improving the improvisational pelvic circular compression (PCC) technique for open-book pelvic fractures using a simulation </w:t>
      </w:r>
      <w:r w:rsidRPr="00824C6F">
        <w:rPr>
          <w:rFonts w:ascii="Times New Roman" w:hAnsi="Times New Roman"/>
          <w:sz w:val="24"/>
          <w:szCs w:val="24"/>
        </w:rPr>
        <w:t xml:space="preserve">model and </w:t>
      </w:r>
      <w:r w:rsidRPr="00824C6F">
        <w:rPr>
          <w:rFonts w:ascii="Times New Roman" w:hAnsi="Times New Roman"/>
          <w:sz w:val="24"/>
          <w:szCs w:val="24"/>
          <w:bdr w:val="none" w:sz="0" w:space="0" w:color="auto" w:frame="1"/>
        </w:rPr>
        <w:t xml:space="preserve">a sphygmomanometer. </w:t>
      </w:r>
      <w:r w:rsidRPr="00824C6F">
        <w:rPr>
          <w:rStyle w:val="jrnl"/>
          <w:rFonts w:ascii="Times New Roman" w:hAnsi="Times New Roman"/>
          <w:color w:val="000000"/>
          <w:sz w:val="24"/>
          <w:szCs w:val="24"/>
        </w:rPr>
        <w:t>J R Army Med Corps</w:t>
      </w:r>
      <w:r w:rsidRPr="00824C6F">
        <w:rPr>
          <w:rFonts w:ascii="Times New Roman" w:hAnsi="Times New Roman"/>
          <w:color w:val="000000"/>
          <w:sz w:val="24"/>
          <w:szCs w:val="24"/>
          <w:shd w:val="clear" w:color="auto" w:fill="FFFFFF"/>
        </w:rPr>
        <w:t xml:space="preserve">; 2019 May 22.  </w:t>
      </w:r>
      <w:proofErr w:type="spellStart"/>
      <w:r w:rsidRPr="00824C6F">
        <w:rPr>
          <w:rFonts w:ascii="Times New Roman" w:hAnsi="Times New Roman"/>
          <w:color w:val="000000"/>
          <w:sz w:val="24"/>
          <w:szCs w:val="24"/>
          <w:shd w:val="clear" w:color="auto" w:fill="FFFFFF"/>
        </w:rPr>
        <w:t>doi</w:t>
      </w:r>
      <w:proofErr w:type="spellEnd"/>
      <w:r w:rsidRPr="00824C6F">
        <w:rPr>
          <w:rFonts w:ascii="Times New Roman" w:hAnsi="Times New Roman"/>
          <w:color w:val="000000"/>
          <w:sz w:val="24"/>
          <w:szCs w:val="24"/>
          <w:shd w:val="clear" w:color="auto" w:fill="FFFFFF"/>
        </w:rPr>
        <w:t>: 10.1136/jramc-2019-001196.</w:t>
      </w:r>
    </w:p>
    <w:p w14:paraId="60B47C6D" w14:textId="576EB7A0" w:rsidR="004701DD" w:rsidRDefault="004701DD" w:rsidP="004701DD">
      <w:pPr>
        <w:spacing w:after="0" w:line="348" w:lineRule="atLeast"/>
        <w:rPr>
          <w:rFonts w:eastAsia="Times New Roman" w:cstheme="minorHAnsi"/>
          <w:color w:val="000000"/>
          <w:sz w:val="24"/>
          <w:szCs w:val="24"/>
        </w:rPr>
      </w:pPr>
    </w:p>
    <w:p w14:paraId="4D875B2D" w14:textId="2EAAEE62" w:rsidR="004701DD" w:rsidRDefault="004701DD" w:rsidP="004701DD">
      <w:pPr>
        <w:spacing w:after="0" w:line="348" w:lineRule="atLeast"/>
        <w:rPr>
          <w:rFonts w:eastAsia="Times New Roman" w:cstheme="minorHAnsi"/>
          <w:color w:val="000000"/>
          <w:sz w:val="24"/>
          <w:szCs w:val="24"/>
        </w:rPr>
      </w:pPr>
      <w:r w:rsidRPr="00D22920">
        <w:rPr>
          <w:rFonts w:cstheme="minorHAnsi"/>
          <w:noProof/>
          <w:sz w:val="24"/>
          <w:szCs w:val="24"/>
        </w:rPr>
        <w:drawing>
          <wp:inline distT="0" distB="0" distL="0" distR="0" wp14:anchorId="0E7C53FD" wp14:editId="52AECF79">
            <wp:extent cx="1542617" cy="2081204"/>
            <wp:effectExtent l="0" t="0" r="635" b="0"/>
            <wp:docPr id="1" name="Picture 1" descr="A person look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48 (2).png"/>
                    <pic:cNvPicPr/>
                  </pic:nvPicPr>
                  <pic:blipFill>
                    <a:blip r:embed="rId10">
                      <a:extLst>
                        <a:ext uri="{28A0092B-C50C-407E-A947-70E740481C1C}">
                          <a14:useLocalDpi xmlns:a14="http://schemas.microsoft.com/office/drawing/2010/main" val="0"/>
                        </a:ext>
                      </a:extLst>
                    </a:blip>
                    <a:stretch>
                      <a:fillRect/>
                    </a:stretch>
                  </pic:blipFill>
                  <pic:spPr>
                    <a:xfrm>
                      <a:off x="0" y="0"/>
                      <a:ext cx="1558412" cy="2102514"/>
                    </a:xfrm>
                    <a:prstGeom prst="rect">
                      <a:avLst/>
                    </a:prstGeom>
                  </pic:spPr>
                </pic:pic>
              </a:graphicData>
            </a:graphic>
          </wp:inline>
        </w:drawing>
      </w:r>
    </w:p>
    <w:p w14:paraId="6E87F2A0" w14:textId="77777777" w:rsidR="008C3C78" w:rsidRPr="004701DD" w:rsidRDefault="008C3C78" w:rsidP="004701DD">
      <w:pPr>
        <w:spacing w:after="0" w:line="348" w:lineRule="atLeast"/>
        <w:rPr>
          <w:rFonts w:eastAsia="Times New Roman" w:cstheme="minorHAnsi"/>
          <w:color w:val="000000"/>
          <w:sz w:val="24"/>
          <w:szCs w:val="24"/>
        </w:rPr>
      </w:pPr>
    </w:p>
    <w:p w14:paraId="4CD4BF17" w14:textId="2141FABF" w:rsidR="000A59D5" w:rsidRPr="00D22920" w:rsidRDefault="000A59D5" w:rsidP="000A59D5">
      <w:pPr>
        <w:rPr>
          <w:rFonts w:cstheme="minorHAnsi"/>
          <w:sz w:val="24"/>
          <w:szCs w:val="24"/>
        </w:rPr>
      </w:pPr>
      <w:r w:rsidRPr="00D22920">
        <w:rPr>
          <w:rFonts w:eastAsia="Times New Roman" w:cstheme="minorHAnsi"/>
          <w:color w:val="000000"/>
          <w:kern w:val="36"/>
          <w:sz w:val="24"/>
          <w:szCs w:val="24"/>
        </w:rPr>
        <w:t xml:space="preserve">Biography:  </w:t>
      </w:r>
      <w:r w:rsidRPr="00D22920">
        <w:rPr>
          <w:rFonts w:cstheme="minorHAnsi"/>
          <w:sz w:val="24"/>
          <w:szCs w:val="24"/>
        </w:rPr>
        <w:t xml:space="preserve">Paul Rega, M.D. had been a board-certified Emergency Physician for over 34 years until his retirement six years ago.  Within that career span, his duties and responsibilities have included disaster medicine, flight medicine, hyperbaric medicine, and EMS.  Each of these endeavors can be broken down into practice, research, and education.  </w:t>
      </w:r>
    </w:p>
    <w:p w14:paraId="40FB9B56" w14:textId="1F2B7D32" w:rsidR="000A59D5" w:rsidRPr="00D22920" w:rsidRDefault="000A59D5" w:rsidP="000A59D5">
      <w:pPr>
        <w:rPr>
          <w:rFonts w:cstheme="minorHAnsi"/>
          <w:sz w:val="24"/>
          <w:szCs w:val="24"/>
        </w:rPr>
      </w:pPr>
      <w:r w:rsidRPr="00D22920">
        <w:rPr>
          <w:rFonts w:cstheme="minorHAnsi"/>
          <w:sz w:val="24"/>
          <w:szCs w:val="24"/>
        </w:rPr>
        <w:t>Since his retirement from clinical practice, he joined the faculty in the Departments of Emergency Medicine and Public Health/Preventive Medicine at the University of Toledo.  During this period, he developed or co-developed five courses related to disaster medicine, global health, and pandemic preparedness and response.  With these courses plus simulation</w:t>
      </w:r>
      <w:r w:rsidR="008C3C78">
        <w:rPr>
          <w:rFonts w:cstheme="minorHAnsi"/>
          <w:sz w:val="24"/>
          <w:szCs w:val="24"/>
        </w:rPr>
        <w:t xml:space="preserve"> </w:t>
      </w:r>
      <w:r w:rsidRPr="00D22920">
        <w:rPr>
          <w:rFonts w:cstheme="minorHAnsi"/>
          <w:sz w:val="24"/>
          <w:szCs w:val="24"/>
        </w:rPr>
        <w:t>medicine education, Dr. Rega has had the honor of teaching students and faculty from pharmacology, EMS, nursing, emergency medicine, physician assistants, and public health.</w:t>
      </w:r>
    </w:p>
    <w:p w14:paraId="5A1E8025" w14:textId="0F8302CB" w:rsidR="000A59D5" w:rsidRPr="000A59D5" w:rsidRDefault="000A59D5" w:rsidP="00565EC2">
      <w:pPr>
        <w:pStyle w:val="ListParagraph"/>
        <w:spacing w:before="120" w:after="120" w:line="300" w:lineRule="atLeast"/>
        <w:outlineLvl w:val="0"/>
        <w:rPr>
          <w:rFonts w:ascii="Times New Roman" w:eastAsia="Times New Roman" w:hAnsi="Times New Roman" w:cs="Times New Roman"/>
          <w:color w:val="000000"/>
          <w:kern w:val="36"/>
          <w:sz w:val="24"/>
          <w:szCs w:val="24"/>
        </w:rPr>
      </w:pPr>
    </w:p>
    <w:p w14:paraId="333FE643" w14:textId="77777777" w:rsidR="005D2049" w:rsidRDefault="005D2049" w:rsidP="005D2049">
      <w:pPr>
        <w:jc w:val="center"/>
      </w:pPr>
    </w:p>
    <w:p w14:paraId="0D6257BC" w14:textId="77777777" w:rsidR="005D2049" w:rsidRDefault="005D2049" w:rsidP="005D2049">
      <w:pPr>
        <w:jc w:val="center"/>
      </w:pPr>
    </w:p>
    <w:sectPr w:rsidR="005D20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6A2B6E"/>
    <w:multiLevelType w:val="hybridMultilevel"/>
    <w:tmpl w:val="A43E62D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D023C3"/>
    <w:multiLevelType w:val="hybridMultilevel"/>
    <w:tmpl w:val="5CCC8C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049"/>
    <w:rsid w:val="00056B9E"/>
    <w:rsid w:val="000A59D5"/>
    <w:rsid w:val="000E53BF"/>
    <w:rsid w:val="001A7828"/>
    <w:rsid w:val="0027786C"/>
    <w:rsid w:val="0041239D"/>
    <w:rsid w:val="004701DD"/>
    <w:rsid w:val="004855A8"/>
    <w:rsid w:val="00565EC2"/>
    <w:rsid w:val="005D2049"/>
    <w:rsid w:val="00754B12"/>
    <w:rsid w:val="008C3C78"/>
    <w:rsid w:val="00A2591A"/>
    <w:rsid w:val="00AD5980"/>
    <w:rsid w:val="00D22920"/>
    <w:rsid w:val="00F06CBF"/>
    <w:rsid w:val="00F204EC"/>
    <w:rsid w:val="00F81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2C8C3"/>
  <w15:chartTrackingRefBased/>
  <w15:docId w15:val="{52BA7ACB-08A8-4BF6-B798-A07F1CF65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1239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41239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239D"/>
    <w:pPr>
      <w:ind w:left="720"/>
      <w:contextualSpacing/>
    </w:pPr>
  </w:style>
  <w:style w:type="character" w:customStyle="1" w:styleId="Heading1Char">
    <w:name w:val="Heading 1 Char"/>
    <w:basedOn w:val="DefaultParagraphFont"/>
    <w:link w:val="Heading1"/>
    <w:uiPriority w:val="9"/>
    <w:rsid w:val="0041239D"/>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41239D"/>
    <w:rPr>
      <w:color w:val="0000FF"/>
      <w:u w:val="single"/>
    </w:rPr>
  </w:style>
  <w:style w:type="character" w:customStyle="1" w:styleId="highlight">
    <w:name w:val="highlight"/>
    <w:basedOn w:val="DefaultParagraphFont"/>
    <w:rsid w:val="0041239D"/>
  </w:style>
  <w:style w:type="character" w:customStyle="1" w:styleId="Heading3Char">
    <w:name w:val="Heading 3 Char"/>
    <w:basedOn w:val="DefaultParagraphFont"/>
    <w:link w:val="Heading3"/>
    <w:uiPriority w:val="9"/>
    <w:semiHidden/>
    <w:rsid w:val="0041239D"/>
    <w:rPr>
      <w:rFonts w:asciiTheme="majorHAnsi" w:eastAsiaTheme="majorEastAsia" w:hAnsiTheme="majorHAnsi" w:cstheme="majorBidi"/>
      <w:color w:val="1F3763" w:themeColor="accent1" w:themeShade="7F"/>
      <w:sz w:val="24"/>
      <w:szCs w:val="24"/>
    </w:rPr>
  </w:style>
  <w:style w:type="paragraph" w:customStyle="1" w:styleId="affinlinebook">
    <w:name w:val="aff_inline_book"/>
    <w:basedOn w:val="Normal"/>
    <w:rsid w:val="0041239D"/>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4701DD"/>
    <w:pPr>
      <w:spacing w:before="100" w:beforeAutospacing="1" w:after="100" w:afterAutospacing="1" w:line="256" w:lineRule="auto"/>
    </w:pPr>
    <w:rPr>
      <w:rFonts w:ascii="Calibri" w:eastAsia="Calibri" w:hAnsi="Calibri" w:cs="Times New Roman"/>
      <w:sz w:val="24"/>
      <w:szCs w:val="24"/>
    </w:rPr>
  </w:style>
  <w:style w:type="character" w:customStyle="1" w:styleId="jrnl">
    <w:name w:val="jrnl"/>
    <w:rsid w:val="004701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975410">
      <w:bodyDiv w:val="1"/>
      <w:marLeft w:val="0"/>
      <w:marRight w:val="0"/>
      <w:marTop w:val="0"/>
      <w:marBottom w:val="0"/>
      <w:divBdr>
        <w:top w:val="none" w:sz="0" w:space="0" w:color="auto"/>
        <w:left w:val="none" w:sz="0" w:space="0" w:color="auto"/>
        <w:bottom w:val="none" w:sz="0" w:space="0" w:color="auto"/>
        <w:right w:val="none" w:sz="0" w:space="0" w:color="auto"/>
      </w:divBdr>
    </w:div>
    <w:div w:id="657462532">
      <w:bodyDiv w:val="1"/>
      <w:marLeft w:val="0"/>
      <w:marRight w:val="0"/>
      <w:marTop w:val="0"/>
      <w:marBottom w:val="0"/>
      <w:divBdr>
        <w:top w:val="none" w:sz="0" w:space="0" w:color="auto"/>
        <w:left w:val="none" w:sz="0" w:space="0" w:color="auto"/>
        <w:bottom w:val="none" w:sz="0" w:space="0" w:color="auto"/>
        <w:right w:val="none" w:sz="0" w:space="0" w:color="auto"/>
      </w:divBdr>
    </w:div>
    <w:div w:id="1086342766">
      <w:bodyDiv w:val="1"/>
      <w:marLeft w:val="0"/>
      <w:marRight w:val="0"/>
      <w:marTop w:val="0"/>
      <w:marBottom w:val="0"/>
      <w:divBdr>
        <w:top w:val="none" w:sz="0" w:space="0" w:color="auto"/>
        <w:left w:val="none" w:sz="0" w:space="0" w:color="auto"/>
        <w:bottom w:val="none" w:sz="0" w:space="0" w:color="auto"/>
        <w:right w:val="none" w:sz="0" w:space="0" w:color="auto"/>
      </w:divBdr>
    </w:div>
    <w:div w:id="1477603299">
      <w:bodyDiv w:val="1"/>
      <w:marLeft w:val="0"/>
      <w:marRight w:val="0"/>
      <w:marTop w:val="0"/>
      <w:marBottom w:val="0"/>
      <w:divBdr>
        <w:top w:val="none" w:sz="0" w:space="0" w:color="auto"/>
        <w:left w:val="none" w:sz="0" w:space="0" w:color="auto"/>
        <w:bottom w:val="none" w:sz="0" w:space="0" w:color="auto"/>
        <w:right w:val="none" w:sz="0" w:space="0" w:color="auto"/>
      </w:divBdr>
    </w:div>
    <w:div w:id="1683825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journal/09765662/10/4" TargetMode="External"/><Relationship Id="rId3" Type="http://schemas.openxmlformats.org/officeDocument/2006/relationships/settings" Target="settings.xml"/><Relationship Id="rId7" Type="http://schemas.openxmlformats.org/officeDocument/2006/relationships/hyperlink" Target="https://www.sciencedirect.com/science/journal/0976566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17/dmp.2019.67" TargetMode="External"/><Relationship Id="rId11" Type="http://schemas.openxmlformats.org/officeDocument/2006/relationships/fontTable" Target="fontTable.xml"/><Relationship Id="rId5" Type="http://schemas.openxmlformats.org/officeDocument/2006/relationships/hyperlink" Target="https://www.ecronicon.com/ecnh/pdf/ECNH-01-00012.pdf" TargetMode="Externa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ncbi.nlm.nih.gov/pubmed/311363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777</Words>
  <Characters>4435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Rega</dc:creator>
  <cp:keywords/>
  <dc:description/>
  <cp:lastModifiedBy>Paul Rega</cp:lastModifiedBy>
  <cp:revision>5</cp:revision>
  <dcterms:created xsi:type="dcterms:W3CDTF">2020-01-21T01:07:00Z</dcterms:created>
  <dcterms:modified xsi:type="dcterms:W3CDTF">2020-01-21T01:32:00Z</dcterms:modified>
</cp:coreProperties>
</file>