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sz w:val="30"/>
          <w:szCs w:val="30"/>
        </w:rPr>
      </w:pPr>
      <w:r>
        <w:rPr>
          <w:b/>
          <w:bCs/>
          <w:sz w:val="30"/>
          <w:szCs w:val="30"/>
        </w:rPr>
        <w:t>Exploring the core competencies of clinical nurses in Chinese tertiary hospitals: a qualitative content analysis</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b/>
          <w:bCs/>
          <w:sz w:val="24"/>
          <w:lang w:val="en-US" w:eastAsia="zh-CN"/>
        </w:rPr>
      </w:pPr>
      <w:r>
        <w:rPr>
          <w:rFonts w:hint="eastAsia"/>
          <w:b/>
          <w:bCs/>
          <w:sz w:val="24"/>
          <w:lang w:val="en-US" w:eastAsia="zh-CN"/>
        </w:rPr>
        <w:t>Meihan Chen</w:t>
      </w:r>
      <w:r>
        <w:rPr>
          <w:rFonts w:hint="eastAsia"/>
          <w:b/>
          <w:bCs/>
          <w:sz w:val="24"/>
          <w:vertAlign w:val="superscript"/>
          <w:lang w:val="en-US" w:eastAsia="zh-CN"/>
        </w:rPr>
        <w:t>1</w:t>
      </w:r>
      <w:r>
        <w:rPr>
          <w:rFonts w:hint="eastAsia"/>
          <w:b/>
          <w:bCs/>
          <w:sz w:val="24"/>
          <w:lang w:val="en-US" w:eastAsia="zh-CN"/>
        </w:rPr>
        <w:t>, Aiping Wang</w:t>
      </w:r>
      <w:r>
        <w:rPr>
          <w:rFonts w:hint="eastAsia"/>
          <w:b/>
          <w:bCs/>
          <w:sz w:val="24"/>
          <w:vertAlign w:val="superscript"/>
          <w:lang w:val="en-US" w:eastAsia="zh-CN"/>
        </w:rPr>
        <w:t>1</w:t>
      </w:r>
      <w:r>
        <w:rPr>
          <w:rFonts w:hint="eastAsia"/>
          <w:b/>
          <w:bCs/>
          <w:sz w:val="24"/>
          <w:lang w:val="en-US" w:eastAsia="zh-CN"/>
        </w:rPr>
        <w:t>, Baosen Zhou</w:t>
      </w:r>
      <w:r>
        <w:rPr>
          <w:rFonts w:hint="eastAsia"/>
          <w:b/>
          <w:bCs/>
          <w:sz w:val="24"/>
          <w:vertAlign w:val="superscript"/>
          <w:lang w:val="en-US" w:eastAsia="zh-CN"/>
        </w:rPr>
        <w:t>2</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textAlignment w:val="auto"/>
        <w:rPr>
          <w:color w:val="000000"/>
          <w:kern w:val="0"/>
          <w:szCs w:val="21"/>
          <w:vertAlign w:val="superscript"/>
        </w:rPr>
      </w:pP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textAlignment w:val="auto"/>
      </w:pPr>
      <w:r>
        <w:rPr>
          <w:color w:val="000000"/>
          <w:kern w:val="0"/>
          <w:szCs w:val="21"/>
          <w:vertAlign w:val="superscript"/>
        </w:rPr>
        <w:t>1</w:t>
      </w:r>
      <w:r>
        <w:t xml:space="preserve"> Department of </w:t>
      </w:r>
      <w:r>
        <w:fldChar w:fldCharType="begin"/>
      </w:r>
      <w:r>
        <w:instrText xml:space="preserve"> HYPERLINK "http://www.baidu.com/link?url=I5kndZAhcbjG46F4LHcWAbKEwgbncKE-ZWCR3R7SjknGiPX3SFWHtnIIav66VlegV9k1oPSMo5yDM1j5_mLi4-UGF43VGZmLHiryr3pn-TfPbmAN2SVhf4kXRKodGg4obSoUVcvLW0JEz2PKw-CMLK" \t "_blank" </w:instrText>
      </w:r>
      <w:r>
        <w:fldChar w:fldCharType="separate"/>
      </w:r>
      <w:r>
        <w:rPr>
          <w:rStyle w:val="4"/>
          <w:color w:val="333333"/>
          <w:sz w:val="20"/>
          <w:szCs w:val="20"/>
          <w:u w:val="none"/>
        </w:rPr>
        <w:t xml:space="preserve">Public Utilities </w:t>
      </w:r>
      <w:r>
        <w:rPr>
          <w:rStyle w:val="4"/>
          <w:color w:val="333333"/>
          <w:sz w:val="20"/>
          <w:szCs w:val="20"/>
          <w:u w:val="none"/>
        </w:rPr>
        <w:fldChar w:fldCharType="end"/>
      </w:r>
      <w:r>
        <w:rPr>
          <w:color w:val="000000"/>
          <w:kern w:val="0"/>
          <w:szCs w:val="21"/>
        </w:rPr>
        <w:t xml:space="preserve">, </w:t>
      </w:r>
      <w:r>
        <w:t>the First Affiliated Hospital of China Medical University</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textAlignment w:val="auto"/>
        <w:rPr>
          <w:color w:val="000000"/>
          <w:kern w:val="0"/>
          <w:szCs w:val="21"/>
        </w:rPr>
      </w:pPr>
      <w:r>
        <w:rPr>
          <w:color w:val="000000"/>
          <w:kern w:val="0"/>
          <w:szCs w:val="21"/>
          <w:vertAlign w:val="superscript"/>
        </w:rPr>
        <w:t>2</w:t>
      </w:r>
      <w:r>
        <w:rPr>
          <w:color w:val="000000"/>
          <w:kern w:val="0"/>
          <w:szCs w:val="21"/>
        </w:rPr>
        <w:t>Department of Clinical Epidemiology and Evidence-Based Medicine,</w:t>
      </w:r>
      <w:r>
        <w:t xml:space="preserve"> the First Affiliated Hospital of China Medical University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b/>
          <w:bCs/>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b/>
          <w:bCs/>
          <w:sz w:val="24"/>
          <w:lang w:val="en-US" w:eastAsia="zh-CN"/>
        </w:rPr>
      </w:pPr>
      <w:r>
        <w:rPr>
          <w:rFonts w:hint="eastAsia"/>
          <w:b/>
          <w:bCs/>
          <w:sz w:val="24"/>
          <w:lang w:val="en-US" w:eastAsia="zh-CN"/>
        </w:rPr>
        <w:t>Abstract</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sz w:val="24"/>
        </w:rPr>
        <w:t xml:space="preserve">With the changes in social and medical environments and people's health needs, the nursing core competency should be updated and developed in a timely manner. This study aimed to identify the core competencies of nurses in Chinese tertiary hospitals under the new health development strategy. A qualitative study was conducted through qualitative content analysis. A purposive sample of 20 nurses and nursing managers from tertiary hospitals in China were interviewed. Results: Data analysis revealed 27 competencies, which were grouped into three major categories according to the Onion Model. These categories were motivation and traits (responsibility, enterprise, etc.), professional philosophy and values (professionalism, career perception, etc.), and knowledge and skills (clinical nursing competency, leadership and management competency, etc.). </w:t>
      </w:r>
      <w:r>
        <w:rPr>
          <w:rFonts w:hint="eastAsia"/>
          <w:sz w:val="24"/>
        </w:rPr>
        <w:t>Th</w:t>
      </w:r>
      <w:r>
        <w:rPr>
          <w:rFonts w:hint="eastAsia"/>
          <w:sz w:val="24"/>
          <w:lang w:val="en-US" w:eastAsia="zh-CN"/>
        </w:rPr>
        <w:t>is</w:t>
      </w:r>
      <w:r>
        <w:rPr>
          <w:rFonts w:hint="eastAsia"/>
          <w:sz w:val="24"/>
        </w:rPr>
        <w:t xml:space="preserve"> study found that</w:t>
      </w:r>
      <w:r>
        <w:rPr>
          <w:rFonts w:hint="eastAsia"/>
          <w:sz w:val="24"/>
          <w:lang w:val="en-US" w:eastAsia="zh-CN"/>
        </w:rPr>
        <w:t xml:space="preserve"> t</w:t>
      </w:r>
      <w:r>
        <w:rPr>
          <w:sz w:val="24"/>
        </w:rPr>
        <w:t>here is still a gap between the current core competencies of nurses in Chinese tertiary hospitals and the ideal, and there is still a need to continuously improve all competencies in the future to meet the needs of society and the people. Based on the results of each level of the Onion Model, it helps to understand nurses' competencies at different levels and provides guidance for core competency assessment and development.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rPr>
      </w:pPr>
      <w:r>
        <w:rPr>
          <w:rFonts w:hint="eastAsia"/>
          <w:b/>
          <w:bCs/>
          <w:sz w:val="24"/>
        </w:rPr>
        <w:t>Biography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sz w:val="24"/>
          <w:lang w:val="en-US" w:eastAsia="zh-CN"/>
        </w:rPr>
        <w:t>Dr. Meihan C</w:t>
      </w:r>
      <w:r>
        <w:rPr>
          <w:rFonts w:hint="eastAsia"/>
          <w:sz w:val="24"/>
          <w:szCs w:val="24"/>
          <w:lang w:val="en-US" w:eastAsia="zh-CN"/>
        </w:rPr>
        <w:t>hen is a current doctoral student in the d</w:t>
      </w:r>
      <w:r>
        <w:rPr>
          <w:sz w:val="24"/>
          <w:szCs w:val="24"/>
        </w:rPr>
        <w:t xml:space="preserve">epartment of </w:t>
      </w:r>
      <w:r>
        <w:rPr>
          <w:sz w:val="24"/>
          <w:szCs w:val="24"/>
        </w:rPr>
        <w:fldChar w:fldCharType="begin"/>
      </w:r>
      <w:r>
        <w:rPr>
          <w:sz w:val="24"/>
          <w:szCs w:val="24"/>
        </w:rPr>
        <w:instrText xml:space="preserve"> HYPERLINK "http://www.baidu.com/link?url=I5kndZAhcbjG46F4LHcWAbKEwgbncKE-ZWCR3R7SjknGiPX3SFWHtnIIav66VlegV9k1oPSMo5yDM1j5_mLi4-UGF43VGZmLHiryr3pn-TfPbmAN2SVhf4kXRKodGg4obSoUVcvLW0JEz2PKw-CMLK" \t "_blank" </w:instrText>
      </w:r>
      <w:r>
        <w:rPr>
          <w:sz w:val="24"/>
          <w:szCs w:val="24"/>
        </w:rPr>
        <w:fldChar w:fldCharType="separate"/>
      </w:r>
      <w:r>
        <w:rPr>
          <w:rStyle w:val="4"/>
          <w:color w:val="333333"/>
          <w:sz w:val="24"/>
          <w:szCs w:val="24"/>
          <w:u w:val="none"/>
        </w:rPr>
        <w:t>Public Utilities</w:t>
      </w:r>
      <w:r>
        <w:rPr>
          <w:rStyle w:val="4"/>
          <w:color w:val="333333"/>
          <w:sz w:val="24"/>
          <w:szCs w:val="24"/>
          <w:u w:val="none"/>
        </w:rPr>
        <w:fldChar w:fldCharType="end"/>
      </w:r>
      <w:r>
        <w:rPr>
          <w:color w:val="000000"/>
          <w:kern w:val="0"/>
          <w:sz w:val="24"/>
          <w:szCs w:val="24"/>
        </w:rPr>
        <w:t xml:space="preserve">, </w:t>
      </w:r>
      <w:r>
        <w:rPr>
          <w:sz w:val="24"/>
          <w:szCs w:val="24"/>
        </w:rPr>
        <w:t>the First Affiliated Hospital of China Medical University</w:t>
      </w:r>
      <w:r>
        <w:rPr>
          <w:rFonts w:hint="eastAsia"/>
          <w:sz w:val="24"/>
          <w:szCs w:val="24"/>
          <w:lang w:val="en-US" w:eastAsia="zh-CN"/>
        </w:rPr>
        <w:t>. Here she researches aimed at investigate issues related to the current status and development of nurses' core competencies in the context of China's new health development strategy.</w:t>
      </w:r>
      <w:r>
        <w:rPr>
          <w:rFonts w:hint="eastAsia"/>
          <w:sz w:val="24"/>
          <w:szCs w:val="24"/>
          <w:lang w:val="en-US" w:eastAsia="zh-CN"/>
        </w:rPr>
        <w:br w:type="textWrapping"/>
      </w:r>
      <w:r>
        <w:rPr>
          <w:rFonts w:hint="eastAsia"/>
          <w:sz w:val="24"/>
          <w:szCs w:val="24"/>
          <w:lang w:val="en-US" w:eastAsia="zh-CN"/>
        </w:rPr>
        <w:t>Prof. Aiping Wang is a Ph.D., the director of the department of Public Utilities, and a doctoral supervisor. She has researched in nursing management and oncology nursing for many years, has undertaken many major national projects and provincial and ministerial level projects, and has published many public articles in international journals.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sz w:val="24"/>
          <w:szCs w:val="24"/>
          <w:lang w:val="en-US" w:eastAsia="zh-CN"/>
        </w:rPr>
        <w:t xml:space="preserve">Prof. </w:t>
      </w:r>
      <w:r>
        <w:rPr>
          <w:rFonts w:hint="eastAsia"/>
          <w:sz w:val="24"/>
          <w:szCs w:val="24"/>
          <w:lang w:val="en-US" w:eastAsia="zh-CN"/>
        </w:rPr>
        <w:t xml:space="preserve">Baosen Zhou is a Ph.D., the director of department of Clinical Epidemiology and Evidence-Based Medicine, </w:t>
      </w:r>
      <w:r>
        <w:rPr>
          <w:rFonts w:hint="eastAsia"/>
          <w:sz w:val="24"/>
          <w:szCs w:val="24"/>
          <w:lang w:val="en-US" w:eastAsia="zh-CN"/>
        </w:rPr>
        <w:t>and a doctoral supervisor. His research focused on tumor and infectious disease epidemiology, and he has published many published articles in international journals in this field. He has led several projects for the National Natural Science Foundation of China.</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default"/>
          <w:b/>
          <w:bCs/>
          <w:sz w:val="24"/>
          <w:szCs w:val="24"/>
          <w:lang w:val="en-US" w:eastAsia="zh-CN"/>
        </w:rPr>
        <w:t>Importance of Research and Development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sz w:val="24"/>
          <w:szCs w:val="24"/>
          <w:lang w:val="en-US" w:eastAsia="zh-CN"/>
        </w:rPr>
        <w:t>The Nursing core competency has been defined by international nursing associations and national nursing associations in accordance with national nursing practice and developments. As nurses struggle to adapt to standard definitions of competency, nursing practice and public expectations continue to change, and these factors make defining competencies in practice an ongoing challenge. Nursing core competency, while defined differently, must be an integrated and dynamically evolving competency. It combines multiple competencies such as knowledge, skills, talents, and personal characteristics and should be updated as society, the healthcare environment, and the nursing profession change. Because of an aging population and changes in disease spectrum, the healthcare environment has changed dramatically. The demand for social health has contributed to the development of nursing competency. Nurse competency development must reflect the current state of health care and in an ever-changing world, new competencies are required</w:t>
      </w:r>
      <w:r>
        <w:rPr>
          <w:rFonts w:hint="eastAsia"/>
          <w:sz w:val="24"/>
          <w:szCs w:val="24"/>
          <w:lang w:val="en-US" w:eastAsia="zh-CN"/>
        </w:rPr>
        <w:fldChar w:fldCharType="begin"/>
      </w:r>
      <w:r>
        <w:rPr>
          <w:rFonts w:hint="eastAsia"/>
          <w:sz w:val="24"/>
          <w:szCs w:val="24"/>
          <w:lang w:val="en-US" w:eastAsia="zh-CN"/>
        </w:rPr>
        <w:instrText xml:space="preserve"> ADDIN NE.Ref.{793CAA19-B04E-4176-A7DF-C42BDED667D2}</w:instrText>
      </w:r>
      <w:r>
        <w:rPr>
          <w:rFonts w:hint="eastAsia"/>
          <w:sz w:val="24"/>
          <w:szCs w:val="24"/>
          <w:lang w:val="en-US" w:eastAsia="zh-CN"/>
        </w:rPr>
        <w:fldChar w:fldCharType="separate"/>
      </w:r>
      <w:r>
        <w:rPr>
          <w:rFonts w:hint="eastAsia"/>
          <w:sz w:val="24"/>
          <w:szCs w:val="24"/>
          <w:lang w:val="en-US" w:eastAsia="zh-CN"/>
        </w:rPr>
        <w:fldChar w:fldCharType="end"/>
      </w:r>
      <w:r>
        <w:rPr>
          <w:rFonts w:hint="eastAsia"/>
          <w:sz w:val="24"/>
          <w:szCs w:val="24"/>
          <w:lang w:val="en-US" w:eastAsia="zh-CN"/>
        </w:rPr>
        <w:t xml:space="preserve">. In order to better seek ways and strategies to enhance nurses' competency, it is critical to understand the hierarchy of the nurse's competency needs.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default"/>
          <w:b/>
          <w:bCs/>
          <w:sz w:val="24"/>
          <w:szCs w:val="24"/>
          <w:lang w:val="en-US" w:eastAsia="zh-CN"/>
        </w:rPr>
        <w:t>About University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default"/>
          <w:sz w:val="24"/>
          <w:szCs w:val="24"/>
          <w:lang w:val="en-US" w:eastAsia="zh-CN"/>
        </w:rPr>
        <w:t>China Medical University (CMU)</w:t>
      </w:r>
      <w:r>
        <w:rPr>
          <w:rFonts w:hint="eastAsia"/>
          <w:sz w:val="24"/>
          <w:szCs w:val="24"/>
          <w:lang w:val="en-US" w:eastAsia="zh-CN"/>
        </w:rPr>
        <w:t xml:space="preserve"> </w:t>
      </w:r>
      <w:r>
        <w:rPr>
          <w:rFonts w:hint="default"/>
          <w:sz w:val="24"/>
          <w:szCs w:val="24"/>
          <w:lang w:val="en-US" w:eastAsia="zh-CN"/>
        </w:rPr>
        <w:t>is a university jointly built by the National Health Commission, the Ministry of Education and the Liaoning Provincial People's Government, and has been selected to participate in the Excellent Doctor Education and Training Program, the Program for Cultivating Top Innovative Talents, the National Public Graduate Program for Building High-ranking Universities, the Special Key Discipline Program, the National Experimental Zone for Talent Cultivation Model Innovation, and the Chinese Government Scholarship Program for International Students. The university has been selected as a national experimental zone for innovation of talent cultivation model, and a host institution for Chinese government scholarship students. It has been selected as one of the key universities for the construction of first-class universities in Liaoning Province and one of the key universities for the construction of high-level universities in China.</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default"/>
          <w:b/>
          <w:bCs/>
          <w:sz w:val="24"/>
          <w:szCs w:val="24"/>
          <w:lang w:val="en-US" w:eastAsia="zh-CN"/>
        </w:rPr>
        <w:t>Recent Publications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default"/>
          <w:sz w:val="24"/>
          <w:szCs w:val="24"/>
          <w:lang w:val="en-US" w:eastAsia="zh-CN"/>
        </w:rPr>
        <w:t>Jiang H, Wang AP, Xu H, et al. Relationship between family support, serum lipid knowledge and quality of life in Chinese breast cancer women with adjuvant endocrine therapy. Support Care Cancer. 2022;30(12):10043-10050. Yang Z, Wang H, Zheng C, Wang A. An exploratory model of advance care planning clinical training for oncology nurses: A constructivist grounded theory study. Nurse Educ Pract. 2022;65:103484.</w:t>
      </w:r>
      <w:r>
        <w:rPr>
          <w:rFonts w:hint="eastAsia"/>
          <w:sz w:val="24"/>
          <w:szCs w:val="24"/>
          <w:lang w:val="en-US" w:eastAsia="zh-CN"/>
        </w:rPr>
        <w:t xml:space="preserve"> </w:t>
      </w:r>
      <w:r>
        <w:rPr>
          <w:rFonts w:hint="default"/>
          <w:sz w:val="24"/>
          <w:szCs w:val="24"/>
          <w:lang w:val="en-US" w:eastAsia="zh-CN"/>
        </w:rPr>
        <w:t>Li S, Zhou B. A review of radiomics and genomics applications in cancers: the way towards precision medicine. Radiat Oncol. 2022;17(1):217. Yang Z, Wang H, Wang A. Psychometric evaluation of the Chinese version of advance care planning self-efficacy scale among clinical nurses. BMC Palliat Care. 2022;21(1):175.</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default"/>
          <w:sz w:val="24"/>
          <w:szCs w:val="24"/>
          <w:lang w:val="en-US" w:eastAsia="zh-CN"/>
        </w:rPr>
        <w:t>Feng Y, Zhou B, Wang Z, et al. Risk of Candida Infection and Serious Infections in Patients with Moderate-to-Severe Psoriasis Receiving Biologics: A Systematic Review and Meta-Analysis of Randomized Controlled Trials. Int J Clin Pract. 2022;2022:2442603.</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bCs/>
          <w:sz w:val="24"/>
          <w:szCs w:val="24"/>
          <w:lang w:val="en-US" w:eastAsia="zh-CN"/>
        </w:rPr>
      </w:pPr>
      <w:r>
        <w:rPr>
          <w:rFonts w:hint="default"/>
          <w:b/>
          <w:bCs/>
          <w:sz w:val="24"/>
          <w:szCs w:val="24"/>
          <w:lang w:val="en-US" w:eastAsia="zh-CN"/>
        </w:rPr>
        <w:t>References</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textAlignment w:val="auto"/>
        <w:rPr>
          <w:rFonts w:hint="default"/>
          <w:b w:val="0"/>
          <w:bCs w:val="0"/>
          <w:i w:val="0"/>
          <w:iCs w:val="0"/>
          <w:sz w:val="24"/>
          <w:szCs w:val="24"/>
        </w:rPr>
      </w:pPr>
      <w:bookmarkStart w:id="0" w:name="_neb284C219F_5E24_4E27_AE39_657072CFDD95"/>
      <w:r>
        <w:rPr>
          <w:rFonts w:hint="default" w:ascii="Times New Roman" w:hAnsi="Times New Roman" w:eastAsia="Times New Roman"/>
          <w:b w:val="0"/>
          <w:bCs w:val="0"/>
          <w:i w:val="0"/>
          <w:iCs w:val="0"/>
          <w:color w:val="000000"/>
          <w:sz w:val="24"/>
          <w:szCs w:val="24"/>
        </w:rPr>
        <w:t>Albarqouni L, Hoffmann T, Straus S, et al. Core Competencies in Evidence-Based Practice for Health Professionals: Consensus Statement Based on a Systematic Review and Delphi Survey. JAMA NETW OPEN. 2018;1:e180281.</w:t>
      </w:r>
      <w:bookmarkEnd w:id="0"/>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0" w:leftChars="0" w:firstLine="0" w:firstLineChars="0"/>
        <w:textAlignment w:val="auto"/>
        <w:rPr>
          <w:rFonts w:hint="default"/>
          <w:b w:val="0"/>
          <w:bCs w:val="0"/>
          <w:i w:val="0"/>
          <w:iCs w:val="0"/>
          <w:sz w:val="24"/>
          <w:szCs w:val="24"/>
        </w:rPr>
      </w:pPr>
      <w:bookmarkStart w:id="1" w:name="_nebC4DAEA4F_603D_4303_9C3B_2E548C14CBD1"/>
      <w:r>
        <w:rPr>
          <w:rFonts w:hint="default" w:ascii="Times New Roman" w:hAnsi="Times New Roman" w:eastAsia="Times New Roman"/>
          <w:b w:val="0"/>
          <w:bCs w:val="0"/>
          <w:i w:val="0"/>
          <w:iCs w:val="0"/>
          <w:color w:val="000000"/>
          <w:sz w:val="24"/>
          <w:szCs w:val="24"/>
        </w:rPr>
        <w:t>CNA, ed. Advanced nursing practice</w:t>
      </w:r>
      <w:r>
        <w:rPr>
          <w:rFonts w:hint="eastAsia" w:ascii="宋体" w:hAnsi="宋体"/>
          <w:b w:val="0"/>
          <w:bCs w:val="0"/>
          <w:i w:val="0"/>
          <w:iCs w:val="0"/>
          <w:color w:val="000000"/>
          <w:sz w:val="24"/>
          <w:szCs w:val="24"/>
        </w:rPr>
        <w:t>：</w:t>
      </w:r>
      <w:r>
        <w:rPr>
          <w:rFonts w:hint="default" w:ascii="Times New Roman" w:hAnsi="Times New Roman" w:eastAsia="Times New Roman"/>
          <w:b w:val="0"/>
          <w:bCs w:val="0"/>
          <w:i w:val="0"/>
          <w:iCs w:val="0"/>
          <w:color w:val="000000"/>
          <w:sz w:val="24"/>
          <w:szCs w:val="24"/>
        </w:rPr>
        <w:t>A national framework: Ottawa</w:t>
      </w:r>
      <w:r>
        <w:rPr>
          <w:rFonts w:hint="eastAsia" w:ascii="宋体" w:hAnsi="宋体"/>
          <w:b w:val="0"/>
          <w:bCs w:val="0"/>
          <w:i w:val="0"/>
          <w:iCs w:val="0"/>
          <w:color w:val="000000"/>
          <w:sz w:val="24"/>
          <w:szCs w:val="24"/>
        </w:rPr>
        <w:t>：</w:t>
      </w:r>
      <w:r>
        <w:rPr>
          <w:rFonts w:hint="default" w:ascii="Times New Roman" w:hAnsi="Times New Roman" w:eastAsia="Times New Roman"/>
          <w:b w:val="0"/>
          <w:bCs w:val="0"/>
          <w:i w:val="0"/>
          <w:iCs w:val="0"/>
          <w:color w:val="000000"/>
          <w:sz w:val="24"/>
          <w:szCs w:val="24"/>
        </w:rPr>
        <w:t>Canadian Nurse Association 2008.</w:t>
      </w:r>
      <w:bookmarkEnd w:id="1"/>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0" w:leftChars="0" w:firstLine="0" w:firstLineChars="0"/>
        <w:textAlignment w:val="auto"/>
        <w:rPr>
          <w:rFonts w:hint="default"/>
          <w:b w:val="0"/>
          <w:bCs w:val="0"/>
          <w:i w:val="0"/>
          <w:iCs w:val="0"/>
          <w:sz w:val="24"/>
          <w:szCs w:val="24"/>
        </w:rPr>
      </w:pPr>
      <w:bookmarkStart w:id="2" w:name="_neb8A28CE61_B7CC_4B26_8759_F915206792D2"/>
      <w:r>
        <w:rPr>
          <w:rFonts w:hint="default" w:ascii="Times New Roman" w:hAnsi="Times New Roman" w:eastAsia="Times New Roman"/>
          <w:b w:val="0"/>
          <w:bCs w:val="0"/>
          <w:i w:val="0"/>
          <w:iCs w:val="0"/>
          <w:color w:val="000000"/>
          <w:sz w:val="24"/>
          <w:szCs w:val="24"/>
        </w:rPr>
        <w:t>Andrew G. ERIC - EJ545609 - Future Directions for Vocational Education in Australian Secondary Schools., Australian and New Zealand Journal of Vocational Education Research, 1997. Australian and New Zealand Journal of Vocational Education Research. 2001;1:77-108.</w:t>
      </w:r>
      <w:bookmarkEnd w:id="2"/>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0" w:leftChars="0" w:firstLine="0" w:firstLineChars="0"/>
        <w:textAlignment w:val="auto"/>
        <w:rPr>
          <w:rFonts w:hint="default"/>
          <w:b w:val="0"/>
          <w:bCs w:val="0"/>
          <w:i w:val="0"/>
          <w:iCs w:val="0"/>
          <w:sz w:val="24"/>
          <w:szCs w:val="24"/>
        </w:rPr>
      </w:pPr>
      <w:bookmarkStart w:id="3" w:name="_nebEF07F9DE_8E7F_46A1_944F_A129449E9349"/>
      <w:r>
        <w:rPr>
          <w:rFonts w:hint="default" w:ascii="Times New Roman" w:hAnsi="Times New Roman" w:eastAsia="Times New Roman"/>
          <w:b w:val="0"/>
          <w:bCs w:val="0"/>
          <w:i w:val="0"/>
          <w:iCs w:val="0"/>
          <w:color w:val="000000"/>
          <w:sz w:val="24"/>
          <w:szCs w:val="24"/>
        </w:rPr>
        <w:t>Wells E. ANCI Competencies: An Investigation of Uniqueness and Importance: AustraliaGriffith University; 2003.</w:t>
      </w:r>
      <w:bookmarkEnd w:id="3"/>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0" w:leftChars="0" w:firstLine="0" w:firstLineChars="0"/>
        <w:textAlignment w:val="auto"/>
        <w:rPr>
          <w:rFonts w:hint="default"/>
          <w:b w:val="0"/>
          <w:bCs w:val="0"/>
          <w:i w:val="0"/>
          <w:iCs w:val="0"/>
          <w:sz w:val="24"/>
          <w:szCs w:val="24"/>
        </w:rPr>
      </w:pPr>
      <w:bookmarkStart w:id="4" w:name="_neb59592FB2_DFE1_4E36_9650_BF8FA0850A4A"/>
      <w:r>
        <w:rPr>
          <w:rFonts w:hint="default" w:ascii="Times New Roman" w:hAnsi="Times New Roman" w:eastAsia="Times New Roman"/>
          <w:b w:val="0"/>
          <w:bCs w:val="0"/>
          <w:i w:val="0"/>
          <w:iCs w:val="0"/>
          <w:color w:val="000000"/>
          <w:sz w:val="24"/>
          <w:szCs w:val="24"/>
        </w:rPr>
        <w:t>Lenburg CB. The Framework, Concepts and Methods of the Competency Outcomes and Performance Assessment (COPA) Model. Online Journal of Issues in Nursing. 1999;2.</w:t>
      </w:r>
      <w:bookmarkEnd w:id="4"/>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0" w:leftChars="0" w:firstLine="0" w:firstLineChars="0"/>
        <w:textAlignment w:val="auto"/>
        <w:rPr>
          <w:rFonts w:hint="default"/>
          <w:b w:val="0"/>
          <w:bCs w:val="0"/>
          <w:i w:val="0"/>
          <w:iCs w:val="0"/>
          <w:sz w:val="24"/>
          <w:szCs w:val="24"/>
        </w:rPr>
      </w:pPr>
      <w:bookmarkStart w:id="5" w:name="_neb96AFFAB3_503B_45DF_B232_A410C028798F"/>
      <w:r>
        <w:rPr>
          <w:rFonts w:hint="default" w:ascii="Times New Roman" w:hAnsi="Times New Roman" w:eastAsia="Times New Roman"/>
          <w:b w:val="0"/>
          <w:bCs w:val="0"/>
          <w:i w:val="0"/>
          <w:iCs w:val="0"/>
          <w:color w:val="000000"/>
          <w:sz w:val="24"/>
          <w:szCs w:val="24"/>
        </w:rPr>
        <w:t>Liu M, Yin L, Ma E, Lo S, Zeng L. Competency Inventory for Registered Nurses in Macao: instrument validation. J ADV NURS. 2009;65:893-900.</w:t>
      </w:r>
      <w:bookmarkEnd w:id="5"/>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0" w:leftChars="0" w:firstLine="0" w:firstLineChars="0"/>
        <w:textAlignment w:val="auto"/>
        <w:rPr>
          <w:rFonts w:hint="default"/>
          <w:b w:val="0"/>
          <w:bCs w:val="0"/>
          <w:i w:val="0"/>
          <w:iCs w:val="0"/>
          <w:sz w:val="24"/>
          <w:szCs w:val="24"/>
        </w:rPr>
      </w:pPr>
      <w:bookmarkStart w:id="6" w:name="_nebFF0B0780_A7F7_4509_84BD_42419829C189"/>
      <w:r>
        <w:rPr>
          <w:rFonts w:hint="default" w:ascii="Times New Roman" w:hAnsi="Times New Roman" w:eastAsia="Times New Roman"/>
          <w:b w:val="0"/>
          <w:bCs w:val="0"/>
          <w:i w:val="0"/>
          <w:iCs w:val="0"/>
          <w:color w:val="000000"/>
          <w:sz w:val="24"/>
          <w:szCs w:val="24"/>
        </w:rPr>
        <w:t>Church CD. Defining Competence in Nursing and Its Relevance to Quality Care. J NURSES PROF DEV. 2016;32:E9-14.</w:t>
      </w:r>
      <w:bookmarkEnd w:id="6"/>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0" w:leftChars="0" w:firstLine="0" w:firstLineChars="0"/>
        <w:textAlignment w:val="auto"/>
        <w:rPr>
          <w:rFonts w:hint="default"/>
          <w:b w:val="0"/>
          <w:bCs w:val="0"/>
          <w:i w:val="0"/>
          <w:iCs w:val="0"/>
          <w:sz w:val="24"/>
          <w:szCs w:val="24"/>
        </w:rPr>
      </w:pPr>
      <w:bookmarkStart w:id="7" w:name="_nebB16F5EDC_432E_45C6_A940_509CAF185787"/>
      <w:r>
        <w:rPr>
          <w:rFonts w:hint="default" w:ascii="Times New Roman" w:hAnsi="Times New Roman" w:eastAsia="Times New Roman"/>
          <w:b w:val="0"/>
          <w:bCs w:val="0"/>
          <w:i w:val="0"/>
          <w:iCs w:val="0"/>
          <w:color w:val="000000"/>
          <w:sz w:val="24"/>
          <w:szCs w:val="24"/>
        </w:rPr>
        <w:t>Salmond SW, Echevarria M. Healthcare Transformation and Changing Roles for Nursing. Orthopedic nursing. 2017;36:12-25.</w:t>
      </w:r>
      <w:bookmarkEnd w:id="7"/>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0" w:leftChars="0" w:firstLine="0" w:firstLineChars="0"/>
        <w:textAlignment w:val="auto"/>
        <w:rPr>
          <w:rFonts w:hint="default"/>
          <w:b w:val="0"/>
          <w:bCs w:val="0"/>
          <w:i w:val="0"/>
          <w:iCs w:val="0"/>
          <w:sz w:val="24"/>
          <w:szCs w:val="24"/>
        </w:rPr>
      </w:pPr>
      <w:bookmarkStart w:id="8" w:name="_neb7053BC99_59B3_4395_9C13_E23B67A816E7"/>
      <w:r>
        <w:rPr>
          <w:rFonts w:hint="default" w:ascii="Times New Roman" w:hAnsi="Times New Roman" w:eastAsia="Times New Roman"/>
          <w:b w:val="0"/>
          <w:bCs w:val="0"/>
          <w:i w:val="0"/>
          <w:iCs w:val="0"/>
          <w:color w:val="000000"/>
          <w:sz w:val="24"/>
          <w:szCs w:val="24"/>
        </w:rPr>
        <w:t>Catton H. International Council of Nurses: putting nurses at the centre of the world's policymaking has benefits for us all. INT NURS REV. 2019;66:299-301.</w:t>
      </w:r>
      <w:bookmarkEnd w:id="8"/>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0" w:leftChars="0" w:firstLine="0" w:firstLineChars="0"/>
        <w:textAlignment w:val="auto"/>
        <w:rPr>
          <w:rFonts w:hint="default"/>
          <w:b w:val="0"/>
          <w:bCs w:val="0"/>
          <w:i w:val="0"/>
          <w:iCs w:val="0"/>
          <w:sz w:val="24"/>
          <w:szCs w:val="24"/>
        </w:rPr>
      </w:pPr>
      <w:bookmarkStart w:id="9" w:name="_nebE200D0E4_B7A4_4964_B494_F546D3447FC2"/>
      <w:r>
        <w:rPr>
          <w:rFonts w:hint="default" w:ascii="Times New Roman" w:hAnsi="Times New Roman" w:eastAsia="Times New Roman"/>
          <w:b w:val="0"/>
          <w:bCs w:val="0"/>
          <w:i w:val="0"/>
          <w:iCs w:val="0"/>
          <w:color w:val="000000"/>
          <w:sz w:val="24"/>
          <w:szCs w:val="24"/>
        </w:rPr>
        <w:t>Chan TE, Lockhart JS, Schreiber JB, Kronk R. Determining nurse practitioner core competencies using a Delphi approach. J AM ASSOC NURSE PRA. 2020;32:200-17.</w:t>
      </w:r>
      <w:bookmarkEnd w:id="9"/>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b w:val="0"/>
          <w:bCs w:val="0"/>
          <w:i w:val="0"/>
          <w:iCs w:val="0"/>
          <w:sz w:val="24"/>
          <w:szCs w:val="24"/>
          <w:lang w:val="en-US" w:eastAsia="zh-CN"/>
        </w:rPr>
      </w:pPr>
      <w:bookmarkStart w:id="11" w:name="_GoBack"/>
      <w:bookmarkEnd w:id="11"/>
      <w:r>
        <w:rPr>
          <w:rFonts w:hint="default" w:ascii="Times New Roman" w:hAnsi="Times New Roman" w:eastAsia="Times New Roman"/>
          <w:b w:val="0"/>
          <w:bCs w:val="0"/>
          <w:i w:val="0"/>
          <w:iCs w:val="0"/>
          <w:color w:val="000000"/>
          <w:sz w:val="24"/>
          <w:szCs w:val="24"/>
        </w:rPr>
        <w:tab/>
      </w:r>
      <w:bookmarkStart w:id="10" w:name="_nebED76F200_F332_4039_B9B4_FCB89EF1D3C5"/>
      <w:r>
        <w:rPr>
          <w:rFonts w:hint="default" w:ascii="Times New Roman" w:hAnsi="Times New Roman" w:eastAsia="Times New Roman"/>
          <w:b w:val="0"/>
          <w:bCs w:val="0"/>
          <w:i w:val="0"/>
          <w:iCs w:val="0"/>
          <w:color w:val="000000"/>
          <w:sz w:val="24"/>
          <w:szCs w:val="24"/>
        </w:rPr>
        <w:t>Lejonqvist G, Kajander-Unkuri S. Evaluating nursing competence with the Nurse Competence Scale from an ontological and contextual point of view: An integrative literature review. Nordic Journal of Nursing Research. 2021;42:7-17.</w:t>
      </w:r>
      <w:bookmarkEnd w:id="1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val="0"/>
          <w:bCs w:val="0"/>
          <w:i w:val="0"/>
          <w:iCs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b w:val="0"/>
          <w:bCs w:val="0"/>
          <w:i w:val="0"/>
          <w:iCs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05DC91"/>
    <w:multiLevelType w:val="singleLevel"/>
    <w:tmpl w:val="3905DC9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00000000"/>
    <w:rsid w:val="07245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2023-01-12T08:15:42Z</dcterms:created>
  <dc:creator>陈</dc:creator>
  <cp:lastModifiedBy>噜噜噜</cp:lastModifiedBy>
  <dcterms:modified xsi:type="dcterms:W3CDTF">2023-01-12T09:54:56Z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51A696F8870A44398201087EC71172AC</vt:lpwstr>
  </property>
</Properties>
</file>